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Borders>
          <w:insideH w:val="single" w:sz="4" w:space="0" w:color="auto"/>
          <w:insideV w:val="single" w:sz="4" w:space="0" w:color="auto"/>
        </w:tblBorders>
        <w:tblLook w:val="01E0" w:firstRow="1" w:lastRow="1" w:firstColumn="1" w:lastColumn="1" w:noHBand="0" w:noVBand="0"/>
      </w:tblPr>
      <w:tblGrid>
        <w:gridCol w:w="9252"/>
      </w:tblGrid>
      <w:tr w:rsidR="00E351FD" w:rsidRPr="00AC77A0" w14:paraId="7797FD7D" w14:textId="77777777" w:rsidTr="0018508B">
        <w:tc>
          <w:tcPr>
            <w:tcW w:w="9252" w:type="dxa"/>
          </w:tcPr>
          <w:p w14:paraId="206540C8" w14:textId="77777777" w:rsidR="00E351FD" w:rsidRPr="00AC77A0" w:rsidRDefault="00E351FD" w:rsidP="00A54184">
            <w:pPr>
              <w:jc w:val="right"/>
              <w:rPr>
                <w:rFonts w:ascii="Tahoma" w:hAnsi="Tahoma" w:cs="Tahoma"/>
                <w:sz w:val="22"/>
                <w:szCs w:val="22"/>
              </w:rPr>
            </w:pPr>
          </w:p>
          <w:p w14:paraId="6773054E" w14:textId="0FC56E91" w:rsidR="00E351FD" w:rsidRPr="00AC77A0" w:rsidRDefault="007F05CE" w:rsidP="00A54184">
            <w:pPr>
              <w:jc w:val="right"/>
              <w:rPr>
                <w:rFonts w:ascii="Tahoma" w:hAnsi="Tahoma" w:cs="Tahoma"/>
                <w:sz w:val="22"/>
                <w:szCs w:val="22"/>
              </w:rPr>
            </w:pPr>
            <w:r w:rsidRPr="00AC77A0">
              <w:rPr>
                <w:rFonts w:ascii="Tahoma" w:hAnsi="Tahoma" w:cs="Tahoma"/>
                <w:sz w:val="22"/>
                <w:szCs w:val="22"/>
              </w:rPr>
              <w:t>July</w:t>
            </w:r>
            <w:r w:rsidR="00E351FD" w:rsidRPr="00AC77A0">
              <w:rPr>
                <w:rFonts w:ascii="Tahoma" w:hAnsi="Tahoma" w:cs="Tahoma"/>
                <w:sz w:val="22"/>
                <w:szCs w:val="22"/>
              </w:rPr>
              <w:t xml:space="preserve"> </w:t>
            </w:r>
            <w:r w:rsidRPr="00AC77A0">
              <w:rPr>
                <w:rFonts w:ascii="Tahoma" w:hAnsi="Tahoma" w:cs="Tahoma"/>
                <w:sz w:val="22"/>
                <w:szCs w:val="22"/>
              </w:rPr>
              <w:t>15</w:t>
            </w:r>
            <w:r w:rsidR="00E351FD" w:rsidRPr="00AC77A0">
              <w:rPr>
                <w:rFonts w:ascii="Tahoma" w:hAnsi="Tahoma" w:cs="Tahoma"/>
                <w:sz w:val="22"/>
                <w:szCs w:val="22"/>
              </w:rPr>
              <w:t>, 202</w:t>
            </w:r>
            <w:r w:rsidR="00285D60" w:rsidRPr="00AC77A0">
              <w:rPr>
                <w:rFonts w:ascii="Tahoma" w:hAnsi="Tahoma" w:cs="Tahoma"/>
                <w:sz w:val="22"/>
                <w:szCs w:val="22"/>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6"/>
            </w:tblGrid>
            <w:tr w:rsidR="00E351FD" w:rsidRPr="00AC77A0" w14:paraId="7B2E08D4" w14:textId="77777777" w:rsidTr="00A54184">
              <w:tc>
                <w:tcPr>
                  <w:tcW w:w="10065" w:type="dxa"/>
                  <w:tcBorders>
                    <w:top w:val="nil"/>
                    <w:left w:val="nil"/>
                    <w:bottom w:val="nil"/>
                    <w:right w:val="nil"/>
                  </w:tcBorders>
                </w:tcPr>
                <w:p w14:paraId="429F7A92" w14:textId="77777777" w:rsidR="00E351FD" w:rsidRPr="00AC77A0" w:rsidRDefault="00E351FD" w:rsidP="00A54184">
                  <w:pPr>
                    <w:jc w:val="center"/>
                    <w:rPr>
                      <w:rFonts w:ascii="Tahoma" w:hAnsi="Tahoma" w:cs="Tahoma"/>
                      <w:color w:val="333333"/>
                    </w:rPr>
                  </w:pPr>
                </w:p>
              </w:tc>
            </w:tr>
          </w:tbl>
          <w:p w14:paraId="3015AC65" w14:textId="67484ECA" w:rsidR="00E351FD" w:rsidRPr="00AC77A0" w:rsidRDefault="00E351FD" w:rsidP="00A54184">
            <w:pPr>
              <w:rPr>
                <w:rFonts w:ascii="Tahoma" w:hAnsi="Tahoma" w:cs="Tahoma"/>
                <w:b/>
                <w:bCs/>
                <w:sz w:val="22"/>
                <w:szCs w:val="22"/>
              </w:rPr>
            </w:pPr>
            <w:r w:rsidRPr="00AC77A0">
              <w:rPr>
                <w:rFonts w:ascii="Tahoma" w:hAnsi="Tahoma" w:cs="Tahoma"/>
                <w:b/>
                <w:sz w:val="22"/>
                <w:szCs w:val="22"/>
              </w:rPr>
              <w:t>EXTERNAL TRADE</w:t>
            </w:r>
            <w:r w:rsidRPr="00AC77A0">
              <w:rPr>
                <w:rFonts w:ascii="Tahoma" w:hAnsi="Tahoma" w:cs="Tahoma"/>
                <w:b/>
                <w:bCs/>
                <w:sz w:val="22"/>
                <w:szCs w:val="22"/>
              </w:rPr>
              <w:t xml:space="preserve">, </w:t>
            </w:r>
            <w:r w:rsidR="00A304C5" w:rsidRPr="00AC77A0">
              <w:rPr>
                <w:rFonts w:ascii="Tahoma" w:hAnsi="Tahoma" w:cs="Tahoma"/>
                <w:b/>
                <w:bCs/>
                <w:color w:val="FF0000"/>
                <w:sz w:val="22"/>
                <w:szCs w:val="22"/>
              </w:rPr>
              <w:t>final data</w:t>
            </w:r>
            <w:r w:rsidR="00A304C5" w:rsidRPr="00AC77A0">
              <w:rPr>
                <w:rFonts w:ascii="Tahoma" w:hAnsi="Tahoma" w:cs="Tahoma"/>
                <w:b/>
                <w:bCs/>
                <w:sz w:val="22"/>
                <w:szCs w:val="22"/>
              </w:rPr>
              <w:t xml:space="preserve">, </w:t>
            </w:r>
            <w:r w:rsidRPr="00AC77A0">
              <w:rPr>
                <w:rFonts w:ascii="Tahoma" w:hAnsi="Tahoma" w:cs="Tahoma"/>
                <w:b/>
                <w:bCs/>
                <w:sz w:val="22"/>
                <w:szCs w:val="22"/>
              </w:rPr>
              <w:t>202</w:t>
            </w:r>
            <w:r w:rsidR="00285D60" w:rsidRPr="00AC77A0">
              <w:rPr>
                <w:rFonts w:ascii="Tahoma" w:hAnsi="Tahoma" w:cs="Tahoma"/>
                <w:b/>
                <w:bCs/>
                <w:sz w:val="22"/>
                <w:szCs w:val="22"/>
              </w:rPr>
              <w:t>5</w:t>
            </w:r>
          </w:p>
          <w:p w14:paraId="4A837070" w14:textId="77777777" w:rsidR="00E351FD" w:rsidRPr="00AC77A0" w:rsidRDefault="00E351FD" w:rsidP="00A54184">
            <w:pPr>
              <w:jc w:val="both"/>
              <w:rPr>
                <w:rFonts w:ascii="Tahoma" w:hAnsi="Tahoma" w:cs="Tahoma"/>
                <w:b/>
                <w:color w:val="000000"/>
                <w:sz w:val="18"/>
                <w:szCs w:val="18"/>
              </w:rPr>
            </w:pPr>
          </w:p>
          <w:p w14:paraId="2F7D590C" w14:textId="63BA9E6A" w:rsidR="00E351FD" w:rsidRPr="00AC77A0" w:rsidRDefault="00E351FD" w:rsidP="00A54184">
            <w:pPr>
              <w:pStyle w:val="BodyText3"/>
              <w:rPr>
                <w:rFonts w:ascii="Tahoma" w:hAnsi="Tahoma" w:cs="Tahoma"/>
                <w:b/>
                <w:bCs/>
                <w:color w:val="000000"/>
                <w:sz w:val="18"/>
                <w:szCs w:val="18"/>
              </w:rPr>
            </w:pPr>
            <w:r w:rsidRPr="00AC77A0">
              <w:rPr>
                <w:rFonts w:ascii="Tahoma" w:hAnsi="Tahoma" w:cs="Tahoma"/>
                <w:b/>
                <w:bCs/>
                <w:sz w:val="18"/>
                <w:szCs w:val="18"/>
              </w:rPr>
              <w:t>The overall external trade in the Republic of Serbia for the period January-</w:t>
            </w:r>
            <w:r w:rsidR="00A304C5" w:rsidRPr="00AC77A0">
              <w:rPr>
                <w:rFonts w:ascii="Tahoma" w:hAnsi="Tahoma" w:cs="Tahoma"/>
                <w:b/>
                <w:bCs/>
                <w:sz w:val="18"/>
                <w:szCs w:val="18"/>
              </w:rPr>
              <w:t>December</w:t>
            </w:r>
            <w:r w:rsidRPr="00AC77A0">
              <w:rPr>
                <w:rFonts w:ascii="Tahoma" w:hAnsi="Tahoma" w:cs="Tahoma"/>
                <w:b/>
                <w:bCs/>
                <w:sz w:val="18"/>
                <w:szCs w:val="18"/>
              </w:rPr>
              <w:t xml:space="preserve"> 202</w:t>
            </w:r>
            <w:r w:rsidR="00285D60" w:rsidRPr="00AC77A0">
              <w:rPr>
                <w:rFonts w:ascii="Tahoma" w:hAnsi="Tahoma" w:cs="Tahoma"/>
                <w:b/>
                <w:bCs/>
                <w:sz w:val="18"/>
                <w:szCs w:val="18"/>
              </w:rPr>
              <w:t>5</w:t>
            </w:r>
            <w:r w:rsidRPr="00AC77A0">
              <w:rPr>
                <w:rFonts w:ascii="Tahoma" w:hAnsi="Tahoma" w:cs="Tahoma"/>
                <w:b/>
                <w:bCs/>
                <w:sz w:val="18"/>
                <w:szCs w:val="18"/>
              </w:rPr>
              <w:t xml:space="preserve"> amounted to: </w:t>
            </w:r>
          </w:p>
          <w:p w14:paraId="76CDEB76" w14:textId="1ACF55A1" w:rsidR="00E351FD" w:rsidRPr="00AC77A0" w:rsidRDefault="00E351FD" w:rsidP="00A54184">
            <w:pPr>
              <w:jc w:val="both"/>
              <w:rPr>
                <w:rFonts w:ascii="Tahoma" w:hAnsi="Tahoma" w:cs="Tahoma"/>
                <w:b/>
                <w:bCs/>
                <w:sz w:val="18"/>
                <w:szCs w:val="18"/>
              </w:rPr>
            </w:pPr>
            <w:r w:rsidRPr="00AC77A0">
              <w:rPr>
                <w:rFonts w:ascii="Tahoma" w:hAnsi="Tahoma" w:cs="Tahoma"/>
                <w:sz w:val="18"/>
                <w:szCs w:val="18"/>
              </w:rPr>
              <w:t xml:space="preserve">      - </w:t>
            </w:r>
            <w:r w:rsidRPr="00AC77A0">
              <w:rPr>
                <w:rFonts w:ascii="Tahoma" w:hAnsi="Tahoma" w:cs="Tahoma"/>
                <w:b/>
                <w:sz w:val="18"/>
                <w:szCs w:val="18"/>
              </w:rPr>
              <w:t xml:space="preserve">USD </w:t>
            </w:r>
            <w:r w:rsidR="00285D60" w:rsidRPr="00AC77A0">
              <w:rPr>
                <w:rFonts w:ascii="Tahoma" w:hAnsi="Tahoma" w:cs="Tahoma"/>
                <w:b/>
                <w:sz w:val="18"/>
                <w:szCs w:val="18"/>
              </w:rPr>
              <w:t>84554</w:t>
            </w:r>
            <w:r w:rsidRPr="00AC77A0">
              <w:rPr>
                <w:rFonts w:ascii="Tahoma" w:hAnsi="Tahoma" w:cs="Tahoma"/>
                <w:b/>
                <w:sz w:val="18"/>
                <w:szCs w:val="18"/>
              </w:rPr>
              <w:t>.</w:t>
            </w:r>
            <w:r w:rsidR="00285D60" w:rsidRPr="00AC77A0">
              <w:rPr>
                <w:rFonts w:ascii="Tahoma" w:hAnsi="Tahoma" w:cs="Tahoma"/>
                <w:b/>
                <w:sz w:val="18"/>
                <w:szCs w:val="18"/>
              </w:rPr>
              <w:t>6</w:t>
            </w:r>
            <w:r w:rsidRPr="00AC77A0">
              <w:rPr>
                <w:rFonts w:ascii="Tahoma" w:hAnsi="Tahoma" w:cs="Tahoma"/>
                <w:b/>
                <w:sz w:val="18"/>
                <w:szCs w:val="18"/>
              </w:rPr>
              <w:t xml:space="preserve"> million - </w:t>
            </w:r>
            <w:r w:rsidRPr="00AC77A0">
              <w:rPr>
                <w:rFonts w:ascii="Tahoma" w:hAnsi="Tahoma" w:cs="Tahoma"/>
                <w:b/>
                <w:bCs/>
                <w:sz w:val="18"/>
                <w:szCs w:val="18"/>
              </w:rPr>
              <w:t>which was a</w:t>
            </w:r>
            <w:r w:rsidR="00285D60" w:rsidRPr="00AC77A0">
              <w:rPr>
                <w:rFonts w:ascii="Tahoma" w:hAnsi="Tahoma" w:cs="Tahoma"/>
                <w:b/>
                <w:bCs/>
                <w:sz w:val="18"/>
                <w:szCs w:val="18"/>
              </w:rPr>
              <w:t>n</w:t>
            </w:r>
            <w:r w:rsidRPr="00AC77A0">
              <w:rPr>
                <w:rFonts w:ascii="Tahoma" w:hAnsi="Tahoma" w:cs="Tahoma"/>
                <w:b/>
                <w:bCs/>
                <w:sz w:val="18"/>
                <w:szCs w:val="18"/>
              </w:rPr>
              <w:t xml:space="preserve"> </w:t>
            </w:r>
            <w:r w:rsidR="00285D60" w:rsidRPr="00AC77A0">
              <w:rPr>
                <w:rFonts w:ascii="Tahoma" w:hAnsi="Tahoma" w:cs="Tahoma"/>
                <w:b/>
                <w:bCs/>
                <w:sz w:val="18"/>
                <w:szCs w:val="18"/>
              </w:rPr>
              <w:t>in</w:t>
            </w:r>
            <w:r w:rsidRPr="00AC77A0">
              <w:rPr>
                <w:rFonts w:ascii="Tahoma" w:hAnsi="Tahoma" w:cs="Tahoma"/>
                <w:b/>
                <w:bCs/>
                <w:sz w:val="18"/>
                <w:szCs w:val="18"/>
              </w:rPr>
              <w:t xml:space="preserve">crease of </w:t>
            </w:r>
            <w:r w:rsidR="00285D60" w:rsidRPr="00AC77A0">
              <w:rPr>
                <w:rFonts w:ascii="Tahoma" w:hAnsi="Tahoma" w:cs="Tahoma"/>
                <w:b/>
                <w:bCs/>
                <w:sz w:val="18"/>
                <w:szCs w:val="18"/>
              </w:rPr>
              <w:t>12</w:t>
            </w:r>
            <w:r w:rsidRPr="00AC77A0">
              <w:rPr>
                <w:rFonts w:ascii="Tahoma" w:hAnsi="Tahoma" w:cs="Tahoma"/>
                <w:b/>
                <w:bCs/>
                <w:sz w:val="18"/>
                <w:szCs w:val="18"/>
              </w:rPr>
              <w:t>.</w:t>
            </w:r>
            <w:r w:rsidR="00285D60" w:rsidRPr="00AC77A0">
              <w:rPr>
                <w:rFonts w:ascii="Tahoma" w:hAnsi="Tahoma" w:cs="Tahoma"/>
                <w:b/>
                <w:bCs/>
                <w:sz w:val="18"/>
                <w:szCs w:val="18"/>
              </w:rPr>
              <w:t>3</w:t>
            </w:r>
            <w:r w:rsidRPr="00AC77A0">
              <w:rPr>
                <w:rFonts w:ascii="Tahoma" w:hAnsi="Tahoma" w:cs="Tahoma"/>
                <w:b/>
                <w:bCs/>
                <w:sz w:val="18"/>
                <w:szCs w:val="18"/>
              </w:rPr>
              <w:t>% compared to the same period last year;</w:t>
            </w:r>
          </w:p>
          <w:p w14:paraId="54CF005B" w14:textId="360CE7CC" w:rsidR="00E351FD" w:rsidRDefault="00E351FD" w:rsidP="00A54184">
            <w:pPr>
              <w:jc w:val="both"/>
              <w:rPr>
                <w:rFonts w:ascii="Tahoma" w:hAnsi="Tahoma" w:cs="Tahoma"/>
                <w:b/>
                <w:bCs/>
                <w:sz w:val="18"/>
                <w:szCs w:val="18"/>
              </w:rPr>
            </w:pPr>
            <w:r w:rsidRPr="00AC77A0">
              <w:rPr>
                <w:rFonts w:ascii="Tahoma" w:hAnsi="Tahoma" w:cs="Tahoma"/>
                <w:color w:val="000000"/>
                <w:sz w:val="18"/>
                <w:szCs w:val="18"/>
              </w:rPr>
              <w:t xml:space="preserve">      - </w:t>
            </w:r>
            <w:r w:rsidRPr="00AC77A0">
              <w:rPr>
                <w:rFonts w:ascii="Tahoma" w:hAnsi="Tahoma" w:cs="Tahoma"/>
                <w:b/>
                <w:color w:val="000000"/>
                <w:sz w:val="18"/>
                <w:szCs w:val="18"/>
              </w:rPr>
              <w:t xml:space="preserve">EUR </w:t>
            </w:r>
            <w:r w:rsidR="00285D60" w:rsidRPr="00AC77A0">
              <w:rPr>
                <w:rFonts w:ascii="Tahoma" w:hAnsi="Tahoma" w:cs="Tahoma"/>
                <w:b/>
                <w:color w:val="000000"/>
                <w:sz w:val="18"/>
                <w:szCs w:val="18"/>
              </w:rPr>
              <w:t>74935</w:t>
            </w:r>
            <w:r w:rsidRPr="00AC77A0">
              <w:rPr>
                <w:rFonts w:ascii="Tahoma" w:hAnsi="Tahoma" w:cs="Tahoma"/>
                <w:b/>
                <w:sz w:val="18"/>
                <w:szCs w:val="18"/>
              </w:rPr>
              <w:t>.</w:t>
            </w:r>
            <w:r w:rsidR="00285D60" w:rsidRPr="00AC77A0">
              <w:rPr>
                <w:rFonts w:ascii="Tahoma" w:hAnsi="Tahoma" w:cs="Tahoma"/>
                <w:b/>
                <w:sz w:val="18"/>
                <w:szCs w:val="18"/>
              </w:rPr>
              <w:t>9</w:t>
            </w:r>
            <w:r w:rsidRPr="00AC77A0">
              <w:rPr>
                <w:rFonts w:ascii="Tahoma" w:hAnsi="Tahoma" w:cs="Tahoma"/>
                <w:b/>
                <w:sz w:val="18"/>
                <w:szCs w:val="18"/>
              </w:rPr>
              <w:t xml:space="preserve"> </w:t>
            </w:r>
            <w:r w:rsidRPr="00AC77A0">
              <w:rPr>
                <w:rFonts w:ascii="Tahoma" w:hAnsi="Tahoma" w:cs="Tahoma"/>
                <w:b/>
                <w:color w:val="000000"/>
                <w:sz w:val="18"/>
                <w:szCs w:val="18"/>
              </w:rPr>
              <w:t xml:space="preserve">million - </w:t>
            </w:r>
            <w:r w:rsidRPr="00AC77A0">
              <w:rPr>
                <w:rFonts w:ascii="Tahoma" w:hAnsi="Tahoma" w:cs="Tahoma"/>
                <w:b/>
                <w:bCs/>
                <w:sz w:val="18"/>
                <w:szCs w:val="18"/>
              </w:rPr>
              <w:t>which was a</w:t>
            </w:r>
            <w:r w:rsidR="00980A64" w:rsidRPr="00AC77A0">
              <w:rPr>
                <w:rFonts w:ascii="Tahoma" w:hAnsi="Tahoma" w:cs="Tahoma"/>
                <w:b/>
                <w:bCs/>
                <w:sz w:val="18"/>
                <w:szCs w:val="18"/>
              </w:rPr>
              <w:t>n</w:t>
            </w:r>
            <w:r w:rsidRPr="00AC77A0">
              <w:rPr>
                <w:rFonts w:ascii="Tahoma" w:hAnsi="Tahoma" w:cs="Tahoma"/>
                <w:b/>
                <w:bCs/>
                <w:sz w:val="18"/>
                <w:szCs w:val="18"/>
              </w:rPr>
              <w:t xml:space="preserve"> </w:t>
            </w:r>
            <w:r w:rsidR="00980A64" w:rsidRPr="00AC77A0">
              <w:rPr>
                <w:rFonts w:ascii="Tahoma" w:hAnsi="Tahoma" w:cs="Tahoma"/>
                <w:b/>
                <w:bCs/>
                <w:sz w:val="18"/>
                <w:szCs w:val="18"/>
              </w:rPr>
              <w:t>in</w:t>
            </w:r>
            <w:r w:rsidRPr="00AC77A0">
              <w:rPr>
                <w:rFonts w:ascii="Tahoma" w:hAnsi="Tahoma" w:cs="Tahoma"/>
                <w:b/>
                <w:bCs/>
                <w:sz w:val="18"/>
                <w:szCs w:val="18"/>
              </w:rPr>
              <w:t xml:space="preserve">crease of </w:t>
            </w:r>
            <w:r w:rsidR="00285D60" w:rsidRPr="00AC77A0">
              <w:rPr>
                <w:rFonts w:ascii="Tahoma" w:hAnsi="Tahoma" w:cs="Tahoma"/>
                <w:b/>
                <w:bCs/>
                <w:sz w:val="18"/>
                <w:szCs w:val="18"/>
              </w:rPr>
              <w:t>7</w:t>
            </w:r>
            <w:r w:rsidRPr="00AC77A0">
              <w:rPr>
                <w:rFonts w:ascii="Tahoma" w:hAnsi="Tahoma" w:cs="Tahoma"/>
                <w:b/>
                <w:bCs/>
                <w:sz w:val="18"/>
                <w:szCs w:val="18"/>
              </w:rPr>
              <w:t>.</w:t>
            </w:r>
            <w:r w:rsidR="00285D60" w:rsidRPr="00AC77A0">
              <w:rPr>
                <w:rFonts w:ascii="Tahoma" w:hAnsi="Tahoma" w:cs="Tahoma"/>
                <w:b/>
                <w:bCs/>
                <w:sz w:val="18"/>
                <w:szCs w:val="18"/>
              </w:rPr>
              <w:t>7</w:t>
            </w:r>
            <w:r w:rsidRPr="00AC77A0">
              <w:rPr>
                <w:rFonts w:ascii="Tahoma" w:hAnsi="Tahoma" w:cs="Tahoma"/>
                <w:b/>
                <w:bCs/>
                <w:sz w:val="18"/>
                <w:szCs w:val="18"/>
              </w:rPr>
              <w:t xml:space="preserve">% compared to the same period last year. </w:t>
            </w:r>
          </w:p>
          <w:p w14:paraId="1A1BC0D4" w14:textId="77777777" w:rsidR="0018508B" w:rsidRPr="00AC77A0" w:rsidRDefault="0018508B" w:rsidP="00A54184">
            <w:pPr>
              <w:jc w:val="both"/>
              <w:rPr>
                <w:rFonts w:ascii="Tahoma" w:hAnsi="Tahoma" w:cs="Tahoma"/>
                <w:b/>
                <w:bCs/>
                <w:sz w:val="18"/>
                <w:szCs w:val="18"/>
              </w:rPr>
            </w:pPr>
          </w:p>
          <w:p w14:paraId="4EE23104" w14:textId="261D9DEA" w:rsidR="00E351FD" w:rsidRDefault="00E351FD" w:rsidP="00A54184">
            <w:pPr>
              <w:jc w:val="both"/>
              <w:rPr>
                <w:rFonts w:ascii="Tahoma" w:hAnsi="Tahoma" w:cs="Tahoma"/>
                <w:sz w:val="18"/>
                <w:szCs w:val="18"/>
              </w:rPr>
            </w:pPr>
            <w:r w:rsidRPr="00AC77A0">
              <w:rPr>
                <w:rFonts w:ascii="Tahoma" w:hAnsi="Tahoma" w:cs="Tahoma"/>
                <w:sz w:val="18"/>
                <w:szCs w:val="18"/>
              </w:rPr>
              <w:t xml:space="preserve">The value of </w:t>
            </w:r>
            <w:r w:rsidRPr="00AC77A0">
              <w:rPr>
                <w:rFonts w:ascii="Tahoma" w:hAnsi="Tahoma" w:cs="Tahoma"/>
                <w:b/>
                <w:bCs/>
                <w:sz w:val="18"/>
                <w:szCs w:val="18"/>
              </w:rPr>
              <w:t>exports</w:t>
            </w:r>
            <w:r w:rsidRPr="00AC77A0">
              <w:rPr>
                <w:rFonts w:ascii="Tahoma" w:hAnsi="Tahoma" w:cs="Tahoma"/>
                <w:sz w:val="18"/>
                <w:szCs w:val="18"/>
              </w:rPr>
              <w:t xml:space="preserve"> amounted to </w:t>
            </w:r>
            <w:r w:rsidRPr="00AC77A0">
              <w:rPr>
                <w:rFonts w:ascii="Tahoma" w:hAnsi="Tahoma" w:cs="Tahoma"/>
                <w:b/>
                <w:bCs/>
                <w:sz w:val="18"/>
                <w:szCs w:val="18"/>
              </w:rPr>
              <w:t xml:space="preserve">USD </w:t>
            </w:r>
            <w:r w:rsidR="00A304C5" w:rsidRPr="00AC77A0">
              <w:rPr>
                <w:rFonts w:ascii="Tahoma" w:hAnsi="Tahoma" w:cs="Tahoma"/>
                <w:b/>
                <w:bCs/>
                <w:sz w:val="18"/>
                <w:szCs w:val="18"/>
              </w:rPr>
              <w:t>3</w:t>
            </w:r>
            <w:r w:rsidR="00285D60" w:rsidRPr="00AC77A0">
              <w:rPr>
                <w:rFonts w:ascii="Tahoma" w:hAnsi="Tahoma" w:cs="Tahoma"/>
                <w:b/>
                <w:bCs/>
                <w:sz w:val="18"/>
                <w:szCs w:val="18"/>
              </w:rPr>
              <w:t>7320</w:t>
            </w:r>
            <w:r w:rsidRPr="00AC77A0">
              <w:rPr>
                <w:rFonts w:ascii="Tahoma" w:hAnsi="Tahoma" w:cs="Tahoma"/>
                <w:b/>
                <w:bCs/>
                <w:sz w:val="18"/>
                <w:szCs w:val="18"/>
              </w:rPr>
              <w:t>.</w:t>
            </w:r>
            <w:r w:rsidR="00980A64" w:rsidRPr="00AC77A0">
              <w:rPr>
                <w:rFonts w:ascii="Tahoma" w:hAnsi="Tahoma" w:cs="Tahoma"/>
                <w:b/>
                <w:bCs/>
                <w:sz w:val="18"/>
                <w:szCs w:val="18"/>
              </w:rPr>
              <w:t>5</w:t>
            </w:r>
            <w:r w:rsidRPr="00AC77A0">
              <w:rPr>
                <w:rFonts w:ascii="Tahoma" w:hAnsi="Tahoma" w:cs="Tahoma"/>
                <w:b/>
                <w:bCs/>
                <w:sz w:val="18"/>
                <w:szCs w:val="18"/>
              </w:rPr>
              <w:t xml:space="preserve"> million</w:t>
            </w:r>
            <w:r w:rsidRPr="00AC77A0">
              <w:rPr>
                <w:rFonts w:ascii="Tahoma" w:hAnsi="Tahoma" w:cs="Tahoma"/>
                <w:sz w:val="18"/>
                <w:szCs w:val="18"/>
              </w:rPr>
              <w:t xml:space="preserve">, which was </w:t>
            </w:r>
            <w:r w:rsidR="00285D60" w:rsidRPr="00AC77A0">
              <w:rPr>
                <w:rFonts w:ascii="Tahoma" w:hAnsi="Tahoma" w:cs="Tahoma"/>
                <w:sz w:val="18"/>
                <w:szCs w:val="18"/>
              </w:rPr>
              <w:t>13</w:t>
            </w:r>
            <w:r w:rsidRPr="00AC77A0">
              <w:rPr>
                <w:rFonts w:ascii="Tahoma" w:hAnsi="Tahoma" w:cs="Tahoma"/>
                <w:sz w:val="18"/>
                <w:szCs w:val="18"/>
              </w:rPr>
              <w:t>.</w:t>
            </w:r>
            <w:r w:rsidR="00285D60" w:rsidRPr="00AC77A0">
              <w:rPr>
                <w:rFonts w:ascii="Tahoma" w:hAnsi="Tahoma" w:cs="Tahoma"/>
                <w:sz w:val="18"/>
                <w:szCs w:val="18"/>
              </w:rPr>
              <w:t>0</w:t>
            </w:r>
            <w:r w:rsidRPr="00AC77A0">
              <w:rPr>
                <w:rFonts w:ascii="Tahoma" w:hAnsi="Tahoma" w:cs="Tahoma"/>
                <w:sz w:val="18"/>
                <w:szCs w:val="18"/>
              </w:rPr>
              <w:t xml:space="preserve">% increase when compared to the same period last year, while the value of </w:t>
            </w:r>
            <w:r w:rsidRPr="00AC77A0">
              <w:rPr>
                <w:rFonts w:ascii="Tahoma" w:hAnsi="Tahoma" w:cs="Tahoma"/>
                <w:b/>
                <w:bCs/>
                <w:sz w:val="18"/>
                <w:szCs w:val="18"/>
              </w:rPr>
              <w:t>imports</w:t>
            </w:r>
            <w:r w:rsidRPr="00AC77A0">
              <w:rPr>
                <w:rFonts w:ascii="Tahoma" w:hAnsi="Tahoma" w:cs="Tahoma"/>
                <w:sz w:val="18"/>
                <w:szCs w:val="18"/>
              </w:rPr>
              <w:t xml:space="preserve"> amounted to </w:t>
            </w:r>
            <w:r w:rsidRPr="00AC77A0">
              <w:rPr>
                <w:rFonts w:ascii="Tahoma" w:hAnsi="Tahoma" w:cs="Tahoma"/>
                <w:b/>
                <w:sz w:val="18"/>
                <w:szCs w:val="18"/>
              </w:rPr>
              <w:t xml:space="preserve">USD </w:t>
            </w:r>
            <w:r w:rsidR="00980A64" w:rsidRPr="00AC77A0">
              <w:rPr>
                <w:rFonts w:ascii="Tahoma" w:hAnsi="Tahoma" w:cs="Tahoma"/>
                <w:b/>
                <w:sz w:val="18"/>
                <w:szCs w:val="18"/>
              </w:rPr>
              <w:t>4</w:t>
            </w:r>
            <w:r w:rsidR="00285D60" w:rsidRPr="00AC77A0">
              <w:rPr>
                <w:rFonts w:ascii="Tahoma" w:hAnsi="Tahoma" w:cs="Tahoma"/>
                <w:b/>
                <w:sz w:val="18"/>
                <w:szCs w:val="18"/>
              </w:rPr>
              <w:t>7</w:t>
            </w:r>
            <w:r w:rsidR="00980A64" w:rsidRPr="00AC77A0">
              <w:rPr>
                <w:rFonts w:ascii="Tahoma" w:hAnsi="Tahoma" w:cs="Tahoma"/>
                <w:b/>
                <w:sz w:val="18"/>
                <w:szCs w:val="18"/>
              </w:rPr>
              <w:t>2</w:t>
            </w:r>
            <w:r w:rsidR="00285D60" w:rsidRPr="00AC77A0">
              <w:rPr>
                <w:rFonts w:ascii="Tahoma" w:hAnsi="Tahoma" w:cs="Tahoma"/>
                <w:b/>
                <w:sz w:val="18"/>
                <w:szCs w:val="18"/>
              </w:rPr>
              <w:t>31</w:t>
            </w:r>
            <w:r w:rsidRPr="00AC77A0">
              <w:rPr>
                <w:rFonts w:ascii="Tahoma" w:hAnsi="Tahoma" w:cs="Tahoma"/>
                <w:b/>
                <w:bCs/>
                <w:sz w:val="18"/>
                <w:szCs w:val="18"/>
              </w:rPr>
              <w:t>.</w:t>
            </w:r>
            <w:r w:rsidR="00446D14">
              <w:rPr>
                <w:rFonts w:ascii="Tahoma" w:hAnsi="Tahoma" w:cs="Tahoma"/>
                <w:b/>
                <w:bCs/>
                <w:sz w:val="18"/>
                <w:szCs w:val="18"/>
              </w:rPr>
              <w:t>1</w:t>
            </w:r>
            <w:r w:rsidRPr="00AC77A0">
              <w:rPr>
                <w:rFonts w:ascii="Tahoma" w:hAnsi="Tahoma" w:cs="Tahoma"/>
                <w:b/>
                <w:bCs/>
                <w:sz w:val="18"/>
                <w:szCs w:val="18"/>
              </w:rPr>
              <w:t xml:space="preserve"> million</w:t>
            </w:r>
            <w:r w:rsidRPr="00AC77A0">
              <w:rPr>
                <w:rFonts w:ascii="Tahoma" w:hAnsi="Tahoma" w:cs="Tahoma"/>
                <w:sz w:val="18"/>
                <w:szCs w:val="18"/>
              </w:rPr>
              <w:t xml:space="preserve">, which was </w:t>
            </w:r>
            <w:r w:rsidR="00285D60" w:rsidRPr="00AC77A0">
              <w:rPr>
                <w:rFonts w:ascii="Tahoma" w:hAnsi="Tahoma" w:cs="Tahoma"/>
                <w:sz w:val="18"/>
                <w:szCs w:val="18"/>
              </w:rPr>
              <w:t>11</w:t>
            </w:r>
            <w:r w:rsidRPr="00AC77A0">
              <w:rPr>
                <w:rFonts w:ascii="Tahoma" w:hAnsi="Tahoma" w:cs="Tahoma"/>
                <w:sz w:val="18"/>
                <w:szCs w:val="18"/>
              </w:rPr>
              <w:t>.</w:t>
            </w:r>
            <w:r w:rsidR="00285D60" w:rsidRPr="00AC77A0">
              <w:rPr>
                <w:rFonts w:ascii="Tahoma" w:hAnsi="Tahoma" w:cs="Tahoma"/>
                <w:sz w:val="18"/>
                <w:szCs w:val="18"/>
              </w:rPr>
              <w:t>8</w:t>
            </w:r>
            <w:r w:rsidRPr="00AC77A0">
              <w:rPr>
                <w:rFonts w:ascii="Tahoma" w:hAnsi="Tahoma" w:cs="Tahoma"/>
                <w:sz w:val="18"/>
                <w:szCs w:val="18"/>
              </w:rPr>
              <w:t xml:space="preserve">% </w:t>
            </w:r>
            <w:r w:rsidR="00980A64" w:rsidRPr="00AC77A0">
              <w:rPr>
                <w:rFonts w:ascii="Tahoma" w:hAnsi="Tahoma" w:cs="Tahoma"/>
                <w:sz w:val="18"/>
                <w:szCs w:val="18"/>
              </w:rPr>
              <w:t>in</w:t>
            </w:r>
            <w:r w:rsidRPr="00AC77A0">
              <w:rPr>
                <w:rFonts w:ascii="Tahoma" w:hAnsi="Tahoma" w:cs="Tahoma"/>
                <w:sz w:val="18"/>
                <w:szCs w:val="18"/>
              </w:rPr>
              <w:t>crease relative to the same period last year.</w:t>
            </w:r>
          </w:p>
          <w:p w14:paraId="3219BCD3" w14:textId="77777777" w:rsidR="0018508B" w:rsidRPr="00AC77A0" w:rsidRDefault="0018508B" w:rsidP="00A54184">
            <w:pPr>
              <w:jc w:val="both"/>
              <w:rPr>
                <w:rFonts w:ascii="Tahoma" w:hAnsi="Tahoma" w:cs="Tahoma"/>
                <w:color w:val="FF0000"/>
                <w:sz w:val="18"/>
                <w:szCs w:val="18"/>
              </w:rPr>
            </w:pPr>
          </w:p>
          <w:p w14:paraId="6A4E14DD" w14:textId="6F6A8760" w:rsidR="00E351FD" w:rsidRDefault="00E351FD" w:rsidP="00A54184">
            <w:pPr>
              <w:jc w:val="both"/>
              <w:rPr>
                <w:rFonts w:ascii="Tahoma" w:hAnsi="Tahoma" w:cs="Tahoma"/>
                <w:sz w:val="18"/>
                <w:szCs w:val="18"/>
              </w:rPr>
            </w:pPr>
            <w:r w:rsidRPr="00AC77A0">
              <w:rPr>
                <w:rFonts w:ascii="Tahoma" w:hAnsi="Tahoma" w:cs="Tahoma"/>
                <w:sz w:val="18"/>
                <w:szCs w:val="18"/>
              </w:rPr>
              <w:t xml:space="preserve">Expressed in </w:t>
            </w:r>
            <w:r w:rsidRPr="00AC77A0">
              <w:rPr>
                <w:rFonts w:ascii="Tahoma" w:hAnsi="Tahoma" w:cs="Tahoma"/>
                <w:b/>
                <w:bCs/>
                <w:sz w:val="18"/>
                <w:szCs w:val="18"/>
              </w:rPr>
              <w:t>Euros</w:t>
            </w:r>
            <w:r w:rsidRPr="00AC77A0">
              <w:rPr>
                <w:rFonts w:ascii="Tahoma" w:hAnsi="Tahoma" w:cs="Tahoma"/>
                <w:sz w:val="18"/>
                <w:szCs w:val="18"/>
              </w:rPr>
              <w:t xml:space="preserve">, the value of </w:t>
            </w:r>
            <w:r w:rsidRPr="00AC77A0">
              <w:rPr>
                <w:rFonts w:ascii="Tahoma" w:hAnsi="Tahoma" w:cs="Tahoma"/>
                <w:b/>
                <w:bCs/>
                <w:sz w:val="18"/>
                <w:szCs w:val="18"/>
              </w:rPr>
              <w:t>exports</w:t>
            </w:r>
            <w:r w:rsidRPr="00AC77A0">
              <w:rPr>
                <w:rFonts w:ascii="Tahoma" w:hAnsi="Tahoma" w:cs="Tahoma"/>
                <w:sz w:val="18"/>
                <w:szCs w:val="18"/>
              </w:rPr>
              <w:t xml:space="preserve"> amounted to </w:t>
            </w:r>
            <w:r w:rsidRPr="00AC77A0">
              <w:rPr>
                <w:rFonts w:ascii="Tahoma" w:hAnsi="Tahoma" w:cs="Tahoma"/>
                <w:b/>
                <w:bCs/>
                <w:sz w:val="18"/>
                <w:szCs w:val="18"/>
              </w:rPr>
              <w:t xml:space="preserve">EUR </w:t>
            </w:r>
            <w:r w:rsidR="00980A64" w:rsidRPr="00AC77A0">
              <w:rPr>
                <w:rFonts w:ascii="Tahoma" w:hAnsi="Tahoma" w:cs="Tahoma"/>
                <w:b/>
                <w:bCs/>
                <w:sz w:val="18"/>
                <w:szCs w:val="18"/>
              </w:rPr>
              <w:t>33</w:t>
            </w:r>
            <w:r w:rsidR="00285D60" w:rsidRPr="00AC77A0">
              <w:rPr>
                <w:rFonts w:ascii="Tahoma" w:hAnsi="Tahoma" w:cs="Tahoma"/>
                <w:b/>
                <w:bCs/>
                <w:sz w:val="18"/>
                <w:szCs w:val="18"/>
              </w:rPr>
              <w:t>073</w:t>
            </w:r>
            <w:r w:rsidRPr="00AC77A0">
              <w:rPr>
                <w:rFonts w:ascii="Tahoma" w:hAnsi="Tahoma" w:cs="Tahoma"/>
                <w:b/>
                <w:bCs/>
                <w:sz w:val="18"/>
                <w:szCs w:val="18"/>
              </w:rPr>
              <w:t>.</w:t>
            </w:r>
            <w:r w:rsidR="00285D60" w:rsidRPr="00AC77A0">
              <w:rPr>
                <w:rFonts w:ascii="Tahoma" w:hAnsi="Tahoma" w:cs="Tahoma"/>
                <w:b/>
                <w:bCs/>
                <w:sz w:val="18"/>
                <w:szCs w:val="18"/>
              </w:rPr>
              <w:t>3</w:t>
            </w:r>
            <w:r w:rsidRPr="00AC77A0">
              <w:rPr>
                <w:rFonts w:ascii="Tahoma" w:hAnsi="Tahoma" w:cs="Tahoma"/>
                <w:b/>
                <w:bCs/>
                <w:sz w:val="18"/>
                <w:szCs w:val="18"/>
              </w:rPr>
              <w:t xml:space="preserve"> million</w:t>
            </w:r>
            <w:r w:rsidRPr="00AC77A0">
              <w:rPr>
                <w:rFonts w:ascii="Tahoma" w:hAnsi="Tahoma" w:cs="Tahoma"/>
                <w:sz w:val="18"/>
                <w:szCs w:val="18"/>
              </w:rPr>
              <w:t xml:space="preserve">, which was </w:t>
            </w:r>
            <w:r w:rsidR="00285D60" w:rsidRPr="00AC77A0">
              <w:rPr>
                <w:rFonts w:ascii="Tahoma" w:hAnsi="Tahoma" w:cs="Tahoma"/>
                <w:sz w:val="18"/>
                <w:szCs w:val="18"/>
              </w:rPr>
              <w:t>8</w:t>
            </w:r>
            <w:r w:rsidRPr="00AC77A0">
              <w:rPr>
                <w:rFonts w:ascii="Tahoma" w:hAnsi="Tahoma" w:cs="Tahoma"/>
                <w:sz w:val="18"/>
                <w:szCs w:val="18"/>
              </w:rPr>
              <w:t>.</w:t>
            </w:r>
            <w:r w:rsidR="00285D60" w:rsidRPr="00AC77A0">
              <w:rPr>
                <w:rFonts w:ascii="Tahoma" w:hAnsi="Tahoma" w:cs="Tahoma"/>
                <w:sz w:val="18"/>
                <w:szCs w:val="18"/>
              </w:rPr>
              <w:t>4</w:t>
            </w:r>
            <w:r w:rsidRPr="00AC77A0">
              <w:rPr>
                <w:rFonts w:ascii="Tahoma" w:hAnsi="Tahoma" w:cs="Tahoma"/>
                <w:sz w:val="18"/>
                <w:szCs w:val="18"/>
              </w:rPr>
              <w:t xml:space="preserve">% increase, compared to the same period last year. The value of </w:t>
            </w:r>
            <w:r w:rsidRPr="00AC77A0">
              <w:rPr>
                <w:rFonts w:ascii="Tahoma" w:hAnsi="Tahoma" w:cs="Tahoma"/>
                <w:b/>
                <w:bCs/>
                <w:sz w:val="18"/>
                <w:szCs w:val="18"/>
              </w:rPr>
              <w:t>imports</w:t>
            </w:r>
            <w:r w:rsidRPr="00AC77A0">
              <w:rPr>
                <w:rFonts w:ascii="Tahoma" w:hAnsi="Tahoma" w:cs="Tahoma"/>
                <w:sz w:val="18"/>
                <w:szCs w:val="18"/>
              </w:rPr>
              <w:t xml:space="preserve"> amounted to </w:t>
            </w:r>
            <w:r w:rsidRPr="00AC77A0">
              <w:rPr>
                <w:rFonts w:ascii="Tahoma" w:hAnsi="Tahoma" w:cs="Tahoma"/>
                <w:b/>
                <w:bCs/>
                <w:sz w:val="18"/>
                <w:szCs w:val="18"/>
              </w:rPr>
              <w:t xml:space="preserve">EUR </w:t>
            </w:r>
            <w:r w:rsidR="00980A64" w:rsidRPr="00AC77A0">
              <w:rPr>
                <w:rFonts w:ascii="Tahoma" w:hAnsi="Tahoma" w:cs="Tahoma"/>
                <w:b/>
                <w:bCs/>
                <w:sz w:val="18"/>
                <w:szCs w:val="18"/>
              </w:rPr>
              <w:t>4</w:t>
            </w:r>
            <w:r w:rsidR="00285D60" w:rsidRPr="00AC77A0">
              <w:rPr>
                <w:rFonts w:ascii="Tahoma" w:hAnsi="Tahoma" w:cs="Tahoma"/>
                <w:b/>
                <w:bCs/>
                <w:sz w:val="18"/>
                <w:szCs w:val="18"/>
              </w:rPr>
              <w:t>1862</w:t>
            </w:r>
            <w:r w:rsidRPr="00AC77A0">
              <w:rPr>
                <w:rFonts w:ascii="Tahoma" w:hAnsi="Tahoma" w:cs="Tahoma"/>
                <w:b/>
                <w:bCs/>
                <w:sz w:val="18"/>
                <w:szCs w:val="18"/>
              </w:rPr>
              <w:t>.</w:t>
            </w:r>
            <w:r w:rsidR="00285D60" w:rsidRPr="00AC77A0">
              <w:rPr>
                <w:rFonts w:ascii="Tahoma" w:hAnsi="Tahoma" w:cs="Tahoma"/>
                <w:b/>
                <w:bCs/>
                <w:sz w:val="18"/>
                <w:szCs w:val="18"/>
              </w:rPr>
              <w:t>6</w:t>
            </w:r>
            <w:r w:rsidRPr="00AC77A0">
              <w:rPr>
                <w:rFonts w:ascii="Tahoma" w:hAnsi="Tahoma" w:cs="Tahoma"/>
                <w:b/>
                <w:bCs/>
                <w:sz w:val="18"/>
                <w:szCs w:val="18"/>
              </w:rPr>
              <w:t xml:space="preserve"> million</w:t>
            </w:r>
            <w:r w:rsidRPr="00AC77A0">
              <w:rPr>
                <w:rFonts w:ascii="Tahoma" w:hAnsi="Tahoma" w:cs="Tahoma"/>
                <w:sz w:val="18"/>
                <w:szCs w:val="18"/>
              </w:rPr>
              <w:t xml:space="preserve">, which was </w:t>
            </w:r>
            <w:r w:rsidR="00285D60" w:rsidRPr="00AC77A0">
              <w:rPr>
                <w:rFonts w:ascii="Tahoma" w:hAnsi="Tahoma" w:cs="Tahoma"/>
                <w:sz w:val="18"/>
                <w:szCs w:val="18"/>
              </w:rPr>
              <w:t>7</w:t>
            </w:r>
            <w:r w:rsidRPr="00AC77A0">
              <w:rPr>
                <w:rFonts w:ascii="Tahoma" w:hAnsi="Tahoma" w:cs="Tahoma"/>
                <w:sz w:val="18"/>
                <w:szCs w:val="18"/>
              </w:rPr>
              <w:t>.</w:t>
            </w:r>
            <w:r w:rsidR="00285D60" w:rsidRPr="00AC77A0">
              <w:rPr>
                <w:rFonts w:ascii="Tahoma" w:hAnsi="Tahoma" w:cs="Tahoma"/>
                <w:sz w:val="18"/>
                <w:szCs w:val="18"/>
              </w:rPr>
              <w:t>2</w:t>
            </w:r>
            <w:r w:rsidRPr="00AC77A0">
              <w:rPr>
                <w:rFonts w:ascii="Tahoma" w:hAnsi="Tahoma" w:cs="Tahoma"/>
                <w:sz w:val="18"/>
                <w:szCs w:val="18"/>
              </w:rPr>
              <w:t xml:space="preserve">% </w:t>
            </w:r>
            <w:r w:rsidR="00980A64" w:rsidRPr="00AC77A0">
              <w:rPr>
                <w:rFonts w:ascii="Tahoma" w:hAnsi="Tahoma" w:cs="Tahoma"/>
                <w:sz w:val="18"/>
                <w:szCs w:val="18"/>
              </w:rPr>
              <w:t>in</w:t>
            </w:r>
            <w:r w:rsidRPr="00AC77A0">
              <w:rPr>
                <w:rFonts w:ascii="Tahoma" w:hAnsi="Tahoma" w:cs="Tahoma"/>
                <w:sz w:val="18"/>
                <w:szCs w:val="18"/>
              </w:rPr>
              <w:t xml:space="preserve">crease when compared to the same period last year. </w:t>
            </w:r>
          </w:p>
          <w:p w14:paraId="1402AB36" w14:textId="77777777" w:rsidR="00F06A7D" w:rsidRPr="00AC77A0" w:rsidRDefault="00F06A7D" w:rsidP="00A54184">
            <w:pPr>
              <w:jc w:val="both"/>
              <w:rPr>
                <w:rFonts w:ascii="Tahoma" w:hAnsi="Tahoma" w:cs="Tahoma"/>
                <w:sz w:val="18"/>
                <w:szCs w:val="18"/>
              </w:rPr>
            </w:pPr>
          </w:p>
          <w:p w14:paraId="5AFEABBD" w14:textId="33ED5452" w:rsidR="00E351FD" w:rsidRDefault="00E351FD" w:rsidP="00A54184">
            <w:pPr>
              <w:jc w:val="both"/>
              <w:rPr>
                <w:rFonts w:ascii="Tahoma" w:hAnsi="Tahoma" w:cs="Tahoma"/>
                <w:sz w:val="18"/>
                <w:szCs w:val="18"/>
              </w:rPr>
            </w:pPr>
            <w:r w:rsidRPr="00AC77A0">
              <w:rPr>
                <w:rFonts w:ascii="Tahoma" w:hAnsi="Tahoma" w:cs="Tahoma"/>
                <w:b/>
                <w:bCs/>
                <w:sz w:val="18"/>
                <w:szCs w:val="18"/>
              </w:rPr>
              <w:t>The deficit</w:t>
            </w:r>
            <w:r w:rsidRPr="00AC77A0">
              <w:rPr>
                <w:rFonts w:ascii="Tahoma" w:hAnsi="Tahoma" w:cs="Tahoma"/>
                <w:sz w:val="18"/>
                <w:szCs w:val="18"/>
              </w:rPr>
              <w:t xml:space="preserve"> amounted to </w:t>
            </w:r>
            <w:r w:rsidRPr="00AC77A0">
              <w:rPr>
                <w:rFonts w:ascii="Tahoma" w:hAnsi="Tahoma" w:cs="Tahoma"/>
                <w:b/>
                <w:bCs/>
                <w:sz w:val="18"/>
                <w:szCs w:val="18"/>
              </w:rPr>
              <w:t xml:space="preserve">USD </w:t>
            </w:r>
            <w:r w:rsidR="00980A64" w:rsidRPr="00AC77A0">
              <w:rPr>
                <w:rFonts w:ascii="Tahoma" w:hAnsi="Tahoma" w:cs="Tahoma"/>
                <w:b/>
                <w:bCs/>
                <w:sz w:val="18"/>
                <w:szCs w:val="18"/>
              </w:rPr>
              <w:t>9</w:t>
            </w:r>
            <w:r w:rsidR="00285D60" w:rsidRPr="00AC77A0">
              <w:rPr>
                <w:rFonts w:ascii="Tahoma" w:hAnsi="Tahoma" w:cs="Tahoma"/>
                <w:b/>
                <w:bCs/>
                <w:sz w:val="18"/>
                <w:szCs w:val="18"/>
              </w:rPr>
              <w:t>910</w:t>
            </w:r>
            <w:r w:rsidRPr="00AC77A0">
              <w:rPr>
                <w:rFonts w:ascii="Tahoma" w:hAnsi="Tahoma" w:cs="Tahoma"/>
                <w:b/>
                <w:bCs/>
                <w:sz w:val="18"/>
                <w:szCs w:val="18"/>
              </w:rPr>
              <w:t>.</w:t>
            </w:r>
            <w:r w:rsidR="00285D60" w:rsidRPr="00AC77A0">
              <w:rPr>
                <w:rFonts w:ascii="Tahoma" w:hAnsi="Tahoma" w:cs="Tahoma"/>
                <w:b/>
                <w:bCs/>
                <w:sz w:val="18"/>
                <w:szCs w:val="18"/>
              </w:rPr>
              <w:t>5</w:t>
            </w:r>
            <w:r w:rsidRPr="00AC77A0">
              <w:rPr>
                <w:rFonts w:ascii="Tahoma" w:hAnsi="Tahoma" w:cs="Tahoma"/>
                <w:b/>
                <w:bCs/>
                <w:sz w:val="18"/>
                <w:szCs w:val="18"/>
              </w:rPr>
              <w:t xml:space="preserve"> million</w:t>
            </w:r>
            <w:r w:rsidRPr="00AC77A0">
              <w:rPr>
                <w:rFonts w:ascii="Tahoma" w:hAnsi="Tahoma" w:cs="Tahoma"/>
                <w:sz w:val="18"/>
                <w:szCs w:val="18"/>
              </w:rPr>
              <w:t>, which was a</w:t>
            </w:r>
            <w:r w:rsidR="00980A64" w:rsidRPr="00AC77A0">
              <w:rPr>
                <w:rFonts w:ascii="Tahoma" w:hAnsi="Tahoma" w:cs="Tahoma"/>
                <w:sz w:val="18"/>
                <w:szCs w:val="18"/>
              </w:rPr>
              <w:t>n</w:t>
            </w:r>
            <w:r w:rsidRPr="00AC77A0">
              <w:rPr>
                <w:rFonts w:ascii="Tahoma" w:hAnsi="Tahoma" w:cs="Tahoma"/>
                <w:sz w:val="18"/>
                <w:szCs w:val="18"/>
              </w:rPr>
              <w:t xml:space="preserve"> </w:t>
            </w:r>
            <w:r w:rsidR="00980A64" w:rsidRPr="00AC77A0">
              <w:rPr>
                <w:rFonts w:ascii="Tahoma" w:hAnsi="Tahoma" w:cs="Tahoma"/>
                <w:b/>
                <w:bCs/>
                <w:sz w:val="18"/>
                <w:szCs w:val="18"/>
              </w:rPr>
              <w:t>in</w:t>
            </w:r>
            <w:r w:rsidRPr="00AC77A0">
              <w:rPr>
                <w:rFonts w:ascii="Tahoma" w:hAnsi="Tahoma" w:cs="Tahoma"/>
                <w:b/>
                <w:bCs/>
                <w:sz w:val="18"/>
                <w:szCs w:val="18"/>
              </w:rPr>
              <w:t xml:space="preserve">crease of </w:t>
            </w:r>
            <w:r w:rsidR="00285D60" w:rsidRPr="00AC77A0">
              <w:rPr>
                <w:rFonts w:ascii="Tahoma" w:hAnsi="Tahoma" w:cs="Tahoma"/>
                <w:b/>
                <w:bCs/>
                <w:sz w:val="18"/>
                <w:szCs w:val="18"/>
              </w:rPr>
              <w:t>7</w:t>
            </w:r>
            <w:r w:rsidRPr="00AC77A0">
              <w:rPr>
                <w:rFonts w:ascii="Tahoma" w:hAnsi="Tahoma" w:cs="Tahoma"/>
                <w:b/>
                <w:bCs/>
                <w:sz w:val="18"/>
                <w:szCs w:val="18"/>
              </w:rPr>
              <w:t>.</w:t>
            </w:r>
            <w:r w:rsidR="00285D60" w:rsidRPr="00AC77A0">
              <w:rPr>
                <w:rFonts w:ascii="Tahoma" w:hAnsi="Tahoma" w:cs="Tahoma"/>
                <w:b/>
                <w:bCs/>
                <w:sz w:val="18"/>
                <w:szCs w:val="18"/>
              </w:rPr>
              <w:t>4</w:t>
            </w:r>
            <w:r w:rsidRPr="00AC77A0">
              <w:rPr>
                <w:rFonts w:ascii="Tahoma" w:hAnsi="Tahoma" w:cs="Tahoma"/>
                <w:b/>
                <w:bCs/>
                <w:sz w:val="18"/>
                <w:szCs w:val="18"/>
              </w:rPr>
              <w:t xml:space="preserve">% </w:t>
            </w:r>
            <w:r w:rsidRPr="00AC77A0">
              <w:rPr>
                <w:rFonts w:ascii="Tahoma" w:hAnsi="Tahoma" w:cs="Tahoma"/>
                <w:sz w:val="18"/>
                <w:szCs w:val="18"/>
              </w:rPr>
              <w:t xml:space="preserve">in relation to the same period last year. The deficit expressed in </w:t>
            </w:r>
            <w:r w:rsidRPr="000B3184">
              <w:rPr>
                <w:rFonts w:ascii="Tahoma" w:hAnsi="Tahoma" w:cs="Tahoma"/>
                <w:b/>
                <w:bCs/>
                <w:sz w:val="18"/>
                <w:szCs w:val="18"/>
              </w:rPr>
              <w:t>Euros</w:t>
            </w:r>
            <w:r w:rsidRPr="00AC77A0">
              <w:rPr>
                <w:rFonts w:ascii="Tahoma" w:hAnsi="Tahoma" w:cs="Tahoma"/>
                <w:sz w:val="18"/>
                <w:szCs w:val="18"/>
              </w:rPr>
              <w:t xml:space="preserve"> amounted to </w:t>
            </w:r>
            <w:r w:rsidR="00B75FC7" w:rsidRPr="00B75FC7">
              <w:rPr>
                <w:rFonts w:ascii="Tahoma" w:hAnsi="Tahoma" w:cs="Tahoma"/>
                <w:b/>
                <w:bCs/>
                <w:sz w:val="18"/>
                <w:szCs w:val="18"/>
              </w:rPr>
              <w:t>EUR</w:t>
            </w:r>
            <w:r w:rsidR="00B75FC7">
              <w:rPr>
                <w:rFonts w:ascii="Tahoma" w:hAnsi="Tahoma" w:cs="Tahoma"/>
                <w:sz w:val="18"/>
                <w:szCs w:val="18"/>
              </w:rPr>
              <w:t xml:space="preserve"> </w:t>
            </w:r>
            <w:r w:rsidR="00A304C5" w:rsidRPr="00AC77A0">
              <w:rPr>
                <w:rFonts w:ascii="Tahoma" w:hAnsi="Tahoma" w:cs="Tahoma"/>
                <w:b/>
                <w:sz w:val="18"/>
                <w:szCs w:val="18"/>
              </w:rPr>
              <w:t>8</w:t>
            </w:r>
            <w:r w:rsidR="00285D60" w:rsidRPr="00AC77A0">
              <w:rPr>
                <w:rFonts w:ascii="Tahoma" w:hAnsi="Tahoma" w:cs="Tahoma"/>
                <w:b/>
                <w:sz w:val="18"/>
                <w:szCs w:val="18"/>
              </w:rPr>
              <w:t>789</w:t>
            </w:r>
            <w:r w:rsidRPr="00AC77A0">
              <w:rPr>
                <w:rFonts w:ascii="Tahoma" w:hAnsi="Tahoma" w:cs="Tahoma"/>
                <w:b/>
                <w:sz w:val="18"/>
                <w:szCs w:val="18"/>
              </w:rPr>
              <w:t>.</w:t>
            </w:r>
            <w:r w:rsidR="00285D60" w:rsidRPr="00AC77A0">
              <w:rPr>
                <w:rFonts w:ascii="Tahoma" w:hAnsi="Tahoma" w:cs="Tahoma"/>
                <w:b/>
                <w:sz w:val="18"/>
                <w:szCs w:val="18"/>
              </w:rPr>
              <w:t>3</w:t>
            </w:r>
            <w:r w:rsidRPr="00AC77A0">
              <w:rPr>
                <w:rFonts w:ascii="Tahoma" w:hAnsi="Tahoma" w:cs="Tahoma"/>
                <w:sz w:val="18"/>
                <w:szCs w:val="18"/>
              </w:rPr>
              <w:t xml:space="preserve"> </w:t>
            </w:r>
            <w:r w:rsidRPr="00B75FC7">
              <w:rPr>
                <w:rFonts w:ascii="Tahoma" w:hAnsi="Tahoma" w:cs="Tahoma"/>
                <w:b/>
                <w:bCs/>
                <w:sz w:val="18"/>
                <w:szCs w:val="18"/>
              </w:rPr>
              <w:t>million</w:t>
            </w:r>
            <w:r w:rsidRPr="00AC77A0">
              <w:rPr>
                <w:rFonts w:ascii="Tahoma" w:hAnsi="Tahoma" w:cs="Tahoma"/>
                <w:sz w:val="18"/>
                <w:szCs w:val="18"/>
              </w:rPr>
              <w:t>, which was a</w:t>
            </w:r>
            <w:r w:rsidR="00980A64" w:rsidRPr="00AC77A0">
              <w:rPr>
                <w:rFonts w:ascii="Tahoma" w:hAnsi="Tahoma" w:cs="Tahoma"/>
                <w:sz w:val="18"/>
                <w:szCs w:val="18"/>
              </w:rPr>
              <w:t>n</w:t>
            </w:r>
            <w:r w:rsidRPr="00AC77A0">
              <w:rPr>
                <w:rFonts w:ascii="Tahoma" w:hAnsi="Tahoma" w:cs="Tahoma"/>
                <w:sz w:val="18"/>
                <w:szCs w:val="18"/>
              </w:rPr>
              <w:t xml:space="preserve"> </w:t>
            </w:r>
            <w:r w:rsidR="00980A64" w:rsidRPr="00AC77A0">
              <w:rPr>
                <w:rFonts w:ascii="Tahoma" w:hAnsi="Tahoma" w:cs="Tahoma"/>
                <w:b/>
                <w:sz w:val="18"/>
                <w:szCs w:val="18"/>
              </w:rPr>
              <w:t>in</w:t>
            </w:r>
            <w:r w:rsidRPr="00AC77A0">
              <w:rPr>
                <w:rFonts w:ascii="Tahoma" w:hAnsi="Tahoma" w:cs="Tahoma"/>
                <w:b/>
                <w:sz w:val="18"/>
                <w:szCs w:val="18"/>
              </w:rPr>
              <w:t xml:space="preserve">crease of </w:t>
            </w:r>
            <w:r w:rsidR="00285D60" w:rsidRPr="00AC77A0">
              <w:rPr>
                <w:rFonts w:ascii="Tahoma" w:hAnsi="Tahoma" w:cs="Tahoma"/>
                <w:b/>
                <w:sz w:val="18"/>
                <w:szCs w:val="18"/>
              </w:rPr>
              <w:t>2</w:t>
            </w:r>
            <w:r w:rsidRPr="00AC77A0">
              <w:rPr>
                <w:rFonts w:ascii="Tahoma" w:hAnsi="Tahoma" w:cs="Tahoma"/>
                <w:b/>
                <w:sz w:val="18"/>
                <w:szCs w:val="18"/>
              </w:rPr>
              <w:t>.</w:t>
            </w:r>
            <w:r w:rsidR="00285D60" w:rsidRPr="00AC77A0">
              <w:rPr>
                <w:rFonts w:ascii="Tahoma" w:hAnsi="Tahoma" w:cs="Tahoma"/>
                <w:b/>
                <w:sz w:val="18"/>
                <w:szCs w:val="18"/>
              </w:rPr>
              <w:t>9</w:t>
            </w:r>
            <w:r w:rsidRPr="00AC77A0">
              <w:rPr>
                <w:rFonts w:ascii="Tahoma" w:hAnsi="Tahoma" w:cs="Tahoma"/>
                <w:b/>
                <w:sz w:val="18"/>
                <w:szCs w:val="18"/>
              </w:rPr>
              <w:t>%</w:t>
            </w:r>
            <w:r w:rsidRPr="00AC77A0">
              <w:rPr>
                <w:rFonts w:ascii="Tahoma" w:hAnsi="Tahoma" w:cs="Tahoma"/>
                <w:sz w:val="18"/>
                <w:szCs w:val="18"/>
              </w:rPr>
              <w:t xml:space="preserve"> compared to the same period last year.</w:t>
            </w:r>
          </w:p>
          <w:p w14:paraId="4AE96E76" w14:textId="77777777" w:rsidR="00F06A7D" w:rsidRPr="00AC77A0" w:rsidRDefault="00F06A7D" w:rsidP="00A54184">
            <w:pPr>
              <w:jc w:val="both"/>
              <w:rPr>
                <w:rFonts w:ascii="Tahoma" w:hAnsi="Tahoma" w:cs="Tahoma"/>
                <w:sz w:val="18"/>
                <w:szCs w:val="18"/>
              </w:rPr>
            </w:pPr>
          </w:p>
          <w:p w14:paraId="1FFB88BF" w14:textId="53EB2ABC" w:rsidR="00E351FD" w:rsidRDefault="00E351FD" w:rsidP="00A54184">
            <w:pPr>
              <w:jc w:val="both"/>
              <w:rPr>
                <w:rFonts w:ascii="Tahoma" w:hAnsi="Tahoma" w:cs="Tahoma"/>
                <w:sz w:val="18"/>
                <w:szCs w:val="18"/>
              </w:rPr>
            </w:pPr>
            <w:r w:rsidRPr="00AC77A0">
              <w:rPr>
                <w:rFonts w:ascii="Tahoma" w:hAnsi="Tahoma" w:cs="Tahoma"/>
                <w:b/>
                <w:bCs/>
                <w:sz w:val="18"/>
                <w:szCs w:val="18"/>
              </w:rPr>
              <w:t xml:space="preserve">The export - import ratio </w:t>
            </w:r>
            <w:r w:rsidRPr="00AC77A0">
              <w:rPr>
                <w:rFonts w:ascii="Tahoma" w:hAnsi="Tahoma" w:cs="Tahoma"/>
                <w:sz w:val="18"/>
                <w:szCs w:val="18"/>
              </w:rPr>
              <w:t xml:space="preserve">equalled </w:t>
            </w:r>
            <w:r w:rsidRPr="00AC77A0">
              <w:rPr>
                <w:rFonts w:ascii="Tahoma" w:hAnsi="Tahoma" w:cs="Tahoma"/>
                <w:b/>
                <w:sz w:val="18"/>
                <w:szCs w:val="18"/>
              </w:rPr>
              <w:t>7</w:t>
            </w:r>
            <w:r w:rsidR="00285D60" w:rsidRPr="00AC77A0">
              <w:rPr>
                <w:rFonts w:ascii="Tahoma" w:hAnsi="Tahoma" w:cs="Tahoma"/>
                <w:b/>
                <w:sz w:val="18"/>
                <w:szCs w:val="18"/>
              </w:rPr>
              <w:t>9</w:t>
            </w:r>
            <w:r w:rsidRPr="00AC77A0">
              <w:rPr>
                <w:rFonts w:ascii="Tahoma" w:hAnsi="Tahoma" w:cs="Tahoma"/>
                <w:b/>
                <w:sz w:val="18"/>
                <w:szCs w:val="18"/>
              </w:rPr>
              <w:t>.</w:t>
            </w:r>
            <w:r w:rsidR="00285D60" w:rsidRPr="00AC77A0">
              <w:rPr>
                <w:rFonts w:ascii="Tahoma" w:hAnsi="Tahoma" w:cs="Tahoma"/>
                <w:b/>
                <w:sz w:val="18"/>
                <w:szCs w:val="18"/>
              </w:rPr>
              <w:t>0</w:t>
            </w:r>
            <w:r w:rsidRPr="00AC77A0">
              <w:rPr>
                <w:rFonts w:ascii="Tahoma" w:hAnsi="Tahoma" w:cs="Tahoma"/>
                <w:b/>
                <w:bCs/>
                <w:sz w:val="18"/>
                <w:szCs w:val="18"/>
              </w:rPr>
              <w:t>%</w:t>
            </w:r>
            <w:r w:rsidRPr="00AC77A0">
              <w:rPr>
                <w:rFonts w:ascii="Tahoma" w:hAnsi="Tahoma" w:cs="Tahoma"/>
                <w:sz w:val="18"/>
                <w:szCs w:val="18"/>
              </w:rPr>
              <w:t xml:space="preserve"> and was higher if compared to the same period last year when it was 7</w:t>
            </w:r>
            <w:r w:rsidR="00285D60" w:rsidRPr="00AC77A0">
              <w:rPr>
                <w:rFonts w:ascii="Tahoma" w:hAnsi="Tahoma" w:cs="Tahoma"/>
                <w:sz w:val="18"/>
                <w:szCs w:val="18"/>
              </w:rPr>
              <w:t>8</w:t>
            </w:r>
            <w:r w:rsidRPr="00AC77A0">
              <w:rPr>
                <w:rFonts w:ascii="Tahoma" w:hAnsi="Tahoma" w:cs="Tahoma"/>
                <w:sz w:val="18"/>
                <w:szCs w:val="18"/>
              </w:rPr>
              <w:t>.</w:t>
            </w:r>
            <w:r w:rsidR="00285D60" w:rsidRPr="00AC77A0">
              <w:rPr>
                <w:rFonts w:ascii="Tahoma" w:hAnsi="Tahoma" w:cs="Tahoma"/>
                <w:sz w:val="18"/>
                <w:szCs w:val="18"/>
              </w:rPr>
              <w:t>2</w:t>
            </w:r>
            <w:r w:rsidRPr="00AC77A0">
              <w:rPr>
                <w:rFonts w:ascii="Tahoma" w:hAnsi="Tahoma" w:cs="Tahoma"/>
                <w:sz w:val="18"/>
                <w:szCs w:val="18"/>
              </w:rPr>
              <w:t>%.</w:t>
            </w:r>
          </w:p>
          <w:p w14:paraId="353D8AD3" w14:textId="77777777" w:rsidR="00F06A7D" w:rsidRPr="00AC77A0" w:rsidRDefault="00F06A7D" w:rsidP="00A54184">
            <w:pPr>
              <w:jc w:val="both"/>
              <w:rPr>
                <w:rFonts w:ascii="Arial" w:hAnsi="Arial" w:cs="Arial"/>
                <w:sz w:val="22"/>
                <w:szCs w:val="22"/>
              </w:rPr>
            </w:pPr>
          </w:p>
          <w:p w14:paraId="62E68618" w14:textId="391A86AC" w:rsidR="00E351FD" w:rsidRPr="00AC77A0" w:rsidRDefault="00E351FD" w:rsidP="00A54184">
            <w:pPr>
              <w:pStyle w:val="BodyText2"/>
              <w:spacing w:line="240" w:lineRule="auto"/>
              <w:jc w:val="both"/>
              <w:rPr>
                <w:rFonts w:ascii="Tahoma" w:hAnsi="Tahoma" w:cs="Tahoma"/>
                <w:sz w:val="18"/>
                <w:szCs w:val="18"/>
              </w:rPr>
            </w:pPr>
            <w:r w:rsidRPr="00AC77A0">
              <w:rPr>
                <w:rFonts w:ascii="Tahoma" w:hAnsi="Tahoma" w:cs="Tahoma"/>
                <w:sz w:val="18"/>
                <w:szCs w:val="18"/>
              </w:rPr>
              <w:t>Observed by regions, the largest share in export of Serbia was noted in Region Vojvodine (3</w:t>
            </w:r>
            <w:r w:rsidR="00285D60" w:rsidRPr="00AC77A0">
              <w:rPr>
                <w:rFonts w:ascii="Tahoma" w:hAnsi="Tahoma" w:cs="Tahoma"/>
                <w:sz w:val="18"/>
                <w:szCs w:val="18"/>
              </w:rPr>
              <w:t>2</w:t>
            </w:r>
            <w:r w:rsidRPr="00AC77A0">
              <w:rPr>
                <w:rFonts w:ascii="Tahoma" w:hAnsi="Tahoma" w:cs="Tahoma"/>
                <w:sz w:val="18"/>
                <w:szCs w:val="18"/>
              </w:rPr>
              <w:t>.</w:t>
            </w:r>
            <w:r w:rsidR="00285D60" w:rsidRPr="00AC77A0">
              <w:rPr>
                <w:rFonts w:ascii="Tahoma" w:hAnsi="Tahoma" w:cs="Tahoma"/>
                <w:sz w:val="18"/>
                <w:szCs w:val="18"/>
              </w:rPr>
              <w:t>2</w:t>
            </w:r>
            <w:r w:rsidRPr="00AC77A0">
              <w:rPr>
                <w:rFonts w:ascii="Tahoma" w:hAnsi="Tahoma" w:cs="Tahoma"/>
                <w:sz w:val="18"/>
                <w:szCs w:val="18"/>
              </w:rPr>
              <w:t xml:space="preserve">%), followed by </w:t>
            </w:r>
            <w:r w:rsidR="00285D60" w:rsidRPr="00AC77A0">
              <w:rPr>
                <w:rFonts w:ascii="Tahoma" w:hAnsi="Tahoma" w:cs="Tahoma"/>
                <w:sz w:val="18"/>
                <w:szCs w:val="18"/>
              </w:rPr>
              <w:t xml:space="preserve">Region Šumadije i Zapadne Srbije (22.5%), </w:t>
            </w:r>
            <w:r w:rsidRPr="00AC77A0">
              <w:rPr>
                <w:rFonts w:ascii="Tahoma" w:hAnsi="Tahoma" w:cs="Tahoma"/>
                <w:sz w:val="18"/>
                <w:szCs w:val="18"/>
              </w:rPr>
              <w:t>Beogradski region (2</w:t>
            </w:r>
            <w:r w:rsidR="00980A64" w:rsidRPr="00AC77A0">
              <w:rPr>
                <w:rFonts w:ascii="Tahoma" w:hAnsi="Tahoma" w:cs="Tahoma"/>
                <w:sz w:val="18"/>
                <w:szCs w:val="18"/>
              </w:rPr>
              <w:t>2</w:t>
            </w:r>
            <w:r w:rsidRPr="00AC77A0">
              <w:rPr>
                <w:rFonts w:ascii="Tahoma" w:hAnsi="Tahoma" w:cs="Tahoma"/>
                <w:sz w:val="18"/>
                <w:szCs w:val="18"/>
              </w:rPr>
              <w:t>.</w:t>
            </w:r>
            <w:r w:rsidR="00285D60" w:rsidRPr="00AC77A0">
              <w:rPr>
                <w:rFonts w:ascii="Tahoma" w:hAnsi="Tahoma" w:cs="Tahoma"/>
                <w:sz w:val="18"/>
                <w:szCs w:val="18"/>
              </w:rPr>
              <w:t>1</w:t>
            </w:r>
            <w:r w:rsidRPr="00AC77A0">
              <w:rPr>
                <w:rFonts w:ascii="Tahoma" w:hAnsi="Tahoma" w:cs="Tahoma"/>
                <w:sz w:val="18"/>
                <w:szCs w:val="18"/>
              </w:rPr>
              <w:t xml:space="preserve">%), </w:t>
            </w:r>
            <w:r w:rsidR="00980A64" w:rsidRPr="00AC77A0">
              <w:rPr>
                <w:rFonts w:ascii="Tahoma" w:hAnsi="Tahoma" w:cs="Tahoma"/>
                <w:sz w:val="18"/>
                <w:szCs w:val="18"/>
              </w:rPr>
              <w:t>Region Južne i Istočne Srbije (21.</w:t>
            </w:r>
            <w:r w:rsidR="00285D60" w:rsidRPr="00AC77A0">
              <w:rPr>
                <w:rFonts w:ascii="Tahoma" w:hAnsi="Tahoma" w:cs="Tahoma"/>
                <w:sz w:val="18"/>
                <w:szCs w:val="18"/>
              </w:rPr>
              <w:t>9</w:t>
            </w:r>
            <w:r w:rsidR="00980A64" w:rsidRPr="00AC77A0">
              <w:rPr>
                <w:rFonts w:ascii="Tahoma" w:hAnsi="Tahoma" w:cs="Tahoma"/>
                <w:sz w:val="18"/>
                <w:szCs w:val="18"/>
              </w:rPr>
              <w:t xml:space="preserve">%), </w:t>
            </w:r>
            <w:r w:rsidRPr="00AC77A0">
              <w:rPr>
                <w:rFonts w:ascii="Tahoma" w:hAnsi="Tahoma" w:cs="Tahoma"/>
                <w:sz w:val="18"/>
                <w:szCs w:val="18"/>
              </w:rPr>
              <w:t xml:space="preserve">and approximately </w:t>
            </w:r>
            <w:r w:rsidR="00980A64" w:rsidRPr="00AC77A0">
              <w:rPr>
                <w:rFonts w:ascii="Tahoma" w:hAnsi="Tahoma" w:cs="Tahoma"/>
                <w:sz w:val="18"/>
                <w:szCs w:val="18"/>
              </w:rPr>
              <w:t>1</w:t>
            </w:r>
            <w:r w:rsidRPr="00AC77A0">
              <w:rPr>
                <w:rFonts w:ascii="Tahoma" w:hAnsi="Tahoma" w:cs="Tahoma"/>
                <w:sz w:val="18"/>
                <w:szCs w:val="18"/>
              </w:rPr>
              <w:t>.</w:t>
            </w:r>
            <w:r w:rsidR="00285D60" w:rsidRPr="00AC77A0">
              <w:rPr>
                <w:rFonts w:ascii="Tahoma" w:hAnsi="Tahoma" w:cs="Tahoma"/>
                <w:sz w:val="18"/>
                <w:szCs w:val="18"/>
              </w:rPr>
              <w:t>4</w:t>
            </w:r>
            <w:r w:rsidRPr="00AC77A0">
              <w:rPr>
                <w:rFonts w:ascii="Tahoma" w:hAnsi="Tahoma" w:cs="Tahoma"/>
                <w:sz w:val="18"/>
                <w:szCs w:val="18"/>
              </w:rPr>
              <w:t xml:space="preserve">% of total exports is not classified by territories. </w:t>
            </w:r>
          </w:p>
          <w:p w14:paraId="40B330E4" w14:textId="28190567" w:rsidR="00E351FD" w:rsidRDefault="00E351FD" w:rsidP="00A54184">
            <w:pPr>
              <w:jc w:val="both"/>
              <w:rPr>
                <w:rFonts w:ascii="Tahoma" w:hAnsi="Tahoma" w:cs="Tahoma"/>
                <w:sz w:val="18"/>
                <w:szCs w:val="18"/>
              </w:rPr>
            </w:pPr>
            <w:r w:rsidRPr="00AC77A0">
              <w:rPr>
                <w:rFonts w:ascii="Tahoma" w:hAnsi="Tahoma" w:cs="Tahoma"/>
                <w:color w:val="000000"/>
                <w:sz w:val="18"/>
                <w:szCs w:val="18"/>
              </w:rPr>
              <w:t xml:space="preserve">The greatest share in import of Serbia was noted in </w:t>
            </w:r>
            <w:r w:rsidRPr="00AC77A0">
              <w:rPr>
                <w:rFonts w:ascii="Tahoma" w:hAnsi="Tahoma" w:cs="Tahoma"/>
                <w:sz w:val="18"/>
                <w:szCs w:val="18"/>
              </w:rPr>
              <w:t xml:space="preserve">Beogradski region </w:t>
            </w:r>
            <w:r w:rsidRPr="00AC77A0">
              <w:rPr>
                <w:rFonts w:ascii="Tahoma" w:hAnsi="Tahoma" w:cs="Tahoma"/>
                <w:color w:val="000000"/>
                <w:sz w:val="18"/>
                <w:szCs w:val="18"/>
              </w:rPr>
              <w:t>(4</w:t>
            </w:r>
            <w:r w:rsidR="00285D60" w:rsidRPr="00AC77A0">
              <w:rPr>
                <w:rFonts w:ascii="Tahoma" w:hAnsi="Tahoma" w:cs="Tahoma"/>
                <w:color w:val="000000"/>
                <w:sz w:val="18"/>
                <w:szCs w:val="18"/>
              </w:rPr>
              <w:t>5</w:t>
            </w:r>
            <w:r w:rsidRPr="00AC77A0">
              <w:rPr>
                <w:rFonts w:ascii="Tahoma" w:hAnsi="Tahoma" w:cs="Tahoma"/>
                <w:color w:val="000000"/>
                <w:sz w:val="18"/>
                <w:szCs w:val="18"/>
              </w:rPr>
              <w:t>.</w:t>
            </w:r>
            <w:r w:rsidR="00285D60" w:rsidRPr="00AC77A0">
              <w:rPr>
                <w:rFonts w:ascii="Tahoma" w:hAnsi="Tahoma" w:cs="Tahoma"/>
                <w:color w:val="000000"/>
                <w:sz w:val="18"/>
                <w:szCs w:val="18"/>
              </w:rPr>
              <w:t>4</w:t>
            </w:r>
            <w:r w:rsidRPr="00AC77A0">
              <w:rPr>
                <w:rFonts w:ascii="Tahoma" w:hAnsi="Tahoma" w:cs="Tahoma"/>
                <w:color w:val="000000"/>
                <w:sz w:val="18"/>
                <w:szCs w:val="18"/>
              </w:rPr>
              <w:t xml:space="preserve">%), followed by </w:t>
            </w:r>
            <w:r w:rsidRPr="00AC77A0">
              <w:rPr>
                <w:rFonts w:ascii="Tahoma" w:hAnsi="Tahoma" w:cs="Tahoma"/>
                <w:sz w:val="18"/>
                <w:szCs w:val="18"/>
              </w:rPr>
              <w:t xml:space="preserve">Region Vojvodine </w:t>
            </w:r>
            <w:r w:rsidRPr="00AC77A0">
              <w:rPr>
                <w:rFonts w:ascii="Tahoma" w:hAnsi="Tahoma" w:cs="Tahoma"/>
                <w:color w:val="000000"/>
                <w:sz w:val="18"/>
                <w:szCs w:val="18"/>
              </w:rPr>
              <w:t>(</w:t>
            </w:r>
            <w:r w:rsidR="00285D60" w:rsidRPr="00AC77A0">
              <w:rPr>
                <w:rFonts w:ascii="Tahoma" w:hAnsi="Tahoma" w:cs="Tahoma"/>
                <w:color w:val="000000"/>
                <w:sz w:val="18"/>
                <w:szCs w:val="18"/>
              </w:rPr>
              <w:t>29</w:t>
            </w:r>
            <w:r w:rsidRPr="00AC77A0">
              <w:rPr>
                <w:rFonts w:ascii="Tahoma" w:hAnsi="Tahoma" w:cs="Tahoma"/>
                <w:color w:val="000000"/>
                <w:sz w:val="18"/>
                <w:szCs w:val="18"/>
              </w:rPr>
              <w:t>.</w:t>
            </w:r>
            <w:r w:rsidR="00285D60" w:rsidRPr="00AC77A0">
              <w:rPr>
                <w:rFonts w:ascii="Tahoma" w:hAnsi="Tahoma" w:cs="Tahoma"/>
                <w:color w:val="000000"/>
                <w:sz w:val="18"/>
                <w:szCs w:val="18"/>
              </w:rPr>
              <w:t>4</w:t>
            </w:r>
            <w:r w:rsidRPr="00AC77A0">
              <w:rPr>
                <w:rFonts w:ascii="Tahoma" w:hAnsi="Tahoma" w:cs="Tahoma"/>
                <w:color w:val="000000"/>
                <w:sz w:val="18"/>
                <w:szCs w:val="18"/>
              </w:rPr>
              <w:t xml:space="preserve">%), </w:t>
            </w:r>
            <w:r w:rsidRPr="00AC77A0">
              <w:rPr>
                <w:rFonts w:ascii="Tahoma" w:hAnsi="Tahoma" w:cs="Tahoma"/>
                <w:sz w:val="18"/>
                <w:szCs w:val="18"/>
              </w:rPr>
              <w:t xml:space="preserve">Region Šumadije i Zapadne Srbije </w:t>
            </w:r>
            <w:r w:rsidRPr="00AC77A0">
              <w:rPr>
                <w:rFonts w:ascii="Tahoma" w:hAnsi="Tahoma" w:cs="Tahoma"/>
                <w:bCs/>
                <w:color w:val="000000"/>
                <w:sz w:val="18"/>
                <w:szCs w:val="18"/>
              </w:rPr>
              <w:t>(1</w:t>
            </w:r>
            <w:r w:rsidR="00285D60" w:rsidRPr="00AC77A0">
              <w:rPr>
                <w:rFonts w:ascii="Tahoma" w:hAnsi="Tahoma" w:cs="Tahoma"/>
                <w:bCs/>
                <w:color w:val="000000"/>
                <w:sz w:val="18"/>
                <w:szCs w:val="18"/>
              </w:rPr>
              <w:t>4</w:t>
            </w:r>
            <w:r w:rsidRPr="00AC77A0">
              <w:rPr>
                <w:rFonts w:ascii="Tahoma" w:hAnsi="Tahoma" w:cs="Tahoma"/>
                <w:bCs/>
                <w:color w:val="000000"/>
                <w:sz w:val="18"/>
                <w:szCs w:val="18"/>
              </w:rPr>
              <w:t>.</w:t>
            </w:r>
            <w:r w:rsidR="00285D60" w:rsidRPr="00AC77A0">
              <w:rPr>
                <w:rFonts w:ascii="Tahoma" w:hAnsi="Tahoma" w:cs="Tahoma"/>
                <w:bCs/>
                <w:color w:val="000000"/>
                <w:sz w:val="18"/>
                <w:szCs w:val="18"/>
              </w:rPr>
              <w:t>5</w:t>
            </w:r>
            <w:r w:rsidRPr="00AC77A0">
              <w:rPr>
                <w:rFonts w:ascii="Tahoma" w:hAnsi="Tahoma" w:cs="Tahoma"/>
                <w:bCs/>
                <w:color w:val="000000"/>
                <w:sz w:val="18"/>
                <w:szCs w:val="18"/>
              </w:rPr>
              <w:t xml:space="preserve">%), </w:t>
            </w:r>
            <w:r w:rsidRPr="00AC77A0">
              <w:rPr>
                <w:rFonts w:ascii="Tahoma" w:hAnsi="Tahoma" w:cs="Tahoma"/>
                <w:sz w:val="18"/>
                <w:szCs w:val="18"/>
              </w:rPr>
              <w:t xml:space="preserve">Region Južne i Istočne Srbije </w:t>
            </w:r>
            <w:r w:rsidRPr="00AC77A0">
              <w:rPr>
                <w:rFonts w:ascii="Tahoma" w:hAnsi="Tahoma" w:cs="Tahoma"/>
                <w:color w:val="000000"/>
                <w:sz w:val="18"/>
                <w:szCs w:val="18"/>
              </w:rPr>
              <w:t>(8.</w:t>
            </w:r>
            <w:r w:rsidR="00285D60" w:rsidRPr="00AC77A0">
              <w:rPr>
                <w:rFonts w:ascii="Tahoma" w:hAnsi="Tahoma" w:cs="Tahoma"/>
                <w:color w:val="000000"/>
                <w:sz w:val="18"/>
                <w:szCs w:val="18"/>
              </w:rPr>
              <w:t>8</w:t>
            </w:r>
            <w:r w:rsidRPr="00AC77A0">
              <w:rPr>
                <w:rFonts w:ascii="Tahoma" w:hAnsi="Tahoma" w:cs="Tahoma"/>
                <w:color w:val="000000"/>
                <w:sz w:val="18"/>
                <w:szCs w:val="18"/>
              </w:rPr>
              <w:t xml:space="preserve">%), </w:t>
            </w:r>
            <w:r w:rsidRPr="00AC77A0">
              <w:rPr>
                <w:rFonts w:ascii="Tahoma" w:hAnsi="Tahoma" w:cs="Tahoma"/>
                <w:sz w:val="18"/>
                <w:szCs w:val="18"/>
              </w:rPr>
              <w:t xml:space="preserve">and approximately </w:t>
            </w:r>
            <w:r w:rsidR="009F5201" w:rsidRPr="00AC77A0">
              <w:rPr>
                <w:rFonts w:ascii="Tahoma" w:hAnsi="Tahoma" w:cs="Tahoma"/>
                <w:sz w:val="18"/>
                <w:szCs w:val="18"/>
              </w:rPr>
              <w:t>1</w:t>
            </w:r>
            <w:r w:rsidRPr="00AC77A0">
              <w:rPr>
                <w:rFonts w:ascii="Tahoma" w:hAnsi="Tahoma" w:cs="Tahoma"/>
                <w:sz w:val="18"/>
                <w:szCs w:val="18"/>
              </w:rPr>
              <w:t>.</w:t>
            </w:r>
            <w:r w:rsidR="00285D60" w:rsidRPr="00AC77A0">
              <w:rPr>
                <w:rFonts w:ascii="Tahoma" w:hAnsi="Tahoma" w:cs="Tahoma"/>
                <w:sz w:val="18"/>
                <w:szCs w:val="18"/>
              </w:rPr>
              <w:t>9</w:t>
            </w:r>
            <w:r w:rsidRPr="00AC77A0">
              <w:rPr>
                <w:rFonts w:ascii="Tahoma" w:hAnsi="Tahoma" w:cs="Tahoma"/>
                <w:sz w:val="18"/>
                <w:szCs w:val="18"/>
              </w:rPr>
              <w:t>% of total imports is not classified by territories</w:t>
            </w:r>
            <w:r w:rsidRPr="00AC77A0">
              <w:rPr>
                <w:rFonts w:ascii="Tahoma" w:hAnsi="Tahoma" w:cs="Tahoma"/>
                <w:bCs/>
                <w:color w:val="000000"/>
                <w:sz w:val="18"/>
                <w:szCs w:val="18"/>
              </w:rPr>
              <w:t xml:space="preserve">. </w:t>
            </w:r>
            <w:r w:rsidRPr="00AC77A0">
              <w:rPr>
                <w:rFonts w:ascii="Tahoma" w:hAnsi="Tahoma" w:cs="Tahoma"/>
                <w:sz w:val="18"/>
                <w:szCs w:val="18"/>
              </w:rPr>
              <w:t xml:space="preserve">Data on Kosovo and Metohija are not available. </w:t>
            </w:r>
          </w:p>
          <w:p w14:paraId="4A612581" w14:textId="77777777" w:rsidR="00F06A7D" w:rsidRPr="00AC77A0" w:rsidRDefault="00F06A7D" w:rsidP="00A54184">
            <w:pPr>
              <w:jc w:val="both"/>
              <w:rPr>
                <w:rFonts w:ascii="Tahoma" w:hAnsi="Tahoma" w:cs="Tahoma"/>
                <w:bCs/>
                <w:color w:val="000000"/>
                <w:sz w:val="18"/>
                <w:szCs w:val="18"/>
              </w:rPr>
            </w:pPr>
          </w:p>
          <w:p w14:paraId="5F29DC50" w14:textId="426A1949" w:rsidR="00E351FD" w:rsidRDefault="00E351FD" w:rsidP="00A54184">
            <w:pPr>
              <w:jc w:val="both"/>
              <w:rPr>
                <w:rFonts w:ascii="Tahoma" w:hAnsi="Tahoma" w:cs="Tahoma"/>
                <w:color w:val="000000"/>
                <w:sz w:val="18"/>
                <w:szCs w:val="18"/>
              </w:rPr>
            </w:pPr>
            <w:r w:rsidRPr="00AC77A0">
              <w:rPr>
                <w:rFonts w:ascii="Tahoma" w:hAnsi="Tahoma" w:cs="Tahoma"/>
                <w:color w:val="000000"/>
                <w:sz w:val="18"/>
                <w:szCs w:val="18"/>
              </w:rPr>
              <w:t xml:space="preserve">Export and import by regions is presented </w:t>
            </w:r>
            <w:r w:rsidRPr="00AC77A0">
              <w:rPr>
                <w:rFonts w:ascii="Tahoma" w:hAnsi="Tahoma" w:cs="Tahoma"/>
                <w:b/>
                <w:color w:val="000000"/>
                <w:sz w:val="18"/>
                <w:szCs w:val="18"/>
              </w:rPr>
              <w:t>according to the headquarters of goods owners at the moment of customs declaration delivery</w:t>
            </w:r>
            <w:r w:rsidRPr="00AC77A0">
              <w:rPr>
                <w:rFonts w:ascii="Tahoma" w:hAnsi="Tahoma" w:cs="Tahoma"/>
                <w:color w:val="000000"/>
                <w:sz w:val="18"/>
                <w:szCs w:val="18"/>
              </w:rPr>
              <w:t>. It means that owners of goods, according to customs law, may be producers, users, exporters, or importers of goods. This fact is to be noted while observing the data by regions. For example, imports of oil and gas mostly refer to the region of Vojvodina and Belgrade and the mentioned are the energy commodities for the whole territory of Serbia.</w:t>
            </w:r>
          </w:p>
          <w:p w14:paraId="07C2F70E" w14:textId="77777777" w:rsidR="00F06A7D" w:rsidRPr="00AC77A0" w:rsidRDefault="00F06A7D" w:rsidP="00A54184">
            <w:pPr>
              <w:jc w:val="both"/>
              <w:rPr>
                <w:rFonts w:ascii="Tahoma" w:hAnsi="Tahoma" w:cs="Tahoma"/>
                <w:color w:val="000000"/>
                <w:sz w:val="18"/>
                <w:szCs w:val="18"/>
              </w:rPr>
            </w:pPr>
          </w:p>
          <w:p w14:paraId="6B02D2E2" w14:textId="3E30F8CC" w:rsidR="00E351FD" w:rsidRPr="00AC77A0" w:rsidRDefault="00E351FD" w:rsidP="00A54184">
            <w:pPr>
              <w:pStyle w:val="BodyTextIndent"/>
              <w:ind w:left="0"/>
              <w:jc w:val="both"/>
              <w:rPr>
                <w:rFonts w:ascii="Tahoma" w:hAnsi="Tahoma" w:cs="Tahoma"/>
                <w:sz w:val="18"/>
                <w:szCs w:val="18"/>
              </w:rPr>
            </w:pPr>
            <w:r w:rsidRPr="00AC77A0">
              <w:rPr>
                <w:rFonts w:ascii="Tahoma" w:hAnsi="Tahoma" w:cs="Tahoma"/>
                <w:sz w:val="18"/>
                <w:szCs w:val="18"/>
              </w:rPr>
              <w:t xml:space="preserve">Regarding </w:t>
            </w:r>
            <w:r w:rsidRPr="00AC77A0">
              <w:rPr>
                <w:rFonts w:ascii="Tahoma" w:hAnsi="Tahoma" w:cs="Tahoma"/>
                <w:b/>
                <w:bCs/>
                <w:sz w:val="18"/>
                <w:szCs w:val="18"/>
              </w:rPr>
              <w:t>the structure of exports according to products’ destination</w:t>
            </w:r>
            <w:r w:rsidRPr="00AC77A0">
              <w:rPr>
                <w:rFonts w:ascii="Tahoma" w:hAnsi="Tahoma" w:cs="Tahoma"/>
                <w:sz w:val="18"/>
                <w:szCs w:val="18"/>
              </w:rPr>
              <w:t xml:space="preserve"> (the principle of prevalence), the most notable were: reproduction products 6</w:t>
            </w:r>
            <w:r w:rsidR="00285D60" w:rsidRPr="00AC77A0">
              <w:rPr>
                <w:rFonts w:ascii="Tahoma" w:hAnsi="Tahoma" w:cs="Tahoma"/>
                <w:sz w:val="18"/>
                <w:szCs w:val="18"/>
              </w:rPr>
              <w:t>1</w:t>
            </w:r>
            <w:r w:rsidRPr="00AC77A0">
              <w:rPr>
                <w:rFonts w:ascii="Tahoma" w:hAnsi="Tahoma" w:cs="Tahoma"/>
                <w:sz w:val="18"/>
                <w:szCs w:val="18"/>
              </w:rPr>
              <w:t>.</w:t>
            </w:r>
            <w:r w:rsidR="009F5201" w:rsidRPr="00AC77A0">
              <w:rPr>
                <w:rFonts w:ascii="Tahoma" w:hAnsi="Tahoma" w:cs="Tahoma"/>
                <w:sz w:val="18"/>
                <w:szCs w:val="18"/>
              </w:rPr>
              <w:t>2</w:t>
            </w:r>
            <w:r w:rsidRPr="00AC77A0">
              <w:rPr>
                <w:rFonts w:ascii="Tahoma" w:hAnsi="Tahoma" w:cs="Tahoma"/>
                <w:sz w:val="18"/>
                <w:szCs w:val="18"/>
              </w:rPr>
              <w:t xml:space="preserve">% (USD </w:t>
            </w:r>
            <w:r w:rsidR="009F5201" w:rsidRPr="00AC77A0">
              <w:rPr>
                <w:rFonts w:ascii="Tahoma" w:hAnsi="Tahoma" w:cs="Tahoma"/>
                <w:sz w:val="18"/>
                <w:szCs w:val="18"/>
              </w:rPr>
              <w:t>2</w:t>
            </w:r>
            <w:r w:rsidR="00285D60" w:rsidRPr="00AC77A0">
              <w:rPr>
                <w:rFonts w:ascii="Tahoma" w:hAnsi="Tahoma" w:cs="Tahoma"/>
                <w:sz w:val="18"/>
                <w:szCs w:val="18"/>
              </w:rPr>
              <w:t>28</w:t>
            </w:r>
            <w:r w:rsidR="009F5201" w:rsidRPr="00AC77A0">
              <w:rPr>
                <w:rFonts w:ascii="Tahoma" w:hAnsi="Tahoma" w:cs="Tahoma"/>
                <w:sz w:val="18"/>
                <w:szCs w:val="18"/>
              </w:rPr>
              <w:t>42</w:t>
            </w:r>
            <w:r w:rsidRPr="00AC77A0">
              <w:rPr>
                <w:rFonts w:ascii="Tahoma" w:hAnsi="Tahoma" w:cs="Tahoma"/>
                <w:sz w:val="18"/>
                <w:szCs w:val="18"/>
              </w:rPr>
              <w:t>.</w:t>
            </w:r>
            <w:r w:rsidR="00285D60" w:rsidRPr="00AC77A0">
              <w:rPr>
                <w:rFonts w:ascii="Tahoma" w:hAnsi="Tahoma" w:cs="Tahoma"/>
                <w:sz w:val="18"/>
                <w:szCs w:val="18"/>
              </w:rPr>
              <w:t>6</w:t>
            </w:r>
            <w:r w:rsidRPr="00AC77A0">
              <w:rPr>
                <w:rFonts w:ascii="Tahoma" w:hAnsi="Tahoma" w:cs="Tahoma"/>
                <w:sz w:val="18"/>
                <w:szCs w:val="18"/>
              </w:rPr>
              <w:t xml:space="preserve"> million), then consumer goods 2</w:t>
            </w:r>
            <w:r w:rsidR="00285D60" w:rsidRPr="00AC77A0">
              <w:rPr>
                <w:rFonts w:ascii="Tahoma" w:hAnsi="Tahoma" w:cs="Tahoma"/>
                <w:sz w:val="18"/>
                <w:szCs w:val="18"/>
              </w:rPr>
              <w:t>7</w:t>
            </w:r>
            <w:r w:rsidRPr="00AC77A0">
              <w:rPr>
                <w:rFonts w:ascii="Tahoma" w:hAnsi="Tahoma" w:cs="Tahoma"/>
                <w:sz w:val="18"/>
                <w:szCs w:val="18"/>
              </w:rPr>
              <w:t>.</w:t>
            </w:r>
            <w:r w:rsidR="009F5201" w:rsidRPr="00AC77A0">
              <w:rPr>
                <w:rFonts w:ascii="Tahoma" w:hAnsi="Tahoma" w:cs="Tahoma"/>
                <w:sz w:val="18"/>
                <w:szCs w:val="18"/>
              </w:rPr>
              <w:t>1</w:t>
            </w:r>
            <w:r w:rsidRPr="00AC77A0">
              <w:rPr>
                <w:rFonts w:ascii="Tahoma" w:hAnsi="Tahoma" w:cs="Tahoma"/>
                <w:sz w:val="18"/>
                <w:szCs w:val="18"/>
              </w:rPr>
              <w:t xml:space="preserve">% (USD </w:t>
            </w:r>
            <w:r w:rsidR="00285D60" w:rsidRPr="00AC77A0">
              <w:rPr>
                <w:rFonts w:ascii="Tahoma" w:hAnsi="Tahoma" w:cs="Tahoma"/>
                <w:sz w:val="18"/>
                <w:szCs w:val="18"/>
              </w:rPr>
              <w:t>10107</w:t>
            </w:r>
            <w:r w:rsidRPr="00AC77A0">
              <w:rPr>
                <w:rFonts w:ascii="Tahoma" w:hAnsi="Tahoma" w:cs="Tahoma"/>
                <w:sz w:val="18"/>
                <w:szCs w:val="18"/>
              </w:rPr>
              <w:t>.</w:t>
            </w:r>
            <w:r w:rsidR="00285D60" w:rsidRPr="00AC77A0">
              <w:rPr>
                <w:rFonts w:ascii="Tahoma" w:hAnsi="Tahoma" w:cs="Tahoma"/>
                <w:sz w:val="18"/>
                <w:szCs w:val="18"/>
              </w:rPr>
              <w:t>1</w:t>
            </w:r>
            <w:r w:rsidRPr="00AC77A0">
              <w:rPr>
                <w:rFonts w:ascii="Tahoma" w:hAnsi="Tahoma" w:cs="Tahoma"/>
                <w:sz w:val="18"/>
                <w:szCs w:val="18"/>
              </w:rPr>
              <w:t xml:space="preserve"> million) and equipment 1</w:t>
            </w:r>
            <w:r w:rsidR="00285D60" w:rsidRPr="00AC77A0">
              <w:rPr>
                <w:rFonts w:ascii="Tahoma" w:hAnsi="Tahoma" w:cs="Tahoma"/>
                <w:sz w:val="18"/>
                <w:szCs w:val="18"/>
              </w:rPr>
              <w:t>1</w:t>
            </w:r>
            <w:r w:rsidRPr="00AC77A0">
              <w:rPr>
                <w:rFonts w:ascii="Tahoma" w:hAnsi="Tahoma" w:cs="Tahoma"/>
                <w:sz w:val="18"/>
                <w:szCs w:val="18"/>
              </w:rPr>
              <w:t>.</w:t>
            </w:r>
            <w:r w:rsidR="00285D60" w:rsidRPr="00AC77A0">
              <w:rPr>
                <w:rFonts w:ascii="Tahoma" w:hAnsi="Tahoma" w:cs="Tahoma"/>
                <w:sz w:val="18"/>
                <w:szCs w:val="18"/>
              </w:rPr>
              <w:t>7</w:t>
            </w:r>
            <w:r w:rsidRPr="00AC77A0">
              <w:rPr>
                <w:rFonts w:ascii="Tahoma" w:hAnsi="Tahoma" w:cs="Tahoma"/>
                <w:sz w:val="18"/>
                <w:szCs w:val="18"/>
              </w:rPr>
              <w:t xml:space="preserve">% (USD </w:t>
            </w:r>
            <w:r w:rsidR="009F5201" w:rsidRPr="00AC77A0">
              <w:rPr>
                <w:rFonts w:ascii="Tahoma" w:hAnsi="Tahoma" w:cs="Tahoma"/>
                <w:sz w:val="18"/>
                <w:szCs w:val="18"/>
              </w:rPr>
              <w:t>4</w:t>
            </w:r>
            <w:r w:rsidR="00285D60" w:rsidRPr="00AC77A0">
              <w:rPr>
                <w:rFonts w:ascii="Tahoma" w:hAnsi="Tahoma" w:cs="Tahoma"/>
                <w:sz w:val="18"/>
                <w:szCs w:val="18"/>
              </w:rPr>
              <w:t>370</w:t>
            </w:r>
            <w:r w:rsidRPr="00AC77A0">
              <w:rPr>
                <w:rFonts w:ascii="Tahoma" w:hAnsi="Tahoma" w:cs="Tahoma"/>
                <w:sz w:val="18"/>
                <w:szCs w:val="18"/>
              </w:rPr>
              <w:t xml:space="preserve"> million). Unclassified goods according to destination amounted to 0.0% (USD </w:t>
            </w:r>
            <w:r w:rsidR="009F5201" w:rsidRPr="00AC77A0">
              <w:rPr>
                <w:rFonts w:ascii="Tahoma" w:hAnsi="Tahoma" w:cs="Tahoma"/>
                <w:sz w:val="18"/>
                <w:szCs w:val="18"/>
              </w:rPr>
              <w:t>0</w:t>
            </w:r>
            <w:r w:rsidRPr="00AC77A0">
              <w:rPr>
                <w:rFonts w:ascii="Tahoma" w:hAnsi="Tahoma" w:cs="Tahoma"/>
                <w:sz w:val="18"/>
                <w:szCs w:val="18"/>
              </w:rPr>
              <w:t>.</w:t>
            </w:r>
            <w:r w:rsidR="009F5201" w:rsidRPr="00AC77A0">
              <w:rPr>
                <w:rFonts w:ascii="Tahoma" w:hAnsi="Tahoma" w:cs="Tahoma"/>
                <w:sz w:val="18"/>
                <w:szCs w:val="18"/>
              </w:rPr>
              <w:t>9</w:t>
            </w:r>
            <w:r w:rsidRPr="00AC77A0">
              <w:rPr>
                <w:rFonts w:ascii="Tahoma" w:hAnsi="Tahoma" w:cs="Tahoma"/>
                <w:sz w:val="18"/>
                <w:szCs w:val="18"/>
              </w:rPr>
              <w:t xml:space="preserve"> million). </w:t>
            </w:r>
          </w:p>
          <w:p w14:paraId="666116FE" w14:textId="4DFC25F4" w:rsidR="00E351FD" w:rsidRPr="00AC77A0" w:rsidRDefault="00E351FD" w:rsidP="00A54184">
            <w:pPr>
              <w:pStyle w:val="BodyTextIndent"/>
              <w:ind w:left="0"/>
              <w:jc w:val="both"/>
              <w:rPr>
                <w:rFonts w:ascii="Tahoma" w:hAnsi="Tahoma" w:cs="Tahoma"/>
                <w:sz w:val="18"/>
                <w:szCs w:val="18"/>
              </w:rPr>
            </w:pPr>
            <w:r w:rsidRPr="00AC77A0">
              <w:rPr>
                <w:rFonts w:ascii="Tahoma" w:hAnsi="Tahoma" w:cs="Tahoma"/>
                <w:bCs/>
                <w:sz w:val="18"/>
                <w:szCs w:val="18"/>
              </w:rPr>
              <w:t xml:space="preserve">Regarding </w:t>
            </w:r>
            <w:r w:rsidRPr="00AC77A0">
              <w:rPr>
                <w:rFonts w:ascii="Tahoma" w:hAnsi="Tahoma" w:cs="Tahoma"/>
                <w:b/>
                <w:bCs/>
                <w:sz w:val="18"/>
                <w:szCs w:val="18"/>
              </w:rPr>
              <w:t>the structure of imports according to products’ destination</w:t>
            </w:r>
            <w:r w:rsidRPr="00AC77A0">
              <w:rPr>
                <w:rFonts w:ascii="Tahoma" w:hAnsi="Tahoma" w:cs="Tahoma"/>
                <w:sz w:val="18"/>
                <w:szCs w:val="18"/>
              </w:rPr>
              <w:t xml:space="preserve">, </w:t>
            </w:r>
            <w:r w:rsidRPr="00AC77A0">
              <w:rPr>
                <w:rFonts w:ascii="Tahoma" w:hAnsi="Tahoma" w:cs="Tahoma"/>
                <w:bCs/>
                <w:sz w:val="18"/>
                <w:szCs w:val="18"/>
              </w:rPr>
              <w:t>the most notable were</w:t>
            </w:r>
            <w:r w:rsidRPr="00AC77A0">
              <w:rPr>
                <w:rFonts w:ascii="Tahoma" w:hAnsi="Tahoma" w:cs="Tahoma"/>
                <w:b/>
                <w:sz w:val="18"/>
                <w:szCs w:val="18"/>
              </w:rPr>
              <w:t xml:space="preserve">: </w:t>
            </w:r>
            <w:r w:rsidRPr="00AC77A0">
              <w:rPr>
                <w:rFonts w:ascii="Tahoma" w:hAnsi="Tahoma" w:cs="Tahoma"/>
                <w:sz w:val="18"/>
                <w:szCs w:val="18"/>
              </w:rPr>
              <w:t>reproduction products 5</w:t>
            </w:r>
            <w:r w:rsidR="00BD1D93" w:rsidRPr="00AC77A0">
              <w:rPr>
                <w:rFonts w:ascii="Tahoma" w:hAnsi="Tahoma" w:cs="Tahoma"/>
                <w:sz w:val="18"/>
                <w:szCs w:val="18"/>
              </w:rPr>
              <w:t>3</w:t>
            </w:r>
            <w:r w:rsidRPr="00AC77A0">
              <w:rPr>
                <w:rFonts w:ascii="Tahoma" w:hAnsi="Tahoma" w:cs="Tahoma"/>
                <w:sz w:val="18"/>
                <w:szCs w:val="18"/>
              </w:rPr>
              <w:t>.</w:t>
            </w:r>
            <w:r w:rsidR="00BD1D93" w:rsidRPr="00AC77A0">
              <w:rPr>
                <w:rFonts w:ascii="Tahoma" w:hAnsi="Tahoma" w:cs="Tahoma"/>
                <w:sz w:val="18"/>
                <w:szCs w:val="18"/>
              </w:rPr>
              <w:t>8</w:t>
            </w:r>
            <w:r w:rsidRPr="00AC77A0">
              <w:rPr>
                <w:rFonts w:ascii="Tahoma" w:hAnsi="Tahoma" w:cs="Tahoma"/>
                <w:sz w:val="18"/>
                <w:szCs w:val="18"/>
              </w:rPr>
              <w:t xml:space="preserve">% (USD </w:t>
            </w:r>
            <w:r w:rsidR="007F05CE" w:rsidRPr="00AC77A0">
              <w:rPr>
                <w:rFonts w:ascii="Tahoma" w:hAnsi="Tahoma" w:cs="Tahoma"/>
                <w:sz w:val="18"/>
                <w:szCs w:val="18"/>
              </w:rPr>
              <w:t>2</w:t>
            </w:r>
            <w:r w:rsidR="00BD1D93" w:rsidRPr="00AC77A0">
              <w:rPr>
                <w:rFonts w:ascii="Tahoma" w:hAnsi="Tahoma" w:cs="Tahoma"/>
                <w:sz w:val="18"/>
                <w:szCs w:val="18"/>
              </w:rPr>
              <w:t>5428</w:t>
            </w:r>
            <w:r w:rsidRPr="00AC77A0">
              <w:rPr>
                <w:rFonts w:ascii="Tahoma" w:hAnsi="Tahoma" w:cs="Tahoma"/>
                <w:sz w:val="18"/>
                <w:szCs w:val="18"/>
              </w:rPr>
              <w:t>.</w:t>
            </w:r>
            <w:r w:rsidR="00BD1D93" w:rsidRPr="00AC77A0">
              <w:rPr>
                <w:rFonts w:ascii="Tahoma" w:hAnsi="Tahoma" w:cs="Tahoma"/>
                <w:sz w:val="18"/>
                <w:szCs w:val="18"/>
              </w:rPr>
              <w:t>2</w:t>
            </w:r>
            <w:r w:rsidRPr="00AC77A0">
              <w:rPr>
                <w:rFonts w:ascii="Tahoma" w:hAnsi="Tahoma" w:cs="Tahoma"/>
                <w:sz w:val="18"/>
                <w:szCs w:val="18"/>
              </w:rPr>
              <w:t xml:space="preserve"> million), then consumer goods </w:t>
            </w:r>
            <w:r w:rsidR="009F5201" w:rsidRPr="00AC77A0">
              <w:rPr>
                <w:rFonts w:ascii="Tahoma" w:hAnsi="Tahoma" w:cs="Tahoma"/>
                <w:sz w:val="18"/>
                <w:szCs w:val="18"/>
              </w:rPr>
              <w:t>2</w:t>
            </w:r>
            <w:r w:rsidR="00BD1D93" w:rsidRPr="00AC77A0">
              <w:rPr>
                <w:rFonts w:ascii="Tahoma" w:hAnsi="Tahoma" w:cs="Tahoma"/>
                <w:sz w:val="18"/>
                <w:szCs w:val="18"/>
              </w:rPr>
              <w:t>1</w:t>
            </w:r>
            <w:r w:rsidRPr="00AC77A0">
              <w:rPr>
                <w:rFonts w:ascii="Tahoma" w:hAnsi="Tahoma" w:cs="Tahoma"/>
                <w:sz w:val="18"/>
                <w:szCs w:val="18"/>
              </w:rPr>
              <w:t>.</w:t>
            </w:r>
            <w:r w:rsidR="00BD1D93" w:rsidRPr="00AC77A0">
              <w:rPr>
                <w:rFonts w:ascii="Tahoma" w:hAnsi="Tahoma" w:cs="Tahoma"/>
                <w:sz w:val="18"/>
                <w:szCs w:val="18"/>
              </w:rPr>
              <w:t>2</w:t>
            </w:r>
            <w:r w:rsidRPr="00AC77A0">
              <w:rPr>
                <w:rFonts w:ascii="Tahoma" w:hAnsi="Tahoma" w:cs="Tahoma"/>
                <w:sz w:val="18"/>
                <w:szCs w:val="18"/>
              </w:rPr>
              <w:t xml:space="preserve">% (USD </w:t>
            </w:r>
            <w:r w:rsidR="00BD1D93" w:rsidRPr="00AC77A0">
              <w:rPr>
                <w:rFonts w:ascii="Tahoma" w:hAnsi="Tahoma" w:cs="Tahoma"/>
                <w:sz w:val="18"/>
                <w:szCs w:val="18"/>
              </w:rPr>
              <w:t>10022</w:t>
            </w:r>
            <w:r w:rsidRPr="00AC77A0">
              <w:rPr>
                <w:rFonts w:ascii="Tahoma" w:hAnsi="Tahoma" w:cs="Tahoma"/>
                <w:sz w:val="18"/>
                <w:szCs w:val="18"/>
              </w:rPr>
              <w:t>.</w:t>
            </w:r>
            <w:r w:rsidR="009F5201" w:rsidRPr="00AC77A0">
              <w:rPr>
                <w:rFonts w:ascii="Tahoma" w:hAnsi="Tahoma" w:cs="Tahoma"/>
                <w:sz w:val="18"/>
                <w:szCs w:val="18"/>
              </w:rPr>
              <w:t>3</w:t>
            </w:r>
            <w:r w:rsidRPr="00AC77A0">
              <w:rPr>
                <w:rFonts w:ascii="Tahoma" w:hAnsi="Tahoma" w:cs="Tahoma"/>
                <w:sz w:val="18"/>
                <w:szCs w:val="18"/>
              </w:rPr>
              <w:t xml:space="preserve"> million) and equipment 12.</w:t>
            </w:r>
            <w:r w:rsidR="00BD1D93" w:rsidRPr="00AC77A0">
              <w:rPr>
                <w:rFonts w:ascii="Tahoma" w:hAnsi="Tahoma" w:cs="Tahoma"/>
                <w:sz w:val="18"/>
                <w:szCs w:val="18"/>
              </w:rPr>
              <w:t>3</w:t>
            </w:r>
            <w:r w:rsidRPr="00AC77A0">
              <w:rPr>
                <w:rFonts w:ascii="Tahoma" w:hAnsi="Tahoma" w:cs="Tahoma"/>
                <w:sz w:val="18"/>
                <w:szCs w:val="18"/>
              </w:rPr>
              <w:t xml:space="preserve">% (USD </w:t>
            </w:r>
            <w:r w:rsidR="009F5201" w:rsidRPr="00AC77A0">
              <w:rPr>
                <w:rFonts w:ascii="Tahoma" w:hAnsi="Tahoma" w:cs="Tahoma"/>
                <w:sz w:val="18"/>
                <w:szCs w:val="18"/>
              </w:rPr>
              <w:t>5</w:t>
            </w:r>
            <w:r w:rsidR="00BD1D93" w:rsidRPr="00AC77A0">
              <w:rPr>
                <w:rFonts w:ascii="Tahoma" w:hAnsi="Tahoma" w:cs="Tahoma"/>
                <w:sz w:val="18"/>
                <w:szCs w:val="18"/>
              </w:rPr>
              <w:t>826</w:t>
            </w:r>
            <w:r w:rsidRPr="00AC77A0">
              <w:rPr>
                <w:rFonts w:ascii="Tahoma" w:hAnsi="Tahoma" w:cs="Tahoma"/>
                <w:sz w:val="18"/>
                <w:szCs w:val="18"/>
              </w:rPr>
              <w:t>.</w:t>
            </w:r>
            <w:r w:rsidR="00BD1D93" w:rsidRPr="00AC77A0">
              <w:rPr>
                <w:rFonts w:ascii="Tahoma" w:hAnsi="Tahoma" w:cs="Tahoma"/>
                <w:sz w:val="18"/>
                <w:szCs w:val="18"/>
              </w:rPr>
              <w:t>2</w:t>
            </w:r>
            <w:r w:rsidRPr="00AC77A0">
              <w:rPr>
                <w:rFonts w:ascii="Tahoma" w:hAnsi="Tahoma" w:cs="Tahoma"/>
                <w:sz w:val="18"/>
                <w:szCs w:val="18"/>
              </w:rPr>
              <w:t xml:space="preserve"> million). Unclassified goods according to destination amounted to 1</w:t>
            </w:r>
            <w:r w:rsidR="00BD1D93" w:rsidRPr="00AC77A0">
              <w:rPr>
                <w:rFonts w:ascii="Tahoma" w:hAnsi="Tahoma" w:cs="Tahoma"/>
                <w:sz w:val="18"/>
                <w:szCs w:val="18"/>
              </w:rPr>
              <w:t>2</w:t>
            </w:r>
            <w:r w:rsidRPr="00AC77A0">
              <w:rPr>
                <w:rFonts w:ascii="Tahoma" w:hAnsi="Tahoma" w:cs="Tahoma"/>
                <w:sz w:val="18"/>
                <w:szCs w:val="18"/>
              </w:rPr>
              <w:t>.</w:t>
            </w:r>
            <w:r w:rsidR="00BD1D93" w:rsidRPr="00AC77A0">
              <w:rPr>
                <w:rFonts w:ascii="Tahoma" w:hAnsi="Tahoma" w:cs="Tahoma"/>
                <w:sz w:val="18"/>
                <w:szCs w:val="18"/>
              </w:rPr>
              <w:t>6</w:t>
            </w:r>
            <w:r w:rsidRPr="00AC77A0">
              <w:rPr>
                <w:rFonts w:ascii="Tahoma" w:hAnsi="Tahoma" w:cs="Tahoma"/>
                <w:sz w:val="18"/>
                <w:szCs w:val="18"/>
              </w:rPr>
              <w:t xml:space="preserve">% (USD </w:t>
            </w:r>
            <w:r w:rsidR="00BD1D93" w:rsidRPr="00AC77A0">
              <w:rPr>
                <w:rFonts w:ascii="Tahoma" w:hAnsi="Tahoma" w:cs="Tahoma"/>
                <w:sz w:val="18"/>
                <w:szCs w:val="18"/>
              </w:rPr>
              <w:t>5</w:t>
            </w:r>
            <w:r w:rsidR="009F5201" w:rsidRPr="00AC77A0">
              <w:rPr>
                <w:rFonts w:ascii="Tahoma" w:hAnsi="Tahoma" w:cs="Tahoma"/>
                <w:sz w:val="18"/>
                <w:szCs w:val="18"/>
              </w:rPr>
              <w:t>9</w:t>
            </w:r>
            <w:r w:rsidR="00BD1D93" w:rsidRPr="00AC77A0">
              <w:rPr>
                <w:rFonts w:ascii="Tahoma" w:hAnsi="Tahoma" w:cs="Tahoma"/>
                <w:sz w:val="18"/>
                <w:szCs w:val="18"/>
              </w:rPr>
              <w:t>54</w:t>
            </w:r>
            <w:r w:rsidRPr="00AC77A0">
              <w:rPr>
                <w:rFonts w:ascii="Tahoma" w:hAnsi="Tahoma" w:cs="Tahoma"/>
                <w:sz w:val="18"/>
                <w:szCs w:val="18"/>
              </w:rPr>
              <w:t>.</w:t>
            </w:r>
            <w:r w:rsidR="00BD1D93" w:rsidRPr="00AC77A0">
              <w:rPr>
                <w:rFonts w:ascii="Tahoma" w:hAnsi="Tahoma" w:cs="Tahoma"/>
                <w:sz w:val="18"/>
                <w:szCs w:val="18"/>
              </w:rPr>
              <w:t>4</w:t>
            </w:r>
            <w:r w:rsidRPr="00AC77A0">
              <w:rPr>
                <w:rFonts w:ascii="Tahoma" w:hAnsi="Tahoma" w:cs="Tahoma"/>
                <w:sz w:val="18"/>
                <w:szCs w:val="18"/>
              </w:rPr>
              <w:t xml:space="preserve"> million). </w:t>
            </w:r>
          </w:p>
          <w:p w14:paraId="35BC07E2" w14:textId="3AC6285A" w:rsidR="00E351FD" w:rsidRPr="00AC77A0" w:rsidRDefault="00E351FD" w:rsidP="00A54184">
            <w:pPr>
              <w:jc w:val="both"/>
              <w:rPr>
                <w:rFonts w:ascii="Tahoma" w:hAnsi="Tahoma" w:cs="Tahoma"/>
                <w:sz w:val="18"/>
                <w:szCs w:val="18"/>
              </w:rPr>
            </w:pPr>
            <w:r w:rsidRPr="00AC77A0">
              <w:rPr>
                <w:rFonts w:ascii="Tahoma" w:hAnsi="Tahoma" w:cs="Tahoma"/>
                <w:sz w:val="18"/>
                <w:szCs w:val="18"/>
              </w:rPr>
              <w:t>The external trade in the reference period noted the highest level with the count</w:t>
            </w:r>
            <w:r w:rsidR="007F05CE" w:rsidRPr="00AC77A0">
              <w:rPr>
                <w:rFonts w:ascii="Tahoma" w:hAnsi="Tahoma" w:cs="Tahoma"/>
                <w:sz w:val="18"/>
                <w:szCs w:val="18"/>
              </w:rPr>
              <w:t>r</w:t>
            </w:r>
            <w:r w:rsidRPr="00AC77A0">
              <w:rPr>
                <w:rFonts w:ascii="Tahoma" w:hAnsi="Tahoma" w:cs="Tahoma"/>
                <w:sz w:val="18"/>
                <w:szCs w:val="18"/>
              </w:rPr>
              <w:t xml:space="preserve">ies with which we have signed agreements on free trade. European Union member countries account for </w:t>
            </w:r>
            <w:r w:rsidR="007F05CE" w:rsidRPr="00AC77A0">
              <w:rPr>
                <w:rFonts w:ascii="Tahoma" w:hAnsi="Tahoma" w:cs="Tahoma"/>
                <w:sz w:val="18"/>
                <w:szCs w:val="18"/>
              </w:rPr>
              <w:t>5</w:t>
            </w:r>
            <w:r w:rsidR="009F5201" w:rsidRPr="00AC77A0">
              <w:rPr>
                <w:rFonts w:ascii="Tahoma" w:hAnsi="Tahoma" w:cs="Tahoma"/>
                <w:sz w:val="18"/>
                <w:szCs w:val="18"/>
              </w:rPr>
              <w:t>8</w:t>
            </w:r>
            <w:r w:rsidRPr="00AC77A0">
              <w:rPr>
                <w:rFonts w:ascii="Tahoma" w:hAnsi="Tahoma" w:cs="Tahoma"/>
                <w:sz w:val="18"/>
                <w:szCs w:val="18"/>
              </w:rPr>
              <w:t>.</w:t>
            </w:r>
            <w:r w:rsidR="00BD1D93" w:rsidRPr="00AC77A0">
              <w:rPr>
                <w:rFonts w:ascii="Tahoma" w:hAnsi="Tahoma" w:cs="Tahoma"/>
                <w:sz w:val="18"/>
                <w:szCs w:val="18"/>
              </w:rPr>
              <w:t>3</w:t>
            </w:r>
            <w:r w:rsidRPr="00AC77A0">
              <w:rPr>
                <w:rFonts w:ascii="Tahoma" w:hAnsi="Tahoma" w:cs="Tahoma"/>
                <w:sz w:val="18"/>
                <w:szCs w:val="18"/>
              </w:rPr>
              <w:t>% of total external trade.</w:t>
            </w:r>
          </w:p>
          <w:p w14:paraId="25C1FD60" w14:textId="77777777" w:rsidR="00BD1D93" w:rsidRPr="00AC77A0" w:rsidRDefault="00BD1D93" w:rsidP="00A54184">
            <w:pPr>
              <w:jc w:val="both"/>
              <w:rPr>
                <w:rFonts w:ascii="Arial" w:hAnsi="Arial" w:cs="Arial"/>
                <w:sz w:val="18"/>
                <w:szCs w:val="18"/>
              </w:rPr>
            </w:pPr>
          </w:p>
          <w:p w14:paraId="0C19A8CA" w14:textId="20F292B1" w:rsidR="00872100" w:rsidRDefault="00872100" w:rsidP="00A54184">
            <w:pPr>
              <w:jc w:val="both"/>
              <w:rPr>
                <w:rFonts w:ascii="Arial" w:hAnsi="Arial" w:cs="Arial"/>
                <w:b/>
                <w:bCs/>
                <w:sz w:val="18"/>
                <w:szCs w:val="18"/>
              </w:rPr>
            </w:pPr>
          </w:p>
          <w:p w14:paraId="3129CC69" w14:textId="77777777" w:rsidR="00F06A7D" w:rsidRDefault="00F06A7D" w:rsidP="00A54184">
            <w:pPr>
              <w:jc w:val="both"/>
              <w:rPr>
                <w:rFonts w:ascii="Arial" w:hAnsi="Arial" w:cs="Arial"/>
                <w:b/>
                <w:bCs/>
                <w:sz w:val="18"/>
                <w:szCs w:val="18"/>
              </w:rPr>
            </w:pPr>
          </w:p>
          <w:p w14:paraId="22AD1645" w14:textId="77777777" w:rsidR="00872100" w:rsidRDefault="00872100" w:rsidP="00A54184">
            <w:pPr>
              <w:jc w:val="both"/>
              <w:rPr>
                <w:rFonts w:ascii="Arial" w:hAnsi="Arial" w:cs="Arial"/>
                <w:b/>
                <w:bCs/>
                <w:sz w:val="18"/>
                <w:szCs w:val="18"/>
              </w:rPr>
            </w:pPr>
          </w:p>
          <w:p w14:paraId="4E176C06" w14:textId="77777777" w:rsidR="00872100" w:rsidRDefault="00872100" w:rsidP="00A54184">
            <w:pPr>
              <w:jc w:val="both"/>
              <w:rPr>
                <w:rFonts w:ascii="Arial" w:hAnsi="Arial" w:cs="Arial"/>
                <w:b/>
                <w:bCs/>
                <w:sz w:val="18"/>
                <w:szCs w:val="18"/>
              </w:rPr>
            </w:pPr>
          </w:p>
          <w:p w14:paraId="4471922E" w14:textId="653C1C52" w:rsidR="00E351FD" w:rsidRPr="00AC77A0" w:rsidRDefault="00E351FD" w:rsidP="00A54184">
            <w:pPr>
              <w:jc w:val="both"/>
              <w:rPr>
                <w:rFonts w:ascii="Arial" w:hAnsi="Arial" w:cs="Arial"/>
                <w:bCs/>
                <w:sz w:val="18"/>
                <w:szCs w:val="18"/>
              </w:rPr>
            </w:pPr>
            <w:r w:rsidRPr="00AC77A0">
              <w:rPr>
                <w:rFonts w:ascii="Arial" w:hAnsi="Arial" w:cs="Arial"/>
                <w:b/>
                <w:bCs/>
                <w:sz w:val="18"/>
                <w:szCs w:val="18"/>
              </w:rPr>
              <w:lastRenderedPageBreak/>
              <w:t xml:space="preserve">The major foreign trade partners were, </w:t>
            </w:r>
            <w:r w:rsidRPr="00AC77A0">
              <w:rPr>
                <w:rFonts w:ascii="Arial" w:hAnsi="Arial" w:cs="Arial"/>
                <w:sz w:val="18"/>
                <w:szCs w:val="18"/>
              </w:rPr>
              <w:t>separately,</w:t>
            </w:r>
            <w:r w:rsidRPr="00AC77A0">
              <w:rPr>
                <w:rFonts w:ascii="Arial" w:hAnsi="Arial" w:cs="Arial"/>
                <w:bCs/>
                <w:sz w:val="18"/>
                <w:szCs w:val="18"/>
              </w:rPr>
              <w:t xml:space="preserve"> as follows: </w:t>
            </w:r>
          </w:p>
          <w:p w14:paraId="5401D0F1" w14:textId="77777777" w:rsidR="00E351FD" w:rsidRPr="00AC77A0" w:rsidRDefault="00E351FD" w:rsidP="00A54184">
            <w:pPr>
              <w:jc w:val="both"/>
              <w:rPr>
                <w:rFonts w:ascii="Arial" w:hAnsi="Arial" w:cs="Arial"/>
                <w:sz w:val="18"/>
                <w:szCs w:val="18"/>
                <w:highlight w:val="yellow"/>
              </w:rPr>
            </w:pPr>
          </w:p>
          <w:tbl>
            <w:tblPr>
              <w:tblW w:w="9026" w:type="dxa"/>
              <w:tblLook w:val="04A0" w:firstRow="1" w:lastRow="0" w:firstColumn="1" w:lastColumn="0" w:noHBand="0" w:noVBand="1"/>
            </w:tblPr>
            <w:tblGrid>
              <w:gridCol w:w="2433"/>
              <w:gridCol w:w="1134"/>
              <w:gridCol w:w="1131"/>
              <w:gridCol w:w="2066"/>
              <w:gridCol w:w="1131"/>
              <w:gridCol w:w="1131"/>
            </w:tblGrid>
            <w:tr w:rsidR="00E351FD" w:rsidRPr="00AC77A0" w14:paraId="7D54CB5B" w14:textId="77777777" w:rsidTr="00F06A7D">
              <w:trPr>
                <w:trHeight w:val="322"/>
              </w:trPr>
              <w:tc>
                <w:tcPr>
                  <w:tcW w:w="2433" w:type="dxa"/>
                  <w:tcBorders>
                    <w:top w:val="single" w:sz="4" w:space="0" w:color="auto"/>
                    <w:left w:val="single" w:sz="4" w:space="0" w:color="auto"/>
                    <w:bottom w:val="single" w:sz="4" w:space="0" w:color="auto"/>
                    <w:right w:val="single" w:sz="4" w:space="0" w:color="auto"/>
                  </w:tcBorders>
                  <w:noWrap/>
                  <w:vAlign w:val="center"/>
                  <w:hideMark/>
                </w:tcPr>
                <w:p w14:paraId="64B98C68" w14:textId="77777777" w:rsidR="00E351FD" w:rsidRPr="00AC77A0" w:rsidRDefault="00E351FD" w:rsidP="00A54184">
                  <w:pPr>
                    <w:jc w:val="center"/>
                    <w:rPr>
                      <w:rFonts w:ascii="Tahoma" w:hAnsi="Tahoma" w:cs="Tahoma"/>
                      <w:b/>
                      <w:bCs/>
                      <w:sz w:val="22"/>
                      <w:szCs w:val="22"/>
                      <w:lang w:eastAsia="en-GB"/>
                    </w:rPr>
                  </w:pPr>
                  <w:r w:rsidRPr="00AC77A0">
                    <w:rPr>
                      <w:rFonts w:ascii="Tahoma" w:hAnsi="Tahoma" w:cs="Tahoma"/>
                      <w:b/>
                      <w:bCs/>
                      <w:sz w:val="22"/>
                      <w:szCs w:val="22"/>
                    </w:rPr>
                    <w:t>Exports</w:t>
                  </w:r>
                </w:p>
              </w:tc>
              <w:tc>
                <w:tcPr>
                  <w:tcW w:w="1134" w:type="dxa"/>
                  <w:tcBorders>
                    <w:top w:val="single" w:sz="4" w:space="0" w:color="auto"/>
                    <w:left w:val="nil"/>
                    <w:bottom w:val="single" w:sz="4" w:space="0" w:color="auto"/>
                    <w:right w:val="single" w:sz="4" w:space="0" w:color="auto"/>
                  </w:tcBorders>
                  <w:noWrap/>
                  <w:vAlign w:val="center"/>
                  <w:hideMark/>
                </w:tcPr>
                <w:p w14:paraId="3D4C7056" w14:textId="77777777" w:rsidR="00E351FD" w:rsidRPr="00AC77A0" w:rsidRDefault="00E351FD" w:rsidP="00A54184">
                  <w:pPr>
                    <w:rPr>
                      <w:rFonts w:ascii="Tahoma" w:hAnsi="Tahoma" w:cs="Tahoma"/>
                      <w:sz w:val="16"/>
                      <w:szCs w:val="16"/>
                    </w:rPr>
                  </w:pPr>
                  <w:r w:rsidRPr="00AC77A0">
                    <w:rPr>
                      <w:rFonts w:ascii="Tahoma" w:hAnsi="Tahoma" w:cs="Tahoma"/>
                      <w:sz w:val="16"/>
                      <w:szCs w:val="16"/>
                    </w:rPr>
                    <w:t>USD million</w:t>
                  </w:r>
                </w:p>
              </w:tc>
              <w:tc>
                <w:tcPr>
                  <w:tcW w:w="1131" w:type="dxa"/>
                  <w:tcBorders>
                    <w:top w:val="single" w:sz="4" w:space="0" w:color="auto"/>
                    <w:left w:val="nil"/>
                    <w:bottom w:val="single" w:sz="4" w:space="0" w:color="auto"/>
                    <w:right w:val="single" w:sz="4" w:space="0" w:color="auto"/>
                  </w:tcBorders>
                  <w:noWrap/>
                  <w:vAlign w:val="center"/>
                  <w:hideMark/>
                </w:tcPr>
                <w:p w14:paraId="387E6511" w14:textId="77777777" w:rsidR="00E351FD" w:rsidRPr="00AC77A0" w:rsidRDefault="00E351FD" w:rsidP="00A54184">
                  <w:pPr>
                    <w:rPr>
                      <w:rFonts w:ascii="Tahoma" w:hAnsi="Tahoma" w:cs="Tahoma"/>
                      <w:sz w:val="16"/>
                      <w:szCs w:val="16"/>
                    </w:rPr>
                  </w:pPr>
                  <w:r w:rsidRPr="00AC77A0">
                    <w:rPr>
                      <w:rFonts w:ascii="Tahoma" w:hAnsi="Tahoma" w:cs="Tahoma"/>
                      <w:sz w:val="16"/>
                      <w:szCs w:val="16"/>
                    </w:rPr>
                    <w:t>EUR million</w:t>
                  </w:r>
                </w:p>
              </w:tc>
              <w:tc>
                <w:tcPr>
                  <w:tcW w:w="2066" w:type="dxa"/>
                  <w:tcBorders>
                    <w:top w:val="single" w:sz="4" w:space="0" w:color="auto"/>
                    <w:left w:val="nil"/>
                    <w:bottom w:val="single" w:sz="4" w:space="0" w:color="auto"/>
                    <w:right w:val="single" w:sz="4" w:space="0" w:color="auto"/>
                  </w:tcBorders>
                  <w:noWrap/>
                  <w:vAlign w:val="center"/>
                  <w:hideMark/>
                </w:tcPr>
                <w:p w14:paraId="63F7FE23" w14:textId="77777777" w:rsidR="00E351FD" w:rsidRPr="00AC77A0" w:rsidRDefault="00E351FD" w:rsidP="00A54184">
                  <w:pPr>
                    <w:jc w:val="center"/>
                    <w:rPr>
                      <w:rFonts w:ascii="Tahoma" w:hAnsi="Tahoma" w:cs="Tahoma"/>
                      <w:b/>
                      <w:bCs/>
                      <w:sz w:val="22"/>
                      <w:szCs w:val="22"/>
                    </w:rPr>
                  </w:pPr>
                  <w:r w:rsidRPr="00AC77A0">
                    <w:rPr>
                      <w:rFonts w:ascii="Tahoma" w:hAnsi="Tahoma" w:cs="Tahoma"/>
                      <w:b/>
                      <w:bCs/>
                      <w:sz w:val="22"/>
                      <w:szCs w:val="22"/>
                    </w:rPr>
                    <w:t>Imports</w:t>
                  </w:r>
                </w:p>
              </w:tc>
              <w:tc>
                <w:tcPr>
                  <w:tcW w:w="1131" w:type="dxa"/>
                  <w:tcBorders>
                    <w:top w:val="single" w:sz="4" w:space="0" w:color="auto"/>
                    <w:left w:val="nil"/>
                    <w:bottom w:val="single" w:sz="4" w:space="0" w:color="auto"/>
                    <w:right w:val="single" w:sz="4" w:space="0" w:color="auto"/>
                  </w:tcBorders>
                  <w:noWrap/>
                  <w:vAlign w:val="center"/>
                  <w:hideMark/>
                </w:tcPr>
                <w:p w14:paraId="3BDD7110" w14:textId="77777777" w:rsidR="00E351FD" w:rsidRPr="00AC77A0" w:rsidRDefault="00E351FD" w:rsidP="00A54184">
                  <w:pPr>
                    <w:rPr>
                      <w:rFonts w:ascii="Tahoma" w:hAnsi="Tahoma" w:cs="Tahoma"/>
                      <w:sz w:val="16"/>
                      <w:szCs w:val="16"/>
                    </w:rPr>
                  </w:pPr>
                  <w:r w:rsidRPr="00AC77A0">
                    <w:rPr>
                      <w:rFonts w:ascii="Tahoma" w:hAnsi="Tahoma" w:cs="Tahoma"/>
                      <w:sz w:val="16"/>
                      <w:szCs w:val="16"/>
                    </w:rPr>
                    <w:t>USD million</w:t>
                  </w:r>
                </w:p>
              </w:tc>
              <w:tc>
                <w:tcPr>
                  <w:tcW w:w="1131" w:type="dxa"/>
                  <w:tcBorders>
                    <w:top w:val="single" w:sz="4" w:space="0" w:color="auto"/>
                    <w:left w:val="nil"/>
                    <w:bottom w:val="single" w:sz="4" w:space="0" w:color="auto"/>
                    <w:right w:val="single" w:sz="4" w:space="0" w:color="auto"/>
                  </w:tcBorders>
                  <w:noWrap/>
                  <w:vAlign w:val="center"/>
                  <w:hideMark/>
                </w:tcPr>
                <w:p w14:paraId="39473F51" w14:textId="77777777" w:rsidR="00E351FD" w:rsidRPr="00AC77A0" w:rsidRDefault="00E351FD" w:rsidP="00A54184">
                  <w:pPr>
                    <w:rPr>
                      <w:rFonts w:ascii="Tahoma" w:hAnsi="Tahoma" w:cs="Tahoma"/>
                      <w:sz w:val="16"/>
                      <w:szCs w:val="16"/>
                    </w:rPr>
                  </w:pPr>
                  <w:r w:rsidRPr="00AC77A0">
                    <w:rPr>
                      <w:rFonts w:ascii="Tahoma" w:hAnsi="Tahoma" w:cs="Tahoma"/>
                      <w:sz w:val="16"/>
                      <w:szCs w:val="16"/>
                    </w:rPr>
                    <w:t>EUR million</w:t>
                  </w:r>
                </w:p>
              </w:tc>
            </w:tr>
            <w:tr w:rsidR="00E351FD" w:rsidRPr="00AC77A0" w14:paraId="536C5C58" w14:textId="77777777" w:rsidTr="00F06A7D">
              <w:trPr>
                <w:trHeight w:val="261"/>
              </w:trPr>
              <w:tc>
                <w:tcPr>
                  <w:tcW w:w="2433" w:type="dxa"/>
                  <w:tcBorders>
                    <w:top w:val="single" w:sz="4" w:space="0" w:color="auto"/>
                    <w:left w:val="single" w:sz="4" w:space="0" w:color="auto"/>
                    <w:bottom w:val="nil"/>
                    <w:right w:val="single" w:sz="4" w:space="0" w:color="auto"/>
                  </w:tcBorders>
                  <w:noWrap/>
                  <w:vAlign w:val="center"/>
                  <w:hideMark/>
                </w:tcPr>
                <w:p w14:paraId="390A6675" w14:textId="77777777" w:rsidR="00E351FD" w:rsidRPr="00AC77A0" w:rsidRDefault="00E351FD" w:rsidP="00A54184">
                  <w:pPr>
                    <w:rPr>
                      <w:rFonts w:ascii="Arial" w:hAnsi="Arial" w:cs="Arial"/>
                      <w:sz w:val="16"/>
                      <w:szCs w:val="16"/>
                    </w:rPr>
                  </w:pPr>
                </w:p>
              </w:tc>
              <w:tc>
                <w:tcPr>
                  <w:tcW w:w="1134" w:type="dxa"/>
                  <w:tcBorders>
                    <w:top w:val="single" w:sz="4" w:space="0" w:color="auto"/>
                    <w:left w:val="single" w:sz="4" w:space="0" w:color="auto"/>
                    <w:bottom w:val="nil"/>
                    <w:right w:val="single" w:sz="4" w:space="0" w:color="auto"/>
                  </w:tcBorders>
                  <w:noWrap/>
                  <w:vAlign w:val="center"/>
                  <w:hideMark/>
                </w:tcPr>
                <w:p w14:paraId="5F096ED8" w14:textId="77777777" w:rsidR="00E351FD" w:rsidRPr="00AC77A0" w:rsidRDefault="00E351FD" w:rsidP="00A54184">
                  <w:pPr>
                    <w:rPr>
                      <w:sz w:val="20"/>
                      <w:szCs w:val="20"/>
                    </w:rPr>
                  </w:pPr>
                </w:p>
              </w:tc>
              <w:tc>
                <w:tcPr>
                  <w:tcW w:w="1131" w:type="dxa"/>
                  <w:tcBorders>
                    <w:top w:val="single" w:sz="4" w:space="0" w:color="auto"/>
                    <w:left w:val="single" w:sz="4" w:space="0" w:color="auto"/>
                    <w:bottom w:val="nil"/>
                    <w:right w:val="single" w:sz="4" w:space="0" w:color="auto"/>
                  </w:tcBorders>
                  <w:noWrap/>
                  <w:vAlign w:val="center"/>
                  <w:hideMark/>
                </w:tcPr>
                <w:p w14:paraId="07EE343B" w14:textId="77777777" w:rsidR="00E351FD" w:rsidRPr="00AC77A0" w:rsidRDefault="00E351FD" w:rsidP="00A54184">
                  <w:pPr>
                    <w:jc w:val="right"/>
                    <w:rPr>
                      <w:sz w:val="20"/>
                      <w:szCs w:val="20"/>
                    </w:rPr>
                  </w:pPr>
                </w:p>
              </w:tc>
              <w:tc>
                <w:tcPr>
                  <w:tcW w:w="2066" w:type="dxa"/>
                  <w:tcBorders>
                    <w:top w:val="single" w:sz="4" w:space="0" w:color="auto"/>
                    <w:left w:val="single" w:sz="4" w:space="0" w:color="auto"/>
                    <w:bottom w:val="nil"/>
                    <w:right w:val="single" w:sz="4" w:space="0" w:color="auto"/>
                  </w:tcBorders>
                  <w:noWrap/>
                  <w:vAlign w:val="center"/>
                  <w:hideMark/>
                </w:tcPr>
                <w:p w14:paraId="58567427" w14:textId="77777777" w:rsidR="00E351FD" w:rsidRPr="00AC77A0" w:rsidRDefault="00E351FD" w:rsidP="00A54184">
                  <w:pPr>
                    <w:jc w:val="right"/>
                    <w:rPr>
                      <w:sz w:val="20"/>
                      <w:szCs w:val="20"/>
                    </w:rPr>
                  </w:pPr>
                </w:p>
              </w:tc>
              <w:tc>
                <w:tcPr>
                  <w:tcW w:w="1131" w:type="dxa"/>
                  <w:tcBorders>
                    <w:top w:val="single" w:sz="4" w:space="0" w:color="auto"/>
                    <w:left w:val="single" w:sz="4" w:space="0" w:color="auto"/>
                    <w:bottom w:val="nil"/>
                    <w:right w:val="single" w:sz="4" w:space="0" w:color="auto"/>
                  </w:tcBorders>
                  <w:noWrap/>
                  <w:vAlign w:val="center"/>
                  <w:hideMark/>
                </w:tcPr>
                <w:p w14:paraId="07B2E944" w14:textId="77777777" w:rsidR="00E351FD" w:rsidRPr="00AC77A0" w:rsidRDefault="00E351FD" w:rsidP="00A54184">
                  <w:pPr>
                    <w:rPr>
                      <w:sz w:val="20"/>
                      <w:szCs w:val="20"/>
                    </w:rPr>
                  </w:pPr>
                </w:p>
              </w:tc>
              <w:tc>
                <w:tcPr>
                  <w:tcW w:w="1131" w:type="dxa"/>
                  <w:tcBorders>
                    <w:top w:val="single" w:sz="4" w:space="0" w:color="auto"/>
                    <w:left w:val="single" w:sz="4" w:space="0" w:color="auto"/>
                    <w:bottom w:val="nil"/>
                    <w:right w:val="single" w:sz="4" w:space="0" w:color="auto"/>
                  </w:tcBorders>
                  <w:noWrap/>
                  <w:vAlign w:val="center"/>
                  <w:hideMark/>
                </w:tcPr>
                <w:p w14:paraId="75AB9B29" w14:textId="77777777" w:rsidR="00E351FD" w:rsidRPr="00AC77A0" w:rsidRDefault="00E351FD" w:rsidP="00A54184">
                  <w:pPr>
                    <w:jc w:val="right"/>
                    <w:rPr>
                      <w:sz w:val="20"/>
                      <w:szCs w:val="20"/>
                    </w:rPr>
                  </w:pPr>
                </w:p>
              </w:tc>
            </w:tr>
            <w:tr w:rsidR="00BD1D93" w:rsidRPr="00AC77A0" w14:paraId="4B77C915" w14:textId="77777777" w:rsidTr="00F06A7D">
              <w:trPr>
                <w:trHeight w:val="225"/>
              </w:trPr>
              <w:tc>
                <w:tcPr>
                  <w:tcW w:w="2433" w:type="dxa"/>
                  <w:tcBorders>
                    <w:top w:val="nil"/>
                    <w:left w:val="single" w:sz="4" w:space="0" w:color="auto"/>
                    <w:bottom w:val="nil"/>
                    <w:right w:val="single" w:sz="4" w:space="0" w:color="auto"/>
                  </w:tcBorders>
                  <w:noWrap/>
                  <w:vAlign w:val="center"/>
                  <w:hideMark/>
                </w:tcPr>
                <w:p w14:paraId="7F1F7DE6" w14:textId="77777777" w:rsidR="00BD1D93" w:rsidRPr="00AC77A0" w:rsidRDefault="00BD1D93" w:rsidP="00BD1D93">
                  <w:pPr>
                    <w:rPr>
                      <w:rFonts w:ascii="Arial" w:hAnsi="Arial" w:cs="Arial"/>
                      <w:sz w:val="18"/>
                      <w:szCs w:val="18"/>
                      <w:lang w:eastAsia="en-GB"/>
                    </w:rPr>
                  </w:pPr>
                  <w:r w:rsidRPr="00AC77A0">
                    <w:rPr>
                      <w:rFonts w:ascii="Arial" w:hAnsi="Arial" w:cs="Arial"/>
                      <w:sz w:val="18"/>
                      <w:szCs w:val="18"/>
                    </w:rPr>
                    <w:t xml:space="preserve">Germany                    </w:t>
                  </w:r>
                </w:p>
              </w:tc>
              <w:tc>
                <w:tcPr>
                  <w:tcW w:w="1134" w:type="dxa"/>
                  <w:tcBorders>
                    <w:top w:val="nil"/>
                    <w:left w:val="nil"/>
                    <w:bottom w:val="nil"/>
                    <w:right w:val="single" w:sz="4" w:space="0" w:color="auto"/>
                  </w:tcBorders>
                  <w:noWrap/>
                  <w:vAlign w:val="center"/>
                  <w:hideMark/>
                </w:tcPr>
                <w:p w14:paraId="762DC9E7" w14:textId="280AF9E5" w:rsidR="00BD1D93" w:rsidRPr="00AC77A0" w:rsidRDefault="00BD1D93" w:rsidP="00BD1D93">
                  <w:pPr>
                    <w:jc w:val="right"/>
                    <w:rPr>
                      <w:rFonts w:ascii="Arial" w:hAnsi="Arial" w:cs="Arial"/>
                      <w:sz w:val="18"/>
                      <w:szCs w:val="18"/>
                      <w:lang w:eastAsia="en-GB"/>
                    </w:rPr>
                  </w:pPr>
                  <w:r w:rsidRPr="00AC77A0">
                    <w:rPr>
                      <w:rFonts w:ascii="Arial" w:hAnsi="Arial" w:cs="Arial"/>
                      <w:color w:val="000000"/>
                      <w:sz w:val="18"/>
                      <w:szCs w:val="18"/>
                    </w:rPr>
                    <w:t>5736.9</w:t>
                  </w:r>
                </w:p>
              </w:tc>
              <w:tc>
                <w:tcPr>
                  <w:tcW w:w="1131" w:type="dxa"/>
                  <w:tcBorders>
                    <w:top w:val="nil"/>
                    <w:left w:val="nil"/>
                    <w:bottom w:val="nil"/>
                    <w:right w:val="single" w:sz="4" w:space="0" w:color="auto"/>
                  </w:tcBorders>
                  <w:noWrap/>
                  <w:vAlign w:val="center"/>
                  <w:hideMark/>
                </w:tcPr>
                <w:p w14:paraId="55A78BBE" w14:textId="4B6A1712" w:rsidR="00BD1D93" w:rsidRPr="00AC77A0" w:rsidRDefault="00BD1D93" w:rsidP="00BD1D93">
                  <w:pPr>
                    <w:jc w:val="right"/>
                    <w:rPr>
                      <w:rFonts w:ascii="Arial" w:hAnsi="Arial" w:cs="Arial"/>
                      <w:sz w:val="18"/>
                      <w:szCs w:val="18"/>
                      <w:lang w:eastAsia="en-GB"/>
                    </w:rPr>
                  </w:pPr>
                  <w:r w:rsidRPr="00AC77A0">
                    <w:rPr>
                      <w:rFonts w:ascii="Arial" w:hAnsi="Arial" w:cs="Arial"/>
                      <w:color w:val="000000"/>
                      <w:sz w:val="18"/>
                      <w:szCs w:val="18"/>
                    </w:rPr>
                    <w:t>5085.1</w:t>
                  </w:r>
                </w:p>
              </w:tc>
              <w:tc>
                <w:tcPr>
                  <w:tcW w:w="2066" w:type="dxa"/>
                  <w:tcBorders>
                    <w:top w:val="nil"/>
                    <w:left w:val="nil"/>
                    <w:bottom w:val="nil"/>
                    <w:right w:val="nil"/>
                  </w:tcBorders>
                  <w:noWrap/>
                  <w:vAlign w:val="center"/>
                  <w:hideMark/>
                </w:tcPr>
                <w:p w14:paraId="17A8D65C" w14:textId="3223F869" w:rsidR="00BD1D93" w:rsidRPr="00AC77A0" w:rsidRDefault="00BD1D93" w:rsidP="00BD1D93">
                  <w:pPr>
                    <w:rPr>
                      <w:rFonts w:ascii="Arial" w:hAnsi="Arial" w:cs="Arial"/>
                      <w:sz w:val="18"/>
                      <w:szCs w:val="18"/>
                    </w:rPr>
                  </w:pPr>
                  <w:r w:rsidRPr="00AC77A0">
                    <w:rPr>
                      <w:rFonts w:ascii="Arial" w:hAnsi="Arial" w:cs="Arial"/>
                      <w:sz w:val="18"/>
                      <w:szCs w:val="18"/>
                    </w:rPr>
                    <w:t xml:space="preserve">China                  </w:t>
                  </w:r>
                </w:p>
              </w:tc>
              <w:tc>
                <w:tcPr>
                  <w:tcW w:w="1131" w:type="dxa"/>
                  <w:tcBorders>
                    <w:top w:val="nil"/>
                    <w:left w:val="single" w:sz="4" w:space="0" w:color="auto"/>
                    <w:bottom w:val="nil"/>
                    <w:right w:val="single" w:sz="4" w:space="0" w:color="auto"/>
                  </w:tcBorders>
                  <w:noWrap/>
                  <w:vAlign w:val="center"/>
                  <w:hideMark/>
                </w:tcPr>
                <w:p w14:paraId="43345533" w14:textId="50A3BAFC" w:rsidR="00BD1D93" w:rsidRPr="00AC77A0" w:rsidRDefault="00BD1D93" w:rsidP="00BD1D93">
                  <w:pPr>
                    <w:jc w:val="right"/>
                    <w:rPr>
                      <w:rFonts w:ascii="Arial" w:hAnsi="Arial" w:cs="Arial"/>
                      <w:sz w:val="18"/>
                      <w:szCs w:val="18"/>
                      <w:lang w:eastAsia="en-GB"/>
                    </w:rPr>
                  </w:pPr>
                  <w:r w:rsidRPr="00AC77A0">
                    <w:rPr>
                      <w:rFonts w:ascii="Arial" w:hAnsi="Arial" w:cs="Arial"/>
                      <w:color w:val="000000"/>
                      <w:sz w:val="18"/>
                      <w:szCs w:val="18"/>
                    </w:rPr>
                    <w:t>7271.0</w:t>
                  </w:r>
                </w:p>
              </w:tc>
              <w:tc>
                <w:tcPr>
                  <w:tcW w:w="1131" w:type="dxa"/>
                  <w:tcBorders>
                    <w:top w:val="nil"/>
                    <w:left w:val="nil"/>
                    <w:bottom w:val="nil"/>
                    <w:right w:val="single" w:sz="4" w:space="0" w:color="auto"/>
                  </w:tcBorders>
                  <w:noWrap/>
                  <w:vAlign w:val="center"/>
                  <w:hideMark/>
                </w:tcPr>
                <w:p w14:paraId="49B54DD5" w14:textId="79915944" w:rsidR="00BD1D93" w:rsidRPr="00AC77A0" w:rsidRDefault="00BD1D93" w:rsidP="00BD1D93">
                  <w:pPr>
                    <w:jc w:val="right"/>
                    <w:rPr>
                      <w:rFonts w:ascii="Arial" w:hAnsi="Arial" w:cs="Arial"/>
                      <w:sz w:val="18"/>
                      <w:szCs w:val="18"/>
                      <w:lang w:eastAsia="en-GB"/>
                    </w:rPr>
                  </w:pPr>
                  <w:r w:rsidRPr="00AC77A0">
                    <w:rPr>
                      <w:rFonts w:ascii="Arial" w:hAnsi="Arial" w:cs="Arial"/>
                      <w:color w:val="000000"/>
                      <w:sz w:val="18"/>
                      <w:szCs w:val="18"/>
                    </w:rPr>
                    <w:t>6426.5</w:t>
                  </w:r>
                </w:p>
              </w:tc>
            </w:tr>
            <w:tr w:rsidR="00BD1D93" w:rsidRPr="00AC77A0" w14:paraId="19A3520E" w14:textId="77777777" w:rsidTr="00F06A7D">
              <w:trPr>
                <w:trHeight w:val="261"/>
              </w:trPr>
              <w:tc>
                <w:tcPr>
                  <w:tcW w:w="2433" w:type="dxa"/>
                  <w:tcBorders>
                    <w:top w:val="nil"/>
                    <w:left w:val="single" w:sz="4" w:space="0" w:color="auto"/>
                    <w:bottom w:val="nil"/>
                    <w:right w:val="single" w:sz="4" w:space="0" w:color="auto"/>
                  </w:tcBorders>
                  <w:noWrap/>
                  <w:vAlign w:val="center"/>
                  <w:hideMark/>
                </w:tcPr>
                <w:p w14:paraId="4D6A0943" w14:textId="1256B336" w:rsidR="00BD1D93" w:rsidRPr="00AC77A0" w:rsidRDefault="00BD1D93" w:rsidP="00BD1D93">
                  <w:pPr>
                    <w:rPr>
                      <w:rFonts w:ascii="Arial" w:hAnsi="Arial" w:cs="Arial"/>
                      <w:sz w:val="18"/>
                      <w:szCs w:val="18"/>
                    </w:rPr>
                  </w:pPr>
                  <w:r w:rsidRPr="00AC77A0">
                    <w:rPr>
                      <w:rFonts w:ascii="Arial" w:hAnsi="Arial" w:cs="Arial"/>
                      <w:sz w:val="18"/>
                      <w:szCs w:val="18"/>
                    </w:rPr>
                    <w:t xml:space="preserve">Italy        </w:t>
                  </w:r>
                </w:p>
              </w:tc>
              <w:tc>
                <w:tcPr>
                  <w:tcW w:w="1134" w:type="dxa"/>
                  <w:tcBorders>
                    <w:top w:val="nil"/>
                    <w:left w:val="nil"/>
                    <w:bottom w:val="nil"/>
                    <w:right w:val="single" w:sz="4" w:space="0" w:color="auto"/>
                  </w:tcBorders>
                  <w:noWrap/>
                  <w:vAlign w:val="center"/>
                  <w:hideMark/>
                </w:tcPr>
                <w:p w14:paraId="77F238FC" w14:textId="72D2CEC2" w:rsidR="00BD1D93" w:rsidRPr="00AC77A0" w:rsidRDefault="00BD1D93" w:rsidP="00BD1D93">
                  <w:pPr>
                    <w:jc w:val="right"/>
                    <w:rPr>
                      <w:rFonts w:ascii="Arial" w:hAnsi="Arial" w:cs="Arial"/>
                      <w:sz w:val="18"/>
                      <w:szCs w:val="18"/>
                    </w:rPr>
                  </w:pPr>
                  <w:r w:rsidRPr="00AC77A0">
                    <w:rPr>
                      <w:rFonts w:ascii="Arial" w:hAnsi="Arial" w:cs="Arial"/>
                      <w:color w:val="000000"/>
                      <w:sz w:val="18"/>
                      <w:szCs w:val="18"/>
                    </w:rPr>
                    <w:t>2551.8</w:t>
                  </w:r>
                </w:p>
              </w:tc>
              <w:tc>
                <w:tcPr>
                  <w:tcW w:w="1131" w:type="dxa"/>
                  <w:tcBorders>
                    <w:top w:val="nil"/>
                    <w:left w:val="nil"/>
                    <w:bottom w:val="nil"/>
                    <w:right w:val="single" w:sz="4" w:space="0" w:color="auto"/>
                  </w:tcBorders>
                  <w:noWrap/>
                  <w:vAlign w:val="center"/>
                  <w:hideMark/>
                </w:tcPr>
                <w:p w14:paraId="22812019" w14:textId="32539CCB" w:rsidR="00BD1D93" w:rsidRPr="00AC77A0" w:rsidRDefault="00BD1D93" w:rsidP="00BD1D93">
                  <w:pPr>
                    <w:jc w:val="right"/>
                    <w:rPr>
                      <w:rFonts w:ascii="Arial" w:hAnsi="Arial" w:cs="Arial"/>
                      <w:sz w:val="18"/>
                      <w:szCs w:val="18"/>
                    </w:rPr>
                  </w:pPr>
                  <w:r w:rsidRPr="00AC77A0">
                    <w:rPr>
                      <w:rFonts w:ascii="Arial" w:hAnsi="Arial" w:cs="Arial"/>
                      <w:color w:val="000000"/>
                      <w:sz w:val="18"/>
                      <w:szCs w:val="18"/>
                    </w:rPr>
                    <w:t>2248.8</w:t>
                  </w:r>
                </w:p>
              </w:tc>
              <w:tc>
                <w:tcPr>
                  <w:tcW w:w="2066" w:type="dxa"/>
                  <w:tcBorders>
                    <w:top w:val="nil"/>
                    <w:left w:val="nil"/>
                    <w:bottom w:val="nil"/>
                    <w:right w:val="nil"/>
                  </w:tcBorders>
                  <w:noWrap/>
                  <w:vAlign w:val="center"/>
                  <w:hideMark/>
                </w:tcPr>
                <w:p w14:paraId="4EB91EFF" w14:textId="04EA78AB" w:rsidR="00BD1D93" w:rsidRPr="00AC77A0" w:rsidRDefault="00BD1D93" w:rsidP="00BD1D93">
                  <w:pPr>
                    <w:rPr>
                      <w:rFonts w:ascii="Arial" w:hAnsi="Arial" w:cs="Arial"/>
                      <w:sz w:val="18"/>
                      <w:szCs w:val="18"/>
                    </w:rPr>
                  </w:pPr>
                  <w:r w:rsidRPr="00AC77A0">
                    <w:rPr>
                      <w:rFonts w:ascii="Arial" w:hAnsi="Arial" w:cs="Arial"/>
                      <w:sz w:val="18"/>
                      <w:szCs w:val="18"/>
                    </w:rPr>
                    <w:t xml:space="preserve">Germany                                            </w:t>
                  </w:r>
                </w:p>
              </w:tc>
              <w:tc>
                <w:tcPr>
                  <w:tcW w:w="1131" w:type="dxa"/>
                  <w:tcBorders>
                    <w:top w:val="nil"/>
                    <w:left w:val="single" w:sz="4" w:space="0" w:color="auto"/>
                    <w:bottom w:val="nil"/>
                    <w:right w:val="single" w:sz="4" w:space="0" w:color="auto"/>
                  </w:tcBorders>
                  <w:noWrap/>
                  <w:vAlign w:val="center"/>
                  <w:hideMark/>
                </w:tcPr>
                <w:p w14:paraId="2EE6F428" w14:textId="0E2254ED" w:rsidR="00BD1D93" w:rsidRPr="00AC77A0" w:rsidRDefault="00BD1D93" w:rsidP="00BD1D93">
                  <w:pPr>
                    <w:jc w:val="right"/>
                    <w:rPr>
                      <w:rFonts w:ascii="Arial" w:hAnsi="Arial" w:cs="Arial"/>
                      <w:sz w:val="18"/>
                      <w:szCs w:val="18"/>
                    </w:rPr>
                  </w:pPr>
                  <w:r w:rsidRPr="00AC77A0">
                    <w:rPr>
                      <w:rFonts w:ascii="Arial" w:hAnsi="Arial" w:cs="Arial"/>
                      <w:color w:val="000000"/>
                      <w:sz w:val="18"/>
                      <w:szCs w:val="18"/>
                    </w:rPr>
                    <w:t>5529.2</w:t>
                  </w:r>
                </w:p>
              </w:tc>
              <w:tc>
                <w:tcPr>
                  <w:tcW w:w="1131" w:type="dxa"/>
                  <w:tcBorders>
                    <w:top w:val="nil"/>
                    <w:left w:val="nil"/>
                    <w:bottom w:val="nil"/>
                    <w:right w:val="single" w:sz="4" w:space="0" w:color="auto"/>
                  </w:tcBorders>
                  <w:noWrap/>
                  <w:vAlign w:val="center"/>
                  <w:hideMark/>
                </w:tcPr>
                <w:p w14:paraId="6D315C00" w14:textId="41895F69" w:rsidR="00BD1D93" w:rsidRPr="00AC77A0" w:rsidRDefault="00BD1D93" w:rsidP="00BD1D93">
                  <w:pPr>
                    <w:jc w:val="right"/>
                    <w:rPr>
                      <w:rFonts w:ascii="Arial" w:hAnsi="Arial" w:cs="Arial"/>
                      <w:sz w:val="18"/>
                      <w:szCs w:val="18"/>
                    </w:rPr>
                  </w:pPr>
                  <w:r w:rsidRPr="00AC77A0">
                    <w:rPr>
                      <w:rFonts w:ascii="Arial" w:hAnsi="Arial" w:cs="Arial"/>
                      <w:color w:val="000000"/>
                      <w:sz w:val="18"/>
                      <w:szCs w:val="18"/>
                    </w:rPr>
                    <w:t>4894.6</w:t>
                  </w:r>
                </w:p>
              </w:tc>
            </w:tr>
            <w:tr w:rsidR="00BD1D93" w:rsidRPr="00AC77A0" w14:paraId="7286DBD1" w14:textId="77777777" w:rsidTr="00F06A7D">
              <w:trPr>
                <w:trHeight w:val="261"/>
              </w:trPr>
              <w:tc>
                <w:tcPr>
                  <w:tcW w:w="2433" w:type="dxa"/>
                  <w:tcBorders>
                    <w:top w:val="nil"/>
                    <w:left w:val="single" w:sz="4" w:space="0" w:color="auto"/>
                    <w:bottom w:val="nil"/>
                    <w:right w:val="single" w:sz="4" w:space="0" w:color="auto"/>
                  </w:tcBorders>
                  <w:noWrap/>
                  <w:vAlign w:val="center"/>
                  <w:hideMark/>
                </w:tcPr>
                <w:p w14:paraId="298FA5D9" w14:textId="417288A9" w:rsidR="00BD1D93" w:rsidRPr="00AC77A0" w:rsidRDefault="00BD1D93" w:rsidP="00BD1D93">
                  <w:pPr>
                    <w:rPr>
                      <w:rFonts w:ascii="Arial" w:hAnsi="Arial" w:cs="Arial"/>
                      <w:sz w:val="18"/>
                      <w:szCs w:val="18"/>
                    </w:rPr>
                  </w:pPr>
                  <w:r w:rsidRPr="00AC77A0">
                    <w:rPr>
                      <w:rFonts w:ascii="Arial" w:hAnsi="Arial" w:cs="Arial"/>
                      <w:sz w:val="18"/>
                      <w:szCs w:val="18"/>
                    </w:rPr>
                    <w:t xml:space="preserve">Bosnia and Herzegovina        </w:t>
                  </w:r>
                </w:p>
              </w:tc>
              <w:tc>
                <w:tcPr>
                  <w:tcW w:w="1134" w:type="dxa"/>
                  <w:tcBorders>
                    <w:top w:val="nil"/>
                    <w:left w:val="nil"/>
                    <w:bottom w:val="nil"/>
                    <w:right w:val="single" w:sz="4" w:space="0" w:color="auto"/>
                  </w:tcBorders>
                  <w:noWrap/>
                  <w:vAlign w:val="center"/>
                  <w:hideMark/>
                </w:tcPr>
                <w:p w14:paraId="06DA499B" w14:textId="03532E10" w:rsidR="00BD1D93" w:rsidRPr="00AC77A0" w:rsidRDefault="00BD1D93" w:rsidP="00BD1D93">
                  <w:pPr>
                    <w:jc w:val="right"/>
                    <w:rPr>
                      <w:rFonts w:ascii="Arial" w:hAnsi="Arial" w:cs="Arial"/>
                      <w:sz w:val="18"/>
                      <w:szCs w:val="18"/>
                    </w:rPr>
                  </w:pPr>
                  <w:r w:rsidRPr="00AC77A0">
                    <w:rPr>
                      <w:rFonts w:ascii="Arial" w:hAnsi="Arial" w:cs="Arial"/>
                      <w:color w:val="000000"/>
                      <w:sz w:val="18"/>
                      <w:szCs w:val="18"/>
                    </w:rPr>
                    <w:t>2319.5</w:t>
                  </w:r>
                </w:p>
              </w:tc>
              <w:tc>
                <w:tcPr>
                  <w:tcW w:w="1131" w:type="dxa"/>
                  <w:tcBorders>
                    <w:top w:val="nil"/>
                    <w:left w:val="nil"/>
                    <w:bottom w:val="nil"/>
                    <w:right w:val="single" w:sz="4" w:space="0" w:color="auto"/>
                  </w:tcBorders>
                  <w:noWrap/>
                  <w:vAlign w:val="center"/>
                  <w:hideMark/>
                </w:tcPr>
                <w:p w14:paraId="7F4675A1" w14:textId="041F009B" w:rsidR="00BD1D93" w:rsidRPr="00AC77A0" w:rsidRDefault="00BD1D93" w:rsidP="00BD1D93">
                  <w:pPr>
                    <w:jc w:val="right"/>
                    <w:rPr>
                      <w:rFonts w:ascii="Arial" w:hAnsi="Arial" w:cs="Arial"/>
                      <w:sz w:val="18"/>
                      <w:szCs w:val="18"/>
                    </w:rPr>
                  </w:pPr>
                  <w:r w:rsidRPr="00AC77A0">
                    <w:rPr>
                      <w:rFonts w:ascii="Arial" w:hAnsi="Arial" w:cs="Arial"/>
                      <w:color w:val="000000"/>
                      <w:sz w:val="18"/>
                      <w:szCs w:val="18"/>
                    </w:rPr>
                    <w:t>2053.8</w:t>
                  </w:r>
                </w:p>
              </w:tc>
              <w:tc>
                <w:tcPr>
                  <w:tcW w:w="2066" w:type="dxa"/>
                  <w:tcBorders>
                    <w:top w:val="nil"/>
                    <w:left w:val="nil"/>
                    <w:bottom w:val="nil"/>
                    <w:right w:val="nil"/>
                  </w:tcBorders>
                  <w:noWrap/>
                  <w:vAlign w:val="center"/>
                  <w:hideMark/>
                </w:tcPr>
                <w:p w14:paraId="4D1B95C7" w14:textId="77777777" w:rsidR="00BD1D93" w:rsidRPr="00AC77A0" w:rsidRDefault="00BD1D93" w:rsidP="00BD1D93">
                  <w:pPr>
                    <w:rPr>
                      <w:rFonts w:ascii="Arial" w:hAnsi="Arial" w:cs="Arial"/>
                      <w:sz w:val="18"/>
                      <w:szCs w:val="18"/>
                    </w:rPr>
                  </w:pPr>
                  <w:r w:rsidRPr="00AC77A0">
                    <w:rPr>
                      <w:rFonts w:ascii="Arial" w:hAnsi="Arial" w:cs="Arial"/>
                      <w:sz w:val="18"/>
                      <w:szCs w:val="18"/>
                    </w:rPr>
                    <w:t xml:space="preserve">Italy </w:t>
                  </w:r>
                </w:p>
              </w:tc>
              <w:tc>
                <w:tcPr>
                  <w:tcW w:w="1131" w:type="dxa"/>
                  <w:tcBorders>
                    <w:top w:val="nil"/>
                    <w:left w:val="single" w:sz="4" w:space="0" w:color="auto"/>
                    <w:bottom w:val="nil"/>
                    <w:right w:val="single" w:sz="4" w:space="0" w:color="auto"/>
                  </w:tcBorders>
                  <w:noWrap/>
                  <w:vAlign w:val="center"/>
                  <w:hideMark/>
                </w:tcPr>
                <w:p w14:paraId="364DC989" w14:textId="727DBB0E" w:rsidR="00BD1D93" w:rsidRPr="00AC77A0" w:rsidRDefault="00BD1D93" w:rsidP="00BD1D93">
                  <w:pPr>
                    <w:jc w:val="right"/>
                    <w:rPr>
                      <w:rFonts w:ascii="Arial" w:hAnsi="Arial" w:cs="Arial"/>
                      <w:sz w:val="18"/>
                      <w:szCs w:val="18"/>
                    </w:rPr>
                  </w:pPr>
                  <w:r w:rsidRPr="00AC77A0">
                    <w:rPr>
                      <w:rFonts w:ascii="Arial" w:hAnsi="Arial" w:cs="Arial"/>
                      <w:color w:val="000000"/>
                      <w:sz w:val="18"/>
                      <w:szCs w:val="18"/>
                    </w:rPr>
                    <w:t>3110.3</w:t>
                  </w:r>
                </w:p>
              </w:tc>
              <w:tc>
                <w:tcPr>
                  <w:tcW w:w="1131" w:type="dxa"/>
                  <w:tcBorders>
                    <w:top w:val="nil"/>
                    <w:left w:val="nil"/>
                    <w:bottom w:val="nil"/>
                    <w:right w:val="single" w:sz="4" w:space="0" w:color="auto"/>
                  </w:tcBorders>
                  <w:noWrap/>
                  <w:vAlign w:val="center"/>
                  <w:hideMark/>
                </w:tcPr>
                <w:p w14:paraId="6139693B" w14:textId="671712F9" w:rsidR="00BD1D93" w:rsidRPr="00AC77A0" w:rsidRDefault="00BD1D93" w:rsidP="00BD1D93">
                  <w:pPr>
                    <w:jc w:val="right"/>
                    <w:rPr>
                      <w:rFonts w:ascii="Arial" w:hAnsi="Arial" w:cs="Arial"/>
                      <w:sz w:val="18"/>
                      <w:szCs w:val="18"/>
                    </w:rPr>
                  </w:pPr>
                  <w:r w:rsidRPr="00AC77A0">
                    <w:rPr>
                      <w:rFonts w:ascii="Arial" w:hAnsi="Arial" w:cs="Arial"/>
                      <w:color w:val="000000"/>
                      <w:sz w:val="18"/>
                      <w:szCs w:val="18"/>
                    </w:rPr>
                    <w:t>2754.2</w:t>
                  </w:r>
                </w:p>
              </w:tc>
            </w:tr>
            <w:tr w:rsidR="00BD1D93" w:rsidRPr="00AC77A0" w14:paraId="66A75775" w14:textId="77777777" w:rsidTr="00F06A7D">
              <w:trPr>
                <w:trHeight w:val="261"/>
              </w:trPr>
              <w:tc>
                <w:tcPr>
                  <w:tcW w:w="2433" w:type="dxa"/>
                  <w:tcBorders>
                    <w:top w:val="nil"/>
                    <w:left w:val="single" w:sz="4" w:space="0" w:color="auto"/>
                    <w:bottom w:val="nil"/>
                    <w:right w:val="single" w:sz="4" w:space="0" w:color="auto"/>
                  </w:tcBorders>
                  <w:noWrap/>
                  <w:vAlign w:val="center"/>
                  <w:hideMark/>
                </w:tcPr>
                <w:p w14:paraId="3AABC388" w14:textId="2563C384" w:rsidR="00BD1D93" w:rsidRPr="00AC77A0" w:rsidRDefault="00BD1D93" w:rsidP="00BD1D93">
                  <w:pPr>
                    <w:rPr>
                      <w:rFonts w:ascii="Arial" w:hAnsi="Arial" w:cs="Arial"/>
                      <w:sz w:val="18"/>
                      <w:szCs w:val="18"/>
                    </w:rPr>
                  </w:pPr>
                  <w:r w:rsidRPr="00AC77A0">
                    <w:rPr>
                      <w:rFonts w:ascii="Arial" w:hAnsi="Arial" w:cs="Arial"/>
                      <w:sz w:val="18"/>
                      <w:szCs w:val="18"/>
                    </w:rPr>
                    <w:t>China</w:t>
                  </w:r>
                </w:p>
              </w:tc>
              <w:tc>
                <w:tcPr>
                  <w:tcW w:w="1134" w:type="dxa"/>
                  <w:tcBorders>
                    <w:top w:val="nil"/>
                    <w:left w:val="nil"/>
                    <w:bottom w:val="nil"/>
                    <w:right w:val="single" w:sz="4" w:space="0" w:color="auto"/>
                  </w:tcBorders>
                  <w:noWrap/>
                  <w:vAlign w:val="center"/>
                  <w:hideMark/>
                </w:tcPr>
                <w:p w14:paraId="6A7913BE" w14:textId="6A75586F" w:rsidR="00BD1D93" w:rsidRPr="00AC77A0" w:rsidRDefault="00BD1D93" w:rsidP="00BD1D93">
                  <w:pPr>
                    <w:jc w:val="right"/>
                    <w:rPr>
                      <w:rFonts w:ascii="Arial" w:hAnsi="Arial" w:cs="Arial"/>
                      <w:sz w:val="18"/>
                      <w:szCs w:val="18"/>
                    </w:rPr>
                  </w:pPr>
                  <w:r w:rsidRPr="00AC77A0">
                    <w:rPr>
                      <w:rFonts w:ascii="Arial" w:hAnsi="Arial" w:cs="Arial"/>
                      <w:color w:val="000000"/>
                      <w:sz w:val="18"/>
                      <w:szCs w:val="18"/>
                    </w:rPr>
                    <w:t>2098.7</w:t>
                  </w:r>
                </w:p>
              </w:tc>
              <w:tc>
                <w:tcPr>
                  <w:tcW w:w="1131" w:type="dxa"/>
                  <w:tcBorders>
                    <w:top w:val="nil"/>
                    <w:left w:val="nil"/>
                    <w:bottom w:val="nil"/>
                    <w:right w:val="single" w:sz="4" w:space="0" w:color="auto"/>
                  </w:tcBorders>
                  <w:noWrap/>
                  <w:vAlign w:val="center"/>
                  <w:hideMark/>
                </w:tcPr>
                <w:p w14:paraId="41F749F9" w14:textId="36A43169" w:rsidR="00BD1D93" w:rsidRPr="00AC77A0" w:rsidRDefault="00BD1D93" w:rsidP="00BD1D93">
                  <w:pPr>
                    <w:jc w:val="right"/>
                    <w:rPr>
                      <w:rFonts w:ascii="Arial" w:hAnsi="Arial" w:cs="Arial"/>
                      <w:sz w:val="18"/>
                      <w:szCs w:val="18"/>
                    </w:rPr>
                  </w:pPr>
                  <w:r w:rsidRPr="00AC77A0">
                    <w:rPr>
                      <w:rFonts w:ascii="Arial" w:hAnsi="Arial" w:cs="Arial"/>
                      <w:color w:val="000000"/>
                      <w:sz w:val="18"/>
                      <w:szCs w:val="18"/>
                    </w:rPr>
                    <w:t>1869.7</w:t>
                  </w:r>
                </w:p>
              </w:tc>
              <w:tc>
                <w:tcPr>
                  <w:tcW w:w="2066" w:type="dxa"/>
                  <w:tcBorders>
                    <w:top w:val="nil"/>
                    <w:left w:val="nil"/>
                    <w:bottom w:val="nil"/>
                    <w:right w:val="nil"/>
                  </w:tcBorders>
                  <w:noWrap/>
                  <w:vAlign w:val="center"/>
                  <w:hideMark/>
                </w:tcPr>
                <w:p w14:paraId="46DDA927" w14:textId="49B9A1F2" w:rsidR="00BD1D93" w:rsidRPr="00AC77A0" w:rsidRDefault="00BD1D93" w:rsidP="00BD1D93">
                  <w:pPr>
                    <w:rPr>
                      <w:rFonts w:ascii="Arial" w:hAnsi="Arial" w:cs="Arial"/>
                      <w:sz w:val="18"/>
                      <w:szCs w:val="18"/>
                    </w:rPr>
                  </w:pPr>
                  <w:r w:rsidRPr="00AC77A0">
                    <w:rPr>
                      <w:rFonts w:ascii="Arial" w:hAnsi="Arial" w:cs="Arial"/>
                      <w:sz w:val="18"/>
                      <w:szCs w:val="18"/>
                    </w:rPr>
                    <w:t>Turkey</w:t>
                  </w:r>
                </w:p>
              </w:tc>
              <w:tc>
                <w:tcPr>
                  <w:tcW w:w="1131" w:type="dxa"/>
                  <w:tcBorders>
                    <w:top w:val="nil"/>
                    <w:left w:val="single" w:sz="4" w:space="0" w:color="auto"/>
                    <w:bottom w:val="nil"/>
                    <w:right w:val="single" w:sz="4" w:space="0" w:color="auto"/>
                  </w:tcBorders>
                  <w:noWrap/>
                  <w:vAlign w:val="center"/>
                  <w:hideMark/>
                </w:tcPr>
                <w:p w14:paraId="40AF12E3" w14:textId="5AA90318" w:rsidR="00BD1D93" w:rsidRPr="00AC77A0" w:rsidRDefault="00BD1D93" w:rsidP="00BD1D93">
                  <w:pPr>
                    <w:jc w:val="right"/>
                    <w:rPr>
                      <w:rFonts w:ascii="Arial" w:hAnsi="Arial" w:cs="Arial"/>
                      <w:sz w:val="18"/>
                      <w:szCs w:val="18"/>
                    </w:rPr>
                  </w:pPr>
                  <w:r w:rsidRPr="00AC77A0">
                    <w:rPr>
                      <w:rFonts w:ascii="Arial" w:hAnsi="Arial" w:cs="Arial"/>
                      <w:color w:val="000000"/>
                      <w:sz w:val="18"/>
                      <w:szCs w:val="18"/>
                    </w:rPr>
                    <w:t>2477.4</w:t>
                  </w:r>
                </w:p>
              </w:tc>
              <w:tc>
                <w:tcPr>
                  <w:tcW w:w="1131" w:type="dxa"/>
                  <w:tcBorders>
                    <w:top w:val="nil"/>
                    <w:left w:val="nil"/>
                    <w:bottom w:val="nil"/>
                    <w:right w:val="single" w:sz="4" w:space="0" w:color="auto"/>
                  </w:tcBorders>
                  <w:noWrap/>
                  <w:vAlign w:val="center"/>
                  <w:hideMark/>
                </w:tcPr>
                <w:p w14:paraId="17746084" w14:textId="13D545EB" w:rsidR="00BD1D93" w:rsidRPr="00AC77A0" w:rsidRDefault="00BD1D93" w:rsidP="00BD1D93">
                  <w:pPr>
                    <w:jc w:val="right"/>
                    <w:rPr>
                      <w:rFonts w:ascii="Arial" w:hAnsi="Arial" w:cs="Arial"/>
                      <w:sz w:val="18"/>
                      <w:szCs w:val="18"/>
                    </w:rPr>
                  </w:pPr>
                  <w:r w:rsidRPr="00AC77A0">
                    <w:rPr>
                      <w:rFonts w:ascii="Arial" w:hAnsi="Arial" w:cs="Arial"/>
                      <w:color w:val="000000"/>
                      <w:sz w:val="18"/>
                      <w:szCs w:val="18"/>
                    </w:rPr>
                    <w:t>2189.0</w:t>
                  </w:r>
                </w:p>
              </w:tc>
            </w:tr>
            <w:tr w:rsidR="00BD1D93" w:rsidRPr="00AC77A0" w14:paraId="122FA64A" w14:textId="77777777" w:rsidTr="00F06A7D">
              <w:trPr>
                <w:trHeight w:val="261"/>
              </w:trPr>
              <w:tc>
                <w:tcPr>
                  <w:tcW w:w="2433" w:type="dxa"/>
                  <w:tcBorders>
                    <w:top w:val="nil"/>
                    <w:left w:val="single" w:sz="4" w:space="0" w:color="auto"/>
                    <w:bottom w:val="single" w:sz="4" w:space="0" w:color="auto"/>
                    <w:right w:val="single" w:sz="4" w:space="0" w:color="auto"/>
                  </w:tcBorders>
                  <w:noWrap/>
                  <w:vAlign w:val="center"/>
                  <w:hideMark/>
                </w:tcPr>
                <w:p w14:paraId="3CD3037D" w14:textId="7B028B88" w:rsidR="00BD1D93" w:rsidRPr="00AC77A0" w:rsidRDefault="00BD1D93" w:rsidP="00BD1D93">
                  <w:pPr>
                    <w:rPr>
                      <w:rFonts w:ascii="Arial" w:hAnsi="Arial" w:cs="Arial"/>
                      <w:sz w:val="18"/>
                      <w:szCs w:val="18"/>
                    </w:rPr>
                  </w:pPr>
                  <w:r w:rsidRPr="00AC77A0">
                    <w:rPr>
                      <w:rFonts w:ascii="Arial" w:hAnsi="Arial" w:cs="Arial"/>
                      <w:sz w:val="18"/>
                      <w:szCs w:val="18"/>
                    </w:rPr>
                    <w:t>Hungary</w:t>
                  </w:r>
                </w:p>
              </w:tc>
              <w:tc>
                <w:tcPr>
                  <w:tcW w:w="1134" w:type="dxa"/>
                  <w:tcBorders>
                    <w:top w:val="nil"/>
                    <w:left w:val="nil"/>
                    <w:bottom w:val="single" w:sz="4" w:space="0" w:color="auto"/>
                    <w:right w:val="single" w:sz="4" w:space="0" w:color="auto"/>
                  </w:tcBorders>
                  <w:noWrap/>
                  <w:vAlign w:val="center"/>
                  <w:hideMark/>
                </w:tcPr>
                <w:p w14:paraId="0639A00A" w14:textId="6159E8C0" w:rsidR="00BD1D93" w:rsidRPr="00AC77A0" w:rsidRDefault="00BD1D93" w:rsidP="00BD1D93">
                  <w:pPr>
                    <w:jc w:val="right"/>
                    <w:rPr>
                      <w:rFonts w:ascii="Arial" w:hAnsi="Arial" w:cs="Arial"/>
                      <w:sz w:val="18"/>
                      <w:szCs w:val="18"/>
                    </w:rPr>
                  </w:pPr>
                  <w:r w:rsidRPr="00AC77A0">
                    <w:rPr>
                      <w:rFonts w:ascii="Arial" w:hAnsi="Arial" w:cs="Arial"/>
                      <w:color w:val="000000"/>
                      <w:sz w:val="18"/>
                      <w:szCs w:val="18"/>
                    </w:rPr>
                    <w:t>1730.1</w:t>
                  </w:r>
                </w:p>
              </w:tc>
              <w:tc>
                <w:tcPr>
                  <w:tcW w:w="1131" w:type="dxa"/>
                  <w:tcBorders>
                    <w:top w:val="nil"/>
                    <w:left w:val="nil"/>
                    <w:bottom w:val="single" w:sz="4" w:space="0" w:color="auto"/>
                    <w:right w:val="single" w:sz="4" w:space="0" w:color="auto"/>
                  </w:tcBorders>
                  <w:noWrap/>
                  <w:vAlign w:val="center"/>
                  <w:hideMark/>
                </w:tcPr>
                <w:p w14:paraId="6BBD5A00" w14:textId="1247B4AA" w:rsidR="00BD1D93" w:rsidRPr="00AC77A0" w:rsidRDefault="00BD1D93" w:rsidP="00BD1D93">
                  <w:pPr>
                    <w:jc w:val="right"/>
                    <w:rPr>
                      <w:rFonts w:ascii="Arial" w:hAnsi="Arial" w:cs="Arial"/>
                      <w:sz w:val="18"/>
                      <w:szCs w:val="18"/>
                    </w:rPr>
                  </w:pPr>
                  <w:r w:rsidRPr="00AC77A0">
                    <w:rPr>
                      <w:rFonts w:ascii="Arial" w:hAnsi="Arial" w:cs="Arial"/>
                      <w:color w:val="000000"/>
                      <w:sz w:val="18"/>
                      <w:szCs w:val="18"/>
                    </w:rPr>
                    <w:t>1533.9</w:t>
                  </w:r>
                </w:p>
              </w:tc>
              <w:tc>
                <w:tcPr>
                  <w:tcW w:w="2066" w:type="dxa"/>
                  <w:tcBorders>
                    <w:top w:val="nil"/>
                    <w:left w:val="nil"/>
                    <w:bottom w:val="single" w:sz="4" w:space="0" w:color="auto"/>
                    <w:right w:val="nil"/>
                  </w:tcBorders>
                  <w:noWrap/>
                  <w:vAlign w:val="center"/>
                  <w:hideMark/>
                </w:tcPr>
                <w:p w14:paraId="5A329EF2" w14:textId="353C036D" w:rsidR="00BD1D93" w:rsidRPr="00AC77A0" w:rsidRDefault="00BD1D93" w:rsidP="00BD1D93">
                  <w:pPr>
                    <w:rPr>
                      <w:rFonts w:ascii="Arial" w:hAnsi="Arial" w:cs="Arial"/>
                      <w:sz w:val="18"/>
                      <w:szCs w:val="18"/>
                    </w:rPr>
                  </w:pPr>
                  <w:r w:rsidRPr="00AC77A0">
                    <w:rPr>
                      <w:rFonts w:ascii="Arial" w:hAnsi="Arial" w:cs="Arial"/>
                      <w:sz w:val="18"/>
                      <w:szCs w:val="18"/>
                    </w:rPr>
                    <w:t xml:space="preserve">Hungary                   </w:t>
                  </w:r>
                </w:p>
              </w:tc>
              <w:tc>
                <w:tcPr>
                  <w:tcW w:w="1131" w:type="dxa"/>
                  <w:tcBorders>
                    <w:top w:val="nil"/>
                    <w:left w:val="single" w:sz="4" w:space="0" w:color="auto"/>
                    <w:bottom w:val="single" w:sz="4" w:space="0" w:color="auto"/>
                    <w:right w:val="single" w:sz="4" w:space="0" w:color="auto"/>
                  </w:tcBorders>
                  <w:noWrap/>
                  <w:vAlign w:val="center"/>
                  <w:hideMark/>
                </w:tcPr>
                <w:p w14:paraId="630887F2" w14:textId="1A11815E" w:rsidR="00BD1D93" w:rsidRPr="00AC77A0" w:rsidRDefault="00BD1D93" w:rsidP="00BD1D93">
                  <w:pPr>
                    <w:jc w:val="right"/>
                    <w:rPr>
                      <w:rFonts w:ascii="Arial" w:hAnsi="Arial" w:cs="Arial"/>
                      <w:sz w:val="18"/>
                      <w:szCs w:val="18"/>
                    </w:rPr>
                  </w:pPr>
                  <w:r w:rsidRPr="00AC77A0">
                    <w:rPr>
                      <w:rFonts w:ascii="Arial" w:hAnsi="Arial" w:cs="Arial"/>
                      <w:color w:val="000000"/>
                      <w:sz w:val="18"/>
                      <w:szCs w:val="18"/>
                    </w:rPr>
                    <w:t>2130.4</w:t>
                  </w:r>
                </w:p>
              </w:tc>
              <w:tc>
                <w:tcPr>
                  <w:tcW w:w="1131" w:type="dxa"/>
                  <w:tcBorders>
                    <w:top w:val="nil"/>
                    <w:left w:val="nil"/>
                    <w:bottom w:val="single" w:sz="4" w:space="0" w:color="auto"/>
                    <w:right w:val="single" w:sz="4" w:space="0" w:color="auto"/>
                  </w:tcBorders>
                  <w:noWrap/>
                  <w:vAlign w:val="center"/>
                  <w:hideMark/>
                </w:tcPr>
                <w:p w14:paraId="59544D8B" w14:textId="13E17512" w:rsidR="00BD1D93" w:rsidRPr="00AC77A0" w:rsidRDefault="00BD1D93" w:rsidP="00BD1D93">
                  <w:pPr>
                    <w:jc w:val="right"/>
                    <w:rPr>
                      <w:rFonts w:ascii="Arial" w:hAnsi="Arial" w:cs="Arial"/>
                      <w:sz w:val="18"/>
                      <w:szCs w:val="18"/>
                    </w:rPr>
                  </w:pPr>
                  <w:r w:rsidRPr="00AC77A0">
                    <w:rPr>
                      <w:rFonts w:ascii="Arial" w:hAnsi="Arial" w:cs="Arial"/>
                      <w:color w:val="000000"/>
                      <w:sz w:val="18"/>
                      <w:szCs w:val="18"/>
                    </w:rPr>
                    <w:t>1905.0</w:t>
                  </w:r>
                </w:p>
              </w:tc>
            </w:tr>
          </w:tbl>
          <w:p w14:paraId="6F24F0FC" w14:textId="77777777" w:rsidR="00872100" w:rsidRDefault="00872100" w:rsidP="00A54184">
            <w:pPr>
              <w:jc w:val="both"/>
              <w:rPr>
                <w:rFonts w:ascii="Tahoma" w:hAnsi="Tahoma" w:cs="Tahoma"/>
                <w:sz w:val="18"/>
                <w:szCs w:val="18"/>
              </w:rPr>
            </w:pPr>
          </w:p>
          <w:p w14:paraId="4B19A2ED" w14:textId="2BEAF7CF" w:rsidR="00E351FD" w:rsidRPr="00033E62" w:rsidRDefault="00E351FD" w:rsidP="00A54184">
            <w:pPr>
              <w:jc w:val="both"/>
              <w:rPr>
                <w:rFonts w:ascii="Tahoma" w:hAnsi="Tahoma" w:cs="Tahoma"/>
                <w:sz w:val="18"/>
                <w:szCs w:val="18"/>
              </w:rPr>
            </w:pPr>
            <w:r w:rsidRPr="00AC77A0">
              <w:rPr>
                <w:rFonts w:ascii="Tahoma" w:hAnsi="Tahoma" w:cs="Tahoma"/>
                <w:sz w:val="18"/>
                <w:szCs w:val="18"/>
              </w:rPr>
              <w:t xml:space="preserve">Our second major partner refers to the </w:t>
            </w:r>
            <w:r w:rsidRPr="00AC77A0">
              <w:rPr>
                <w:rFonts w:ascii="Tahoma" w:hAnsi="Tahoma" w:cs="Tahoma"/>
                <w:b/>
                <w:sz w:val="18"/>
                <w:szCs w:val="18"/>
              </w:rPr>
              <w:t>CEFTA countries</w:t>
            </w:r>
            <w:r w:rsidRPr="00AC77A0">
              <w:rPr>
                <w:rFonts w:ascii="Tahoma" w:hAnsi="Tahoma" w:cs="Tahoma"/>
                <w:sz w:val="18"/>
                <w:szCs w:val="18"/>
              </w:rPr>
              <w:t xml:space="preserve">, since our gained surplus in external trade amounted to USD </w:t>
            </w:r>
            <w:r w:rsidR="00BD1D93" w:rsidRPr="00AC77A0">
              <w:rPr>
                <w:rFonts w:ascii="Tahoma" w:hAnsi="Tahoma" w:cs="Tahoma"/>
                <w:sz w:val="18"/>
                <w:szCs w:val="18"/>
              </w:rPr>
              <w:t>3353</w:t>
            </w:r>
            <w:r w:rsidRPr="00AC77A0">
              <w:rPr>
                <w:rFonts w:ascii="Tahoma" w:hAnsi="Tahoma" w:cs="Tahoma"/>
                <w:sz w:val="18"/>
                <w:szCs w:val="18"/>
              </w:rPr>
              <w:t>.</w:t>
            </w:r>
            <w:r w:rsidR="00BD1D93" w:rsidRPr="00AC77A0">
              <w:rPr>
                <w:rFonts w:ascii="Tahoma" w:hAnsi="Tahoma" w:cs="Tahoma"/>
                <w:sz w:val="18"/>
                <w:szCs w:val="18"/>
              </w:rPr>
              <w:t>8</w:t>
            </w:r>
            <w:r w:rsidRPr="00AC77A0">
              <w:rPr>
                <w:rFonts w:ascii="Tahoma" w:hAnsi="Tahoma" w:cs="Tahoma"/>
                <w:sz w:val="18"/>
                <w:szCs w:val="18"/>
              </w:rPr>
              <w:t xml:space="preserve"> million, resulting from the exports of cereals and produces thereof, </w:t>
            </w:r>
            <w:r w:rsidR="00BD1D93" w:rsidRPr="00AC77A0">
              <w:rPr>
                <w:rFonts w:ascii="Tahoma" w:hAnsi="Tahoma" w:cs="Tahoma"/>
                <w:sz w:val="18"/>
                <w:szCs w:val="18"/>
              </w:rPr>
              <w:t xml:space="preserve">road vehicles, beverages, </w:t>
            </w:r>
            <w:r w:rsidR="003E20DB" w:rsidRPr="00AC77A0">
              <w:rPr>
                <w:rFonts w:ascii="Tahoma" w:hAnsi="Tahoma" w:cs="Tahoma"/>
                <w:sz w:val="18"/>
                <w:szCs w:val="18"/>
              </w:rPr>
              <w:t xml:space="preserve">oil and oil derivatives, </w:t>
            </w:r>
            <w:r w:rsidR="00BD1D93" w:rsidRPr="00AC77A0">
              <w:rPr>
                <w:rFonts w:ascii="Tahoma" w:hAnsi="Tahoma" w:cs="Tahoma"/>
                <w:sz w:val="18"/>
                <w:szCs w:val="18"/>
              </w:rPr>
              <w:t>medical and pharmaceutical products</w:t>
            </w:r>
            <w:r w:rsidRPr="00AC77A0">
              <w:rPr>
                <w:rFonts w:ascii="Tahoma" w:hAnsi="Tahoma" w:cs="Tahoma"/>
                <w:sz w:val="18"/>
                <w:szCs w:val="18"/>
              </w:rPr>
              <w:t xml:space="preserve">. Our exports in the referent period amounted to USD </w:t>
            </w:r>
            <w:r w:rsidR="00BD1D93" w:rsidRPr="00AC77A0">
              <w:rPr>
                <w:rFonts w:ascii="Tahoma" w:hAnsi="Tahoma" w:cs="Tahoma"/>
                <w:sz w:val="18"/>
                <w:szCs w:val="18"/>
              </w:rPr>
              <w:t>5514</w:t>
            </w:r>
            <w:r w:rsidRPr="00AC77A0">
              <w:rPr>
                <w:rFonts w:ascii="Tahoma" w:hAnsi="Tahoma" w:cs="Tahoma"/>
                <w:sz w:val="18"/>
                <w:szCs w:val="18"/>
              </w:rPr>
              <w:t>.</w:t>
            </w:r>
            <w:r w:rsidR="00BD1D93" w:rsidRPr="00AC77A0">
              <w:rPr>
                <w:rFonts w:ascii="Tahoma" w:hAnsi="Tahoma" w:cs="Tahoma"/>
                <w:sz w:val="18"/>
                <w:szCs w:val="18"/>
              </w:rPr>
              <w:t>4</w:t>
            </w:r>
            <w:r w:rsidRPr="00AC77A0">
              <w:rPr>
                <w:rFonts w:ascii="Tahoma" w:hAnsi="Tahoma" w:cs="Tahoma"/>
                <w:sz w:val="18"/>
                <w:szCs w:val="18"/>
              </w:rPr>
              <w:t xml:space="preserve"> million, while </w:t>
            </w:r>
            <w:r w:rsidRPr="00033E62">
              <w:rPr>
                <w:rFonts w:ascii="Tahoma" w:hAnsi="Tahoma" w:cs="Tahoma"/>
                <w:sz w:val="18"/>
                <w:szCs w:val="18"/>
              </w:rPr>
              <w:t xml:space="preserve">the imports were USD </w:t>
            </w:r>
            <w:r w:rsidR="00BD1D93" w:rsidRPr="00033E62">
              <w:rPr>
                <w:rFonts w:ascii="Tahoma" w:hAnsi="Tahoma" w:cs="Tahoma"/>
                <w:sz w:val="18"/>
                <w:szCs w:val="18"/>
              </w:rPr>
              <w:t>2160</w:t>
            </w:r>
            <w:r w:rsidRPr="00033E62">
              <w:rPr>
                <w:rFonts w:ascii="Tahoma" w:hAnsi="Tahoma" w:cs="Tahoma"/>
                <w:sz w:val="18"/>
                <w:szCs w:val="18"/>
              </w:rPr>
              <w:t>.</w:t>
            </w:r>
            <w:r w:rsidR="00BD1D93" w:rsidRPr="00033E62">
              <w:rPr>
                <w:rFonts w:ascii="Tahoma" w:hAnsi="Tahoma" w:cs="Tahoma"/>
                <w:sz w:val="18"/>
                <w:szCs w:val="18"/>
              </w:rPr>
              <w:t>7</w:t>
            </w:r>
            <w:r w:rsidRPr="00033E62">
              <w:rPr>
                <w:rFonts w:ascii="Tahoma" w:hAnsi="Tahoma" w:cs="Tahoma"/>
                <w:sz w:val="18"/>
                <w:szCs w:val="18"/>
              </w:rPr>
              <w:t xml:space="preserve"> million. The export– import ratio equalled 2</w:t>
            </w:r>
            <w:r w:rsidR="00BD1D93" w:rsidRPr="00033E62">
              <w:rPr>
                <w:rFonts w:ascii="Tahoma" w:hAnsi="Tahoma" w:cs="Tahoma"/>
                <w:sz w:val="18"/>
                <w:szCs w:val="18"/>
              </w:rPr>
              <w:t>55</w:t>
            </w:r>
            <w:r w:rsidRPr="00033E62">
              <w:rPr>
                <w:rFonts w:ascii="Tahoma" w:hAnsi="Tahoma" w:cs="Tahoma"/>
                <w:sz w:val="18"/>
                <w:szCs w:val="18"/>
              </w:rPr>
              <w:t>.</w:t>
            </w:r>
            <w:r w:rsidR="00BD1D93" w:rsidRPr="00033E62">
              <w:rPr>
                <w:rFonts w:ascii="Tahoma" w:hAnsi="Tahoma" w:cs="Tahoma"/>
                <w:sz w:val="18"/>
                <w:szCs w:val="18"/>
              </w:rPr>
              <w:t>2</w:t>
            </w:r>
            <w:r w:rsidRPr="00033E62">
              <w:rPr>
                <w:rFonts w:ascii="Tahoma" w:hAnsi="Tahoma" w:cs="Tahoma"/>
                <w:sz w:val="18"/>
                <w:szCs w:val="18"/>
              </w:rPr>
              <w:t xml:space="preserve"> %. Expressed in E</w:t>
            </w:r>
            <w:r w:rsidR="00033E62" w:rsidRPr="00033E62">
              <w:rPr>
                <w:rFonts w:ascii="Tahoma" w:hAnsi="Tahoma" w:cs="Tahoma"/>
                <w:sz w:val="18"/>
                <w:szCs w:val="18"/>
              </w:rPr>
              <w:t>uros</w:t>
            </w:r>
            <w:r w:rsidRPr="00033E62">
              <w:rPr>
                <w:rFonts w:ascii="Tahoma" w:hAnsi="Tahoma" w:cs="Tahoma"/>
                <w:sz w:val="18"/>
                <w:szCs w:val="18"/>
              </w:rPr>
              <w:t xml:space="preserve">, exports amounted to </w:t>
            </w:r>
            <w:r w:rsidR="00033E62" w:rsidRPr="00033E62">
              <w:rPr>
                <w:rFonts w:ascii="Tahoma" w:hAnsi="Tahoma" w:cs="Tahoma"/>
                <w:sz w:val="18"/>
                <w:szCs w:val="18"/>
              </w:rPr>
              <w:t xml:space="preserve">EUR </w:t>
            </w:r>
            <w:r w:rsidR="00D5069C" w:rsidRPr="00033E62">
              <w:rPr>
                <w:rFonts w:ascii="Tahoma" w:hAnsi="Tahoma" w:cs="Tahoma"/>
                <w:sz w:val="18"/>
                <w:szCs w:val="18"/>
              </w:rPr>
              <w:t>4</w:t>
            </w:r>
            <w:r w:rsidR="00BD1D93" w:rsidRPr="00033E62">
              <w:rPr>
                <w:rFonts w:ascii="Tahoma" w:hAnsi="Tahoma" w:cs="Tahoma"/>
                <w:sz w:val="18"/>
                <w:szCs w:val="18"/>
              </w:rPr>
              <w:t>881</w:t>
            </w:r>
            <w:r w:rsidRPr="00033E62">
              <w:rPr>
                <w:rFonts w:ascii="Tahoma" w:hAnsi="Tahoma" w:cs="Tahoma"/>
                <w:sz w:val="18"/>
                <w:szCs w:val="18"/>
              </w:rPr>
              <w:t>.</w:t>
            </w:r>
            <w:r w:rsidR="00BD1D93" w:rsidRPr="00033E62">
              <w:rPr>
                <w:rFonts w:ascii="Tahoma" w:hAnsi="Tahoma" w:cs="Tahoma"/>
                <w:sz w:val="18"/>
                <w:szCs w:val="18"/>
              </w:rPr>
              <w:t>7</w:t>
            </w:r>
            <w:r w:rsidRPr="00033E62">
              <w:rPr>
                <w:rFonts w:ascii="Tahoma" w:hAnsi="Tahoma" w:cs="Tahoma"/>
                <w:sz w:val="18"/>
                <w:szCs w:val="18"/>
              </w:rPr>
              <w:t xml:space="preserve"> </w:t>
            </w:r>
            <w:r w:rsidR="005435B6">
              <w:rPr>
                <w:rFonts w:ascii="Tahoma" w:hAnsi="Tahoma" w:cs="Tahoma"/>
                <w:sz w:val="18"/>
                <w:szCs w:val="18"/>
              </w:rPr>
              <w:t xml:space="preserve">million </w:t>
            </w:r>
            <w:r w:rsidRPr="00033E62">
              <w:rPr>
                <w:rFonts w:ascii="Tahoma" w:hAnsi="Tahoma" w:cs="Tahoma"/>
                <w:sz w:val="18"/>
                <w:szCs w:val="18"/>
              </w:rPr>
              <w:t xml:space="preserve">and imports to </w:t>
            </w:r>
            <w:r w:rsidR="00033E62" w:rsidRPr="00033E62">
              <w:rPr>
                <w:rFonts w:ascii="Tahoma" w:hAnsi="Tahoma" w:cs="Tahoma"/>
                <w:sz w:val="18"/>
                <w:szCs w:val="18"/>
              </w:rPr>
              <w:t xml:space="preserve">EUR </w:t>
            </w:r>
            <w:r w:rsidR="00D5069C" w:rsidRPr="00033E62">
              <w:rPr>
                <w:rFonts w:ascii="Tahoma" w:hAnsi="Tahoma" w:cs="Tahoma"/>
                <w:sz w:val="18"/>
                <w:szCs w:val="18"/>
              </w:rPr>
              <w:t>1</w:t>
            </w:r>
            <w:r w:rsidR="00BD1D93" w:rsidRPr="00033E62">
              <w:rPr>
                <w:rFonts w:ascii="Tahoma" w:hAnsi="Tahoma" w:cs="Tahoma"/>
                <w:sz w:val="18"/>
                <w:szCs w:val="18"/>
              </w:rPr>
              <w:t>922</w:t>
            </w:r>
            <w:r w:rsidRPr="00033E62">
              <w:rPr>
                <w:rFonts w:ascii="Tahoma" w:hAnsi="Tahoma" w:cs="Tahoma"/>
                <w:sz w:val="18"/>
                <w:szCs w:val="18"/>
              </w:rPr>
              <w:t>.</w:t>
            </w:r>
            <w:r w:rsidR="00BD1D93" w:rsidRPr="00033E62">
              <w:rPr>
                <w:rFonts w:ascii="Tahoma" w:hAnsi="Tahoma" w:cs="Tahoma"/>
                <w:sz w:val="18"/>
                <w:szCs w:val="18"/>
              </w:rPr>
              <w:t>6</w:t>
            </w:r>
            <w:r w:rsidRPr="00033E62">
              <w:rPr>
                <w:rFonts w:ascii="Tahoma" w:hAnsi="Tahoma" w:cs="Tahoma"/>
                <w:sz w:val="18"/>
                <w:szCs w:val="18"/>
              </w:rPr>
              <w:t xml:space="preserve"> million (surplus amounted to EUR </w:t>
            </w:r>
            <w:r w:rsidR="00D5069C" w:rsidRPr="00033E62">
              <w:rPr>
                <w:rFonts w:ascii="Tahoma" w:hAnsi="Tahoma" w:cs="Tahoma"/>
                <w:sz w:val="18"/>
                <w:szCs w:val="18"/>
              </w:rPr>
              <w:t>2</w:t>
            </w:r>
            <w:r w:rsidR="00BD1D93" w:rsidRPr="00033E62">
              <w:rPr>
                <w:rFonts w:ascii="Tahoma" w:hAnsi="Tahoma" w:cs="Tahoma"/>
                <w:sz w:val="18"/>
                <w:szCs w:val="18"/>
              </w:rPr>
              <w:t>959</w:t>
            </w:r>
            <w:r w:rsidRPr="00033E62">
              <w:rPr>
                <w:rFonts w:ascii="Tahoma" w:hAnsi="Tahoma" w:cs="Tahoma"/>
                <w:sz w:val="18"/>
                <w:szCs w:val="18"/>
              </w:rPr>
              <w:t>.</w:t>
            </w:r>
            <w:r w:rsidR="00BD1D93" w:rsidRPr="00033E62">
              <w:rPr>
                <w:rFonts w:ascii="Tahoma" w:hAnsi="Tahoma" w:cs="Tahoma"/>
                <w:sz w:val="18"/>
                <w:szCs w:val="18"/>
              </w:rPr>
              <w:t>1</w:t>
            </w:r>
            <w:r w:rsidRPr="00033E62">
              <w:rPr>
                <w:rFonts w:ascii="Tahoma" w:hAnsi="Tahoma" w:cs="Tahoma"/>
                <w:sz w:val="18"/>
                <w:szCs w:val="18"/>
              </w:rPr>
              <w:t xml:space="preserve"> million and export – import ratio equalled 2</w:t>
            </w:r>
            <w:r w:rsidR="00BD1D93" w:rsidRPr="00033E62">
              <w:rPr>
                <w:rFonts w:ascii="Tahoma" w:hAnsi="Tahoma" w:cs="Tahoma"/>
                <w:sz w:val="18"/>
                <w:szCs w:val="18"/>
              </w:rPr>
              <w:t>53</w:t>
            </w:r>
            <w:r w:rsidRPr="00033E62">
              <w:rPr>
                <w:rFonts w:ascii="Tahoma" w:hAnsi="Tahoma" w:cs="Tahoma"/>
                <w:sz w:val="18"/>
                <w:szCs w:val="18"/>
              </w:rPr>
              <w:t>.</w:t>
            </w:r>
            <w:r w:rsidR="003E20DB" w:rsidRPr="00033E62">
              <w:rPr>
                <w:rFonts w:ascii="Tahoma" w:hAnsi="Tahoma" w:cs="Tahoma"/>
                <w:sz w:val="18"/>
                <w:szCs w:val="18"/>
              </w:rPr>
              <w:t>9</w:t>
            </w:r>
            <w:r w:rsidRPr="00033E62">
              <w:rPr>
                <w:rFonts w:ascii="Tahoma" w:hAnsi="Tahoma" w:cs="Tahoma"/>
                <w:sz w:val="18"/>
                <w:szCs w:val="18"/>
              </w:rPr>
              <w:t xml:space="preserve">%). </w:t>
            </w:r>
          </w:p>
          <w:p w14:paraId="2C49B3D9" w14:textId="77777777" w:rsidR="00872100" w:rsidRPr="00AC77A0" w:rsidRDefault="00872100" w:rsidP="00A54184">
            <w:pPr>
              <w:jc w:val="both"/>
              <w:rPr>
                <w:rFonts w:ascii="Tahoma" w:hAnsi="Tahoma" w:cs="Tahoma"/>
                <w:sz w:val="18"/>
                <w:szCs w:val="18"/>
              </w:rPr>
            </w:pPr>
          </w:p>
          <w:p w14:paraId="6E83BEBE" w14:textId="49D0A1FF" w:rsidR="00E351FD" w:rsidRPr="00AC77A0" w:rsidRDefault="00E351FD" w:rsidP="00A54184">
            <w:pPr>
              <w:jc w:val="both"/>
              <w:rPr>
                <w:rFonts w:ascii="Tahoma" w:hAnsi="Tahoma" w:cs="Tahoma"/>
                <w:sz w:val="18"/>
                <w:szCs w:val="18"/>
                <w:shd w:val="clear" w:color="auto" w:fill="FFFFFF"/>
              </w:rPr>
            </w:pPr>
            <w:r w:rsidRPr="00AC77A0">
              <w:rPr>
                <w:rFonts w:ascii="Tahoma" w:hAnsi="Tahoma" w:cs="Tahoma"/>
                <w:sz w:val="18"/>
                <w:szCs w:val="18"/>
                <w:shd w:val="clear" w:color="auto" w:fill="FFFFFF"/>
              </w:rPr>
              <w:t xml:space="preserve">Observed by countries, the largest surplus in the external trade was gained with the surrounding countries – Montenegro (exports of electricity and retail trade medicaments and imported were electricity and dried meat), Bosnia and Herzegovina (exports mostly related to gas oils and </w:t>
            </w:r>
            <w:r w:rsidR="00BD1D93" w:rsidRPr="00AC77A0">
              <w:rPr>
                <w:rFonts w:ascii="Tahoma" w:hAnsi="Tahoma" w:cs="Tahoma"/>
                <w:sz w:val="18"/>
                <w:szCs w:val="18"/>
                <w:shd w:val="clear" w:color="auto" w:fill="FFFFFF"/>
              </w:rPr>
              <w:t>electricity</w:t>
            </w:r>
            <w:r w:rsidRPr="00AC77A0">
              <w:rPr>
                <w:rFonts w:ascii="Tahoma" w:hAnsi="Tahoma" w:cs="Tahoma"/>
                <w:sz w:val="18"/>
                <w:szCs w:val="18"/>
                <w:shd w:val="clear" w:color="auto" w:fill="FFFFFF"/>
              </w:rPr>
              <w:t xml:space="preserve">, and the most imported are electricity and </w:t>
            </w:r>
            <w:r w:rsidR="00D5069C" w:rsidRPr="00AC77A0">
              <w:rPr>
                <w:rFonts w:ascii="Tahoma" w:hAnsi="Tahoma" w:cs="Tahoma"/>
                <w:sz w:val="18"/>
                <w:szCs w:val="18"/>
                <w:shd w:val="clear" w:color="auto" w:fill="FFFFFF"/>
              </w:rPr>
              <w:t>l</w:t>
            </w:r>
            <w:r w:rsidR="008B6797" w:rsidRPr="00AC77A0">
              <w:rPr>
                <w:rFonts w:ascii="Tahoma" w:hAnsi="Tahoma" w:cs="Tahoma"/>
                <w:sz w:val="18"/>
                <w:szCs w:val="18"/>
                <w:shd w:val="clear" w:color="auto" w:fill="FFFFFF"/>
              </w:rPr>
              <w:t>ignite</w:t>
            </w:r>
            <w:r w:rsidR="00E83DF4">
              <w:rPr>
                <w:rFonts w:ascii="Tahoma" w:hAnsi="Tahoma" w:cs="Tahoma"/>
                <w:sz w:val="18"/>
                <w:szCs w:val="18"/>
                <w:shd w:val="clear" w:color="auto" w:fill="FFFFFF"/>
              </w:rPr>
              <w:t>,</w:t>
            </w:r>
            <w:r w:rsidR="00BD1D93" w:rsidRPr="00AC77A0">
              <w:rPr>
                <w:rFonts w:ascii="Tahoma" w:hAnsi="Tahoma" w:cs="Tahoma"/>
                <w:sz w:val="18"/>
                <w:szCs w:val="18"/>
                <w:shd w:val="clear" w:color="auto" w:fill="FFFFFF"/>
              </w:rPr>
              <w:t xml:space="preserve"> </w:t>
            </w:r>
            <w:r w:rsidR="00E83DF4" w:rsidRPr="00E83DF4">
              <w:rPr>
                <w:rFonts w:ascii="Tahoma" w:hAnsi="Tahoma" w:cs="Tahoma"/>
                <w:sz w:val="18"/>
                <w:szCs w:val="18"/>
                <w:shd w:val="clear" w:color="auto" w:fill="FFFFFF"/>
              </w:rPr>
              <w:t>non-agglomerated</w:t>
            </w:r>
            <w:r w:rsidRPr="00AC77A0">
              <w:rPr>
                <w:rFonts w:ascii="Tahoma" w:hAnsi="Tahoma" w:cs="Tahoma"/>
                <w:sz w:val="18"/>
                <w:szCs w:val="18"/>
                <w:shd w:val="clear" w:color="auto" w:fill="FFFFFF"/>
              </w:rPr>
              <w:t xml:space="preserve">), and Republic of North Macedonia (exports of electricity and electric conductors; imported were electricity and supported catalysts). Regarding other countries, surplus was also noted in trade with </w:t>
            </w:r>
            <w:r w:rsidR="00BD1D93" w:rsidRPr="00AC77A0">
              <w:rPr>
                <w:rFonts w:ascii="Tahoma" w:hAnsi="Tahoma" w:cs="Tahoma"/>
                <w:sz w:val="18"/>
                <w:szCs w:val="18"/>
                <w:shd w:val="clear" w:color="auto" w:fill="FFFFFF"/>
              </w:rPr>
              <w:t xml:space="preserve">Bulgaria, </w:t>
            </w:r>
            <w:r w:rsidRPr="00AC77A0">
              <w:rPr>
                <w:rFonts w:ascii="Tahoma" w:hAnsi="Tahoma" w:cs="Tahoma"/>
                <w:sz w:val="18"/>
                <w:szCs w:val="18"/>
                <w:shd w:val="clear" w:color="auto" w:fill="FFFFFF"/>
              </w:rPr>
              <w:t>Slovakia, Czech Rep</w:t>
            </w:r>
            <w:r w:rsidR="00BD1D93" w:rsidRPr="00AC77A0">
              <w:rPr>
                <w:rFonts w:ascii="Tahoma" w:hAnsi="Tahoma" w:cs="Tahoma"/>
                <w:sz w:val="18"/>
                <w:szCs w:val="18"/>
                <w:shd w:val="clear" w:color="auto" w:fill="FFFFFF"/>
              </w:rPr>
              <w:t>…</w:t>
            </w:r>
            <w:r w:rsidRPr="00AC77A0">
              <w:rPr>
                <w:rFonts w:ascii="Tahoma" w:hAnsi="Tahoma" w:cs="Tahoma"/>
                <w:sz w:val="18"/>
                <w:szCs w:val="18"/>
                <w:shd w:val="clear" w:color="auto" w:fill="FFFFFF"/>
              </w:rPr>
              <w:t xml:space="preserve"> The greatest deficit marked the trade with China (due to imports of phones for network stations and laptops), followed by trade with </w:t>
            </w:r>
            <w:r w:rsidR="00F91491" w:rsidRPr="00AC77A0">
              <w:rPr>
                <w:rFonts w:ascii="Tahoma" w:hAnsi="Tahoma" w:cs="Tahoma"/>
                <w:sz w:val="18"/>
                <w:szCs w:val="18"/>
                <w:shd w:val="clear" w:color="auto" w:fill="FFFFFF"/>
              </w:rPr>
              <w:t xml:space="preserve">Turkey, </w:t>
            </w:r>
            <w:r w:rsidRPr="00AC77A0">
              <w:rPr>
                <w:rFonts w:ascii="Tahoma" w:hAnsi="Tahoma" w:cs="Tahoma"/>
                <w:sz w:val="18"/>
                <w:szCs w:val="18"/>
                <w:shd w:val="clear" w:color="auto" w:fill="FFFFFF"/>
              </w:rPr>
              <w:t>Kazakhstan</w:t>
            </w:r>
            <w:r w:rsidR="00F91491" w:rsidRPr="00AC77A0">
              <w:rPr>
                <w:rFonts w:ascii="Tahoma" w:hAnsi="Tahoma" w:cs="Tahoma"/>
                <w:sz w:val="18"/>
                <w:szCs w:val="18"/>
                <w:shd w:val="clear" w:color="auto" w:fill="FFFFFF"/>
              </w:rPr>
              <w:t>, Poland</w:t>
            </w:r>
            <w:r w:rsidR="007823A5" w:rsidRPr="00AC77A0">
              <w:rPr>
                <w:rFonts w:ascii="Tahoma" w:hAnsi="Tahoma" w:cs="Tahoma"/>
                <w:sz w:val="18"/>
                <w:szCs w:val="18"/>
                <w:shd w:val="clear" w:color="auto" w:fill="FFFFFF"/>
              </w:rPr>
              <w:t>…</w:t>
            </w:r>
            <w:r w:rsidRPr="00AC77A0">
              <w:rPr>
                <w:rFonts w:ascii="Tahoma" w:hAnsi="Tahoma" w:cs="Tahoma"/>
                <w:sz w:val="18"/>
                <w:szCs w:val="18"/>
                <w:shd w:val="clear" w:color="auto" w:fill="FFFFFF"/>
              </w:rPr>
              <w:t xml:space="preserve"> </w:t>
            </w:r>
          </w:p>
          <w:p w14:paraId="1F2A1996" w14:textId="77777777" w:rsidR="00872100" w:rsidRDefault="00872100" w:rsidP="00A54184">
            <w:pPr>
              <w:pStyle w:val="BodyTextIndent2"/>
              <w:spacing w:after="0" w:line="240" w:lineRule="auto"/>
              <w:ind w:left="0"/>
              <w:jc w:val="both"/>
              <w:rPr>
                <w:rFonts w:ascii="Tahoma" w:hAnsi="Tahoma" w:cs="Tahoma"/>
                <w:sz w:val="18"/>
                <w:szCs w:val="18"/>
              </w:rPr>
            </w:pPr>
          </w:p>
          <w:p w14:paraId="66FBBD7B" w14:textId="773DF698" w:rsidR="00E351FD" w:rsidRDefault="00E351FD" w:rsidP="00A54184">
            <w:pPr>
              <w:pStyle w:val="BodyTextIndent2"/>
              <w:spacing w:after="0" w:line="240" w:lineRule="auto"/>
              <w:ind w:left="0"/>
              <w:jc w:val="both"/>
              <w:rPr>
                <w:rFonts w:ascii="Tahoma" w:hAnsi="Tahoma" w:cs="Tahoma"/>
                <w:sz w:val="18"/>
                <w:szCs w:val="18"/>
              </w:rPr>
            </w:pPr>
            <w:r w:rsidRPr="00AC77A0">
              <w:rPr>
                <w:rFonts w:ascii="Tahoma" w:hAnsi="Tahoma" w:cs="Tahoma"/>
                <w:sz w:val="18"/>
                <w:szCs w:val="18"/>
              </w:rPr>
              <w:t xml:space="preserve">According to </w:t>
            </w:r>
            <w:r w:rsidRPr="00AC77A0">
              <w:rPr>
                <w:rFonts w:ascii="Tahoma" w:hAnsi="Tahoma" w:cs="Tahoma"/>
                <w:b/>
                <w:bCs/>
                <w:sz w:val="18"/>
                <w:szCs w:val="18"/>
              </w:rPr>
              <w:t>the divisions of the Standard International Trade Classification (SITC</w:t>
            </w:r>
            <w:r w:rsidRPr="00AC77A0">
              <w:rPr>
                <w:rFonts w:ascii="Tahoma" w:hAnsi="Tahoma" w:cs="Tahoma"/>
                <w:sz w:val="18"/>
                <w:szCs w:val="18"/>
              </w:rPr>
              <w:t>) the first five sections in exports accounted for 3</w:t>
            </w:r>
            <w:r w:rsidR="00F91491" w:rsidRPr="00AC77A0">
              <w:rPr>
                <w:rFonts w:ascii="Tahoma" w:hAnsi="Tahoma" w:cs="Tahoma"/>
                <w:sz w:val="18"/>
                <w:szCs w:val="18"/>
              </w:rPr>
              <w:t>5</w:t>
            </w:r>
            <w:r w:rsidRPr="00AC77A0">
              <w:rPr>
                <w:rFonts w:ascii="Tahoma" w:hAnsi="Tahoma" w:cs="Tahoma"/>
                <w:sz w:val="18"/>
                <w:szCs w:val="18"/>
              </w:rPr>
              <w:t>.</w:t>
            </w:r>
            <w:r w:rsidR="00F91491" w:rsidRPr="00AC77A0">
              <w:rPr>
                <w:rFonts w:ascii="Tahoma" w:hAnsi="Tahoma" w:cs="Tahoma"/>
                <w:sz w:val="18"/>
                <w:szCs w:val="18"/>
              </w:rPr>
              <w:t>1</w:t>
            </w:r>
            <w:r w:rsidRPr="00AC77A0">
              <w:rPr>
                <w:rFonts w:ascii="Tahoma" w:hAnsi="Tahoma" w:cs="Tahoma"/>
                <w:sz w:val="18"/>
                <w:szCs w:val="18"/>
              </w:rPr>
              <w:t>% of the overall exports. Imports of the first five sections accounted for 25.</w:t>
            </w:r>
            <w:r w:rsidR="00F91491" w:rsidRPr="00AC77A0">
              <w:rPr>
                <w:rFonts w:ascii="Tahoma" w:hAnsi="Tahoma" w:cs="Tahoma"/>
                <w:sz w:val="18"/>
                <w:szCs w:val="18"/>
              </w:rPr>
              <w:t>3</w:t>
            </w:r>
            <w:r w:rsidRPr="00AC77A0">
              <w:rPr>
                <w:rFonts w:ascii="Tahoma" w:hAnsi="Tahoma" w:cs="Tahoma"/>
                <w:sz w:val="18"/>
                <w:szCs w:val="18"/>
              </w:rPr>
              <w:t>% of total imports. Section of unclassified goods, now also involving customs storage goods and goods in free zone, has share of 1</w:t>
            </w:r>
            <w:r w:rsidR="00F91491" w:rsidRPr="00AC77A0">
              <w:rPr>
                <w:rFonts w:ascii="Tahoma" w:hAnsi="Tahoma" w:cs="Tahoma"/>
                <w:sz w:val="18"/>
                <w:szCs w:val="18"/>
              </w:rPr>
              <w:t>3</w:t>
            </w:r>
            <w:r w:rsidRPr="00AC77A0">
              <w:rPr>
                <w:rFonts w:ascii="Tahoma" w:hAnsi="Tahoma" w:cs="Tahoma"/>
                <w:sz w:val="18"/>
                <w:szCs w:val="18"/>
              </w:rPr>
              <w:t>.</w:t>
            </w:r>
            <w:r w:rsidR="00F91491" w:rsidRPr="00AC77A0">
              <w:rPr>
                <w:rFonts w:ascii="Tahoma" w:hAnsi="Tahoma" w:cs="Tahoma"/>
                <w:sz w:val="18"/>
                <w:szCs w:val="18"/>
              </w:rPr>
              <w:t>4</w:t>
            </w:r>
            <w:r w:rsidRPr="00AC77A0">
              <w:rPr>
                <w:rFonts w:ascii="Tahoma" w:hAnsi="Tahoma" w:cs="Tahoma"/>
                <w:sz w:val="18"/>
                <w:szCs w:val="18"/>
              </w:rPr>
              <w:t>% in total imports.</w:t>
            </w:r>
          </w:p>
          <w:p w14:paraId="1ED1CEEE" w14:textId="77777777" w:rsidR="009A5C13" w:rsidRPr="00AC77A0" w:rsidRDefault="009A5C13" w:rsidP="00A54184">
            <w:pPr>
              <w:pStyle w:val="BodyTextIndent2"/>
              <w:spacing w:after="0" w:line="240" w:lineRule="auto"/>
              <w:ind w:left="0"/>
              <w:jc w:val="both"/>
              <w:rPr>
                <w:rFonts w:ascii="Tahoma" w:hAnsi="Tahoma" w:cs="Tahoma"/>
                <w:sz w:val="18"/>
                <w:szCs w:val="18"/>
              </w:rPr>
            </w:pPr>
          </w:p>
          <w:tbl>
            <w:tblPr>
              <w:tblW w:w="9026" w:type="dxa"/>
              <w:jc w:val="center"/>
              <w:tblLook w:val="04A0" w:firstRow="1" w:lastRow="0" w:firstColumn="1" w:lastColumn="0" w:noHBand="0" w:noVBand="1"/>
            </w:tblPr>
            <w:tblGrid>
              <w:gridCol w:w="2901"/>
              <w:gridCol w:w="850"/>
              <w:gridCol w:w="851"/>
              <w:gridCol w:w="2693"/>
              <w:gridCol w:w="851"/>
              <w:gridCol w:w="880"/>
            </w:tblGrid>
            <w:tr w:rsidR="003324F9" w14:paraId="4FFE833F" w14:textId="77777777" w:rsidTr="00ED6F0F">
              <w:trPr>
                <w:trHeight w:val="480"/>
                <w:jc w:val="center"/>
              </w:trPr>
              <w:tc>
                <w:tcPr>
                  <w:tcW w:w="2901" w:type="dxa"/>
                  <w:tcBorders>
                    <w:top w:val="single" w:sz="4" w:space="0" w:color="auto"/>
                    <w:left w:val="single" w:sz="4" w:space="0" w:color="auto"/>
                    <w:bottom w:val="single" w:sz="4" w:space="0" w:color="auto"/>
                    <w:right w:val="single" w:sz="4" w:space="0" w:color="auto"/>
                  </w:tcBorders>
                  <w:noWrap/>
                  <w:vAlign w:val="center"/>
                  <w:hideMark/>
                </w:tcPr>
                <w:p w14:paraId="224E217B" w14:textId="77777777" w:rsidR="003324F9" w:rsidRDefault="003324F9" w:rsidP="003324F9">
                  <w:pPr>
                    <w:jc w:val="center"/>
                    <w:rPr>
                      <w:rFonts w:ascii="Arial" w:hAnsi="Arial" w:cs="Arial"/>
                      <w:b/>
                      <w:bCs/>
                      <w:sz w:val="20"/>
                      <w:szCs w:val="20"/>
                    </w:rPr>
                  </w:pPr>
                  <w:r>
                    <w:rPr>
                      <w:rFonts w:ascii="Arial" w:hAnsi="Arial" w:cs="Arial"/>
                      <w:b/>
                      <w:bCs/>
                      <w:sz w:val="20"/>
                      <w:szCs w:val="20"/>
                    </w:rPr>
                    <w:t>Exports</w:t>
                  </w:r>
                </w:p>
              </w:tc>
              <w:tc>
                <w:tcPr>
                  <w:tcW w:w="850" w:type="dxa"/>
                  <w:tcBorders>
                    <w:top w:val="single" w:sz="4" w:space="0" w:color="auto"/>
                    <w:left w:val="nil"/>
                    <w:bottom w:val="single" w:sz="4" w:space="0" w:color="auto"/>
                    <w:right w:val="single" w:sz="4" w:space="0" w:color="auto"/>
                  </w:tcBorders>
                  <w:vAlign w:val="center"/>
                  <w:hideMark/>
                </w:tcPr>
                <w:p w14:paraId="2A673890" w14:textId="77777777" w:rsidR="003324F9" w:rsidRDefault="003324F9" w:rsidP="003324F9">
                  <w:pPr>
                    <w:rPr>
                      <w:rFonts w:ascii="Arial" w:hAnsi="Arial" w:cs="Arial"/>
                      <w:sz w:val="16"/>
                      <w:szCs w:val="16"/>
                    </w:rPr>
                  </w:pPr>
                  <w:r>
                    <w:rPr>
                      <w:rFonts w:ascii="Arial" w:hAnsi="Arial" w:cs="Arial"/>
                      <w:sz w:val="16"/>
                      <w:szCs w:val="16"/>
                    </w:rPr>
                    <w:t>USD million</w:t>
                  </w:r>
                </w:p>
              </w:tc>
              <w:tc>
                <w:tcPr>
                  <w:tcW w:w="851" w:type="dxa"/>
                  <w:tcBorders>
                    <w:top w:val="single" w:sz="4" w:space="0" w:color="auto"/>
                    <w:left w:val="nil"/>
                    <w:bottom w:val="single" w:sz="4" w:space="0" w:color="auto"/>
                    <w:right w:val="single" w:sz="4" w:space="0" w:color="auto"/>
                  </w:tcBorders>
                  <w:vAlign w:val="center"/>
                  <w:hideMark/>
                </w:tcPr>
                <w:p w14:paraId="54F1ADB9" w14:textId="77777777" w:rsidR="003324F9" w:rsidRDefault="003324F9" w:rsidP="003324F9">
                  <w:pPr>
                    <w:rPr>
                      <w:rFonts w:ascii="Arial" w:hAnsi="Arial" w:cs="Arial"/>
                      <w:sz w:val="16"/>
                      <w:szCs w:val="16"/>
                    </w:rPr>
                  </w:pPr>
                  <w:r>
                    <w:rPr>
                      <w:rFonts w:ascii="Arial" w:hAnsi="Arial" w:cs="Arial"/>
                      <w:sz w:val="16"/>
                      <w:szCs w:val="16"/>
                    </w:rPr>
                    <w:t>EUR million</w:t>
                  </w:r>
                </w:p>
              </w:tc>
              <w:tc>
                <w:tcPr>
                  <w:tcW w:w="2693" w:type="dxa"/>
                  <w:tcBorders>
                    <w:top w:val="single" w:sz="4" w:space="0" w:color="auto"/>
                    <w:left w:val="nil"/>
                    <w:bottom w:val="single" w:sz="4" w:space="0" w:color="auto"/>
                    <w:right w:val="single" w:sz="4" w:space="0" w:color="auto"/>
                  </w:tcBorders>
                  <w:noWrap/>
                  <w:vAlign w:val="center"/>
                  <w:hideMark/>
                </w:tcPr>
                <w:p w14:paraId="56A28200" w14:textId="77777777" w:rsidR="003324F9" w:rsidRDefault="003324F9" w:rsidP="003324F9">
                  <w:pPr>
                    <w:jc w:val="center"/>
                    <w:rPr>
                      <w:rFonts w:ascii="Arial" w:hAnsi="Arial" w:cs="Arial"/>
                      <w:b/>
                      <w:bCs/>
                      <w:sz w:val="20"/>
                      <w:szCs w:val="20"/>
                    </w:rPr>
                  </w:pPr>
                  <w:r>
                    <w:rPr>
                      <w:rFonts w:ascii="Arial" w:hAnsi="Arial" w:cs="Arial"/>
                      <w:b/>
                      <w:bCs/>
                      <w:sz w:val="20"/>
                      <w:szCs w:val="20"/>
                    </w:rPr>
                    <w:t>Imports</w:t>
                  </w:r>
                </w:p>
              </w:tc>
              <w:tc>
                <w:tcPr>
                  <w:tcW w:w="851" w:type="dxa"/>
                  <w:tcBorders>
                    <w:top w:val="single" w:sz="4" w:space="0" w:color="auto"/>
                    <w:left w:val="nil"/>
                    <w:bottom w:val="single" w:sz="4" w:space="0" w:color="auto"/>
                    <w:right w:val="single" w:sz="4" w:space="0" w:color="auto"/>
                  </w:tcBorders>
                  <w:vAlign w:val="center"/>
                  <w:hideMark/>
                </w:tcPr>
                <w:p w14:paraId="33621424" w14:textId="77777777" w:rsidR="003324F9" w:rsidRDefault="003324F9" w:rsidP="003324F9">
                  <w:pPr>
                    <w:rPr>
                      <w:rFonts w:ascii="Arial" w:hAnsi="Arial" w:cs="Arial"/>
                      <w:sz w:val="16"/>
                      <w:szCs w:val="16"/>
                    </w:rPr>
                  </w:pPr>
                  <w:r>
                    <w:rPr>
                      <w:rFonts w:ascii="Arial" w:hAnsi="Arial" w:cs="Arial"/>
                      <w:sz w:val="16"/>
                      <w:szCs w:val="16"/>
                    </w:rPr>
                    <w:t>USD million</w:t>
                  </w:r>
                </w:p>
              </w:tc>
              <w:tc>
                <w:tcPr>
                  <w:tcW w:w="880" w:type="dxa"/>
                  <w:tcBorders>
                    <w:top w:val="single" w:sz="4" w:space="0" w:color="auto"/>
                    <w:left w:val="nil"/>
                    <w:bottom w:val="single" w:sz="4" w:space="0" w:color="auto"/>
                    <w:right w:val="single" w:sz="4" w:space="0" w:color="auto"/>
                  </w:tcBorders>
                  <w:vAlign w:val="center"/>
                  <w:hideMark/>
                </w:tcPr>
                <w:p w14:paraId="54AB7042" w14:textId="77777777" w:rsidR="003324F9" w:rsidRDefault="003324F9" w:rsidP="003324F9">
                  <w:pPr>
                    <w:rPr>
                      <w:rFonts w:ascii="Arial" w:hAnsi="Arial" w:cs="Arial"/>
                      <w:sz w:val="16"/>
                      <w:szCs w:val="16"/>
                    </w:rPr>
                  </w:pPr>
                  <w:r>
                    <w:rPr>
                      <w:rFonts w:ascii="Arial" w:hAnsi="Arial" w:cs="Arial"/>
                      <w:sz w:val="16"/>
                      <w:szCs w:val="16"/>
                    </w:rPr>
                    <w:t>EUR million</w:t>
                  </w:r>
                </w:p>
              </w:tc>
            </w:tr>
            <w:tr w:rsidR="00ED6F0F" w14:paraId="315995CC" w14:textId="77777777" w:rsidTr="00ED6F0F">
              <w:trPr>
                <w:trHeight w:val="315"/>
                <w:jc w:val="center"/>
              </w:trPr>
              <w:tc>
                <w:tcPr>
                  <w:tcW w:w="2901" w:type="dxa"/>
                  <w:tcBorders>
                    <w:top w:val="nil"/>
                    <w:left w:val="single" w:sz="4" w:space="0" w:color="auto"/>
                    <w:bottom w:val="nil"/>
                    <w:right w:val="nil"/>
                  </w:tcBorders>
                  <w:noWrap/>
                  <w:vAlign w:val="center"/>
                  <w:hideMark/>
                </w:tcPr>
                <w:p w14:paraId="71FDD79C" w14:textId="77777777" w:rsidR="00ED6F0F" w:rsidRDefault="00ED6F0F" w:rsidP="00ED6F0F">
                  <w:pPr>
                    <w:rPr>
                      <w:rFonts w:ascii="Arial" w:hAnsi="Arial" w:cs="Arial"/>
                      <w:sz w:val="18"/>
                      <w:szCs w:val="18"/>
                    </w:rPr>
                  </w:pPr>
                  <w:r>
                    <w:rPr>
                      <w:rFonts w:ascii="Arial" w:hAnsi="Arial" w:cs="Arial"/>
                      <w:sz w:val="18"/>
                      <w:szCs w:val="18"/>
                    </w:rPr>
                    <w:t>Electrical machines and apparatus</w:t>
                  </w:r>
                </w:p>
              </w:tc>
              <w:tc>
                <w:tcPr>
                  <w:tcW w:w="850" w:type="dxa"/>
                  <w:tcBorders>
                    <w:top w:val="nil"/>
                    <w:left w:val="single" w:sz="4" w:space="0" w:color="auto"/>
                    <w:bottom w:val="nil"/>
                    <w:right w:val="single" w:sz="4" w:space="0" w:color="auto"/>
                  </w:tcBorders>
                  <w:noWrap/>
                  <w:vAlign w:val="center"/>
                </w:tcPr>
                <w:p w14:paraId="32455FB4" w14:textId="323B2A43" w:rsidR="00ED6F0F" w:rsidRPr="000541BE" w:rsidRDefault="00ED6F0F" w:rsidP="00ED6F0F">
                  <w:pPr>
                    <w:jc w:val="right"/>
                    <w:rPr>
                      <w:rFonts w:ascii="Arial" w:hAnsi="Arial" w:cs="Arial"/>
                      <w:sz w:val="18"/>
                      <w:szCs w:val="18"/>
                    </w:rPr>
                  </w:pPr>
                  <w:r w:rsidRPr="0061602C">
                    <w:rPr>
                      <w:rFonts w:ascii="Arial" w:hAnsi="Arial" w:cs="Arial"/>
                      <w:sz w:val="18"/>
                      <w:szCs w:val="18"/>
                    </w:rPr>
                    <w:t>4034.9</w:t>
                  </w:r>
                </w:p>
              </w:tc>
              <w:tc>
                <w:tcPr>
                  <w:tcW w:w="851" w:type="dxa"/>
                  <w:tcBorders>
                    <w:top w:val="nil"/>
                    <w:left w:val="nil"/>
                    <w:bottom w:val="nil"/>
                    <w:right w:val="single" w:sz="4" w:space="0" w:color="auto"/>
                  </w:tcBorders>
                  <w:noWrap/>
                  <w:vAlign w:val="center"/>
                </w:tcPr>
                <w:p w14:paraId="2A7542C0" w14:textId="49AA674D" w:rsidR="00ED6F0F" w:rsidRPr="000541BE" w:rsidRDefault="00ED6F0F" w:rsidP="00ED6F0F">
                  <w:pPr>
                    <w:jc w:val="right"/>
                    <w:rPr>
                      <w:rFonts w:ascii="Arial" w:hAnsi="Arial" w:cs="Arial"/>
                      <w:sz w:val="18"/>
                      <w:szCs w:val="18"/>
                    </w:rPr>
                  </w:pPr>
                  <w:r w:rsidRPr="0061602C">
                    <w:rPr>
                      <w:rFonts w:ascii="Arial" w:hAnsi="Arial" w:cs="Arial"/>
                      <w:sz w:val="18"/>
                      <w:szCs w:val="18"/>
                    </w:rPr>
                    <w:t>3578.4</w:t>
                  </w:r>
                </w:p>
              </w:tc>
              <w:tc>
                <w:tcPr>
                  <w:tcW w:w="2693" w:type="dxa"/>
                  <w:tcBorders>
                    <w:top w:val="nil"/>
                    <w:left w:val="nil"/>
                    <w:bottom w:val="nil"/>
                    <w:right w:val="nil"/>
                  </w:tcBorders>
                  <w:noWrap/>
                  <w:vAlign w:val="center"/>
                  <w:hideMark/>
                </w:tcPr>
                <w:p w14:paraId="6F8E88BA" w14:textId="77777777" w:rsidR="00ED6F0F" w:rsidRDefault="00ED6F0F" w:rsidP="00ED6F0F">
                  <w:pPr>
                    <w:rPr>
                      <w:rFonts w:ascii="Arial" w:hAnsi="Arial" w:cs="Arial"/>
                      <w:sz w:val="18"/>
                      <w:szCs w:val="18"/>
                    </w:rPr>
                  </w:pPr>
                  <w:r>
                    <w:rPr>
                      <w:rFonts w:ascii="Arial" w:hAnsi="Arial" w:cs="Arial"/>
                      <w:sz w:val="18"/>
                      <w:szCs w:val="18"/>
                    </w:rPr>
                    <w:t>Electrical machines and apparatus</w:t>
                  </w:r>
                </w:p>
              </w:tc>
              <w:tc>
                <w:tcPr>
                  <w:tcW w:w="851" w:type="dxa"/>
                  <w:tcBorders>
                    <w:top w:val="nil"/>
                    <w:left w:val="single" w:sz="4" w:space="0" w:color="auto"/>
                    <w:bottom w:val="nil"/>
                    <w:right w:val="single" w:sz="4" w:space="0" w:color="auto"/>
                  </w:tcBorders>
                  <w:noWrap/>
                  <w:vAlign w:val="center"/>
                </w:tcPr>
                <w:p w14:paraId="4A2044A0" w14:textId="7F49E594" w:rsidR="00ED6F0F" w:rsidRPr="000541BE" w:rsidRDefault="00ED6F0F" w:rsidP="00ED6F0F">
                  <w:pPr>
                    <w:jc w:val="right"/>
                    <w:rPr>
                      <w:rFonts w:ascii="Arial" w:hAnsi="Arial" w:cs="Arial"/>
                      <w:sz w:val="18"/>
                      <w:szCs w:val="18"/>
                    </w:rPr>
                  </w:pPr>
                  <w:r w:rsidRPr="00ED6F0F">
                    <w:rPr>
                      <w:rFonts w:ascii="Arial" w:hAnsi="Arial" w:cs="Arial"/>
                      <w:sz w:val="18"/>
                      <w:szCs w:val="18"/>
                    </w:rPr>
                    <w:t>3158.6</w:t>
                  </w:r>
                </w:p>
              </w:tc>
              <w:tc>
                <w:tcPr>
                  <w:tcW w:w="880" w:type="dxa"/>
                  <w:tcBorders>
                    <w:top w:val="nil"/>
                    <w:left w:val="nil"/>
                    <w:bottom w:val="nil"/>
                    <w:right w:val="single" w:sz="4" w:space="0" w:color="auto"/>
                  </w:tcBorders>
                  <w:noWrap/>
                  <w:vAlign w:val="center"/>
                </w:tcPr>
                <w:p w14:paraId="52F58E1B" w14:textId="0B526F89" w:rsidR="00ED6F0F" w:rsidRPr="000541BE" w:rsidRDefault="00ED6F0F" w:rsidP="00ED6F0F">
                  <w:pPr>
                    <w:jc w:val="right"/>
                    <w:rPr>
                      <w:rFonts w:ascii="Arial" w:hAnsi="Arial" w:cs="Arial"/>
                      <w:sz w:val="18"/>
                      <w:szCs w:val="18"/>
                    </w:rPr>
                  </w:pPr>
                  <w:r w:rsidRPr="00ED6F0F">
                    <w:rPr>
                      <w:rFonts w:ascii="Arial" w:hAnsi="Arial" w:cs="Arial"/>
                      <w:sz w:val="18"/>
                      <w:szCs w:val="18"/>
                    </w:rPr>
                    <w:t>2792.3</w:t>
                  </w:r>
                </w:p>
              </w:tc>
            </w:tr>
            <w:tr w:rsidR="00ED6F0F" w14:paraId="441A9A64" w14:textId="77777777" w:rsidTr="00ED6F0F">
              <w:trPr>
                <w:trHeight w:val="228"/>
                <w:jc w:val="center"/>
              </w:trPr>
              <w:tc>
                <w:tcPr>
                  <w:tcW w:w="2901" w:type="dxa"/>
                  <w:tcBorders>
                    <w:top w:val="nil"/>
                    <w:left w:val="single" w:sz="4" w:space="0" w:color="auto"/>
                    <w:bottom w:val="nil"/>
                    <w:right w:val="nil"/>
                  </w:tcBorders>
                  <w:noWrap/>
                  <w:vAlign w:val="center"/>
                  <w:hideMark/>
                </w:tcPr>
                <w:p w14:paraId="54D493D7" w14:textId="75BE6285" w:rsidR="00ED6F0F" w:rsidRDefault="00ED6F0F" w:rsidP="00ED6F0F">
                  <w:pPr>
                    <w:jc w:val="both"/>
                    <w:rPr>
                      <w:rFonts w:ascii="Arial" w:hAnsi="Arial" w:cs="Arial"/>
                      <w:sz w:val="18"/>
                      <w:szCs w:val="18"/>
                    </w:rPr>
                  </w:pPr>
                  <w:r>
                    <w:rPr>
                      <w:rFonts w:ascii="Tahoma" w:hAnsi="Tahoma" w:cs="Tahoma"/>
                      <w:sz w:val="18"/>
                      <w:szCs w:val="18"/>
                    </w:rPr>
                    <w:t>Road vehicles</w:t>
                  </w:r>
                  <w:r>
                    <w:rPr>
                      <w:rFonts w:ascii="Arial" w:hAnsi="Arial" w:cs="Arial"/>
                      <w:sz w:val="18"/>
                      <w:szCs w:val="18"/>
                    </w:rPr>
                    <w:t xml:space="preserve"> </w:t>
                  </w:r>
                </w:p>
              </w:tc>
              <w:tc>
                <w:tcPr>
                  <w:tcW w:w="850" w:type="dxa"/>
                  <w:tcBorders>
                    <w:top w:val="nil"/>
                    <w:left w:val="single" w:sz="4" w:space="0" w:color="auto"/>
                    <w:bottom w:val="nil"/>
                    <w:right w:val="single" w:sz="4" w:space="0" w:color="auto"/>
                  </w:tcBorders>
                  <w:noWrap/>
                  <w:vAlign w:val="center"/>
                </w:tcPr>
                <w:p w14:paraId="7A388C0C" w14:textId="0F8453C1" w:rsidR="00ED6F0F" w:rsidRPr="000541BE" w:rsidRDefault="00ED6F0F" w:rsidP="00ED6F0F">
                  <w:pPr>
                    <w:jc w:val="right"/>
                    <w:rPr>
                      <w:rFonts w:ascii="Arial" w:hAnsi="Arial" w:cs="Arial"/>
                      <w:sz w:val="18"/>
                      <w:szCs w:val="18"/>
                    </w:rPr>
                  </w:pPr>
                  <w:r w:rsidRPr="0061602C">
                    <w:rPr>
                      <w:rFonts w:ascii="Arial" w:hAnsi="Arial" w:cs="Arial"/>
                      <w:sz w:val="18"/>
                      <w:szCs w:val="18"/>
                    </w:rPr>
                    <w:t>2575.5</w:t>
                  </w:r>
                </w:p>
              </w:tc>
              <w:tc>
                <w:tcPr>
                  <w:tcW w:w="851" w:type="dxa"/>
                  <w:tcBorders>
                    <w:top w:val="nil"/>
                    <w:left w:val="nil"/>
                    <w:bottom w:val="nil"/>
                    <w:right w:val="single" w:sz="4" w:space="0" w:color="auto"/>
                  </w:tcBorders>
                  <w:noWrap/>
                  <w:vAlign w:val="center"/>
                </w:tcPr>
                <w:p w14:paraId="6661AC9B" w14:textId="766F84D9" w:rsidR="00ED6F0F" w:rsidRPr="000541BE" w:rsidRDefault="00ED6F0F" w:rsidP="00ED6F0F">
                  <w:pPr>
                    <w:jc w:val="right"/>
                    <w:rPr>
                      <w:rFonts w:ascii="Arial" w:hAnsi="Arial" w:cs="Arial"/>
                      <w:sz w:val="18"/>
                      <w:szCs w:val="18"/>
                    </w:rPr>
                  </w:pPr>
                  <w:r w:rsidRPr="0061602C">
                    <w:rPr>
                      <w:rFonts w:ascii="Arial" w:hAnsi="Arial" w:cs="Arial"/>
                      <w:sz w:val="18"/>
                      <w:szCs w:val="18"/>
                    </w:rPr>
                    <w:t>2260.9</w:t>
                  </w:r>
                </w:p>
              </w:tc>
              <w:tc>
                <w:tcPr>
                  <w:tcW w:w="2693" w:type="dxa"/>
                  <w:tcBorders>
                    <w:top w:val="nil"/>
                    <w:left w:val="nil"/>
                    <w:bottom w:val="nil"/>
                    <w:right w:val="nil"/>
                  </w:tcBorders>
                  <w:noWrap/>
                  <w:vAlign w:val="center"/>
                  <w:hideMark/>
                </w:tcPr>
                <w:p w14:paraId="4C27A713" w14:textId="5EE36D2B" w:rsidR="00ED6F0F" w:rsidRDefault="00ED6F0F" w:rsidP="00ED6F0F">
                  <w:pPr>
                    <w:rPr>
                      <w:rFonts w:ascii="Arial" w:hAnsi="Arial" w:cs="Arial"/>
                      <w:sz w:val="18"/>
                      <w:szCs w:val="18"/>
                    </w:rPr>
                  </w:pPr>
                  <w:r>
                    <w:rPr>
                      <w:rFonts w:ascii="Tahoma" w:hAnsi="Tahoma" w:cs="Tahoma"/>
                      <w:sz w:val="18"/>
                      <w:szCs w:val="18"/>
                    </w:rPr>
                    <w:t>Road vehicles</w:t>
                  </w:r>
                  <w:r>
                    <w:rPr>
                      <w:rFonts w:ascii="Arial" w:hAnsi="Arial" w:cs="Arial"/>
                      <w:sz w:val="18"/>
                      <w:szCs w:val="18"/>
                    </w:rPr>
                    <w:t xml:space="preserve"> </w:t>
                  </w:r>
                </w:p>
              </w:tc>
              <w:tc>
                <w:tcPr>
                  <w:tcW w:w="851" w:type="dxa"/>
                  <w:tcBorders>
                    <w:top w:val="nil"/>
                    <w:left w:val="single" w:sz="4" w:space="0" w:color="auto"/>
                    <w:bottom w:val="nil"/>
                    <w:right w:val="single" w:sz="4" w:space="0" w:color="auto"/>
                  </w:tcBorders>
                  <w:noWrap/>
                  <w:vAlign w:val="center"/>
                </w:tcPr>
                <w:p w14:paraId="28416BE8" w14:textId="74AE0308" w:rsidR="00ED6F0F" w:rsidRPr="000541BE" w:rsidRDefault="00ED6F0F" w:rsidP="00ED6F0F">
                  <w:pPr>
                    <w:jc w:val="right"/>
                    <w:rPr>
                      <w:rFonts w:ascii="Arial" w:hAnsi="Arial" w:cs="Arial"/>
                      <w:sz w:val="18"/>
                      <w:szCs w:val="18"/>
                    </w:rPr>
                  </w:pPr>
                  <w:r w:rsidRPr="00ED6F0F">
                    <w:rPr>
                      <w:rFonts w:ascii="Arial" w:hAnsi="Arial" w:cs="Arial"/>
                      <w:sz w:val="18"/>
                      <w:szCs w:val="18"/>
                    </w:rPr>
                    <w:t>2333.7</w:t>
                  </w:r>
                </w:p>
              </w:tc>
              <w:tc>
                <w:tcPr>
                  <w:tcW w:w="880" w:type="dxa"/>
                  <w:tcBorders>
                    <w:top w:val="nil"/>
                    <w:left w:val="nil"/>
                    <w:bottom w:val="nil"/>
                    <w:right w:val="single" w:sz="4" w:space="0" w:color="auto"/>
                  </w:tcBorders>
                  <w:noWrap/>
                  <w:vAlign w:val="center"/>
                </w:tcPr>
                <w:p w14:paraId="70D55B40" w14:textId="5ADCBA5A" w:rsidR="00ED6F0F" w:rsidRPr="000541BE" w:rsidRDefault="00ED6F0F" w:rsidP="00ED6F0F">
                  <w:pPr>
                    <w:jc w:val="right"/>
                    <w:rPr>
                      <w:rFonts w:ascii="Arial" w:hAnsi="Arial" w:cs="Arial"/>
                      <w:sz w:val="18"/>
                      <w:szCs w:val="18"/>
                    </w:rPr>
                  </w:pPr>
                  <w:r w:rsidRPr="00ED6F0F">
                    <w:rPr>
                      <w:rFonts w:ascii="Arial" w:hAnsi="Arial" w:cs="Arial"/>
                      <w:sz w:val="18"/>
                      <w:szCs w:val="18"/>
                    </w:rPr>
                    <w:t>2062.0</w:t>
                  </w:r>
                </w:p>
              </w:tc>
            </w:tr>
            <w:tr w:rsidR="00ED6F0F" w14:paraId="38CB609D" w14:textId="77777777" w:rsidTr="00ED6F0F">
              <w:trPr>
                <w:trHeight w:val="228"/>
                <w:jc w:val="center"/>
              </w:trPr>
              <w:tc>
                <w:tcPr>
                  <w:tcW w:w="2901" w:type="dxa"/>
                  <w:tcBorders>
                    <w:top w:val="nil"/>
                    <w:left w:val="single" w:sz="4" w:space="0" w:color="auto"/>
                    <w:bottom w:val="nil"/>
                    <w:right w:val="nil"/>
                  </w:tcBorders>
                  <w:noWrap/>
                  <w:vAlign w:val="center"/>
                  <w:hideMark/>
                </w:tcPr>
                <w:p w14:paraId="4BA1B6C9" w14:textId="36192ACA" w:rsidR="00ED6F0F" w:rsidRDefault="00ED6F0F" w:rsidP="00ED6F0F">
                  <w:pPr>
                    <w:rPr>
                      <w:rFonts w:ascii="Arial" w:hAnsi="Arial" w:cs="Arial"/>
                      <w:sz w:val="18"/>
                      <w:szCs w:val="18"/>
                    </w:rPr>
                  </w:pPr>
                  <w:r>
                    <w:rPr>
                      <w:rFonts w:ascii="Arial" w:hAnsi="Arial" w:cs="Arial"/>
                      <w:sz w:val="18"/>
                      <w:szCs w:val="18"/>
                    </w:rPr>
                    <w:t>Metal ores and residues</w:t>
                  </w:r>
                </w:p>
              </w:tc>
              <w:tc>
                <w:tcPr>
                  <w:tcW w:w="850" w:type="dxa"/>
                  <w:tcBorders>
                    <w:top w:val="nil"/>
                    <w:left w:val="single" w:sz="4" w:space="0" w:color="auto"/>
                    <w:bottom w:val="nil"/>
                    <w:right w:val="single" w:sz="4" w:space="0" w:color="auto"/>
                  </w:tcBorders>
                  <w:noWrap/>
                  <w:vAlign w:val="center"/>
                </w:tcPr>
                <w:p w14:paraId="15EE094D" w14:textId="0A582005" w:rsidR="00ED6F0F" w:rsidRPr="000541BE" w:rsidRDefault="00ED6F0F" w:rsidP="00ED6F0F">
                  <w:pPr>
                    <w:jc w:val="right"/>
                    <w:rPr>
                      <w:rFonts w:ascii="Arial" w:hAnsi="Arial" w:cs="Arial"/>
                      <w:sz w:val="18"/>
                      <w:szCs w:val="18"/>
                    </w:rPr>
                  </w:pPr>
                  <w:r w:rsidRPr="0061602C">
                    <w:rPr>
                      <w:rFonts w:ascii="Arial" w:hAnsi="Arial" w:cs="Arial"/>
                      <w:sz w:val="18"/>
                      <w:szCs w:val="18"/>
                    </w:rPr>
                    <w:t>2352.8</w:t>
                  </w:r>
                </w:p>
              </w:tc>
              <w:tc>
                <w:tcPr>
                  <w:tcW w:w="851" w:type="dxa"/>
                  <w:tcBorders>
                    <w:top w:val="nil"/>
                    <w:left w:val="nil"/>
                    <w:bottom w:val="nil"/>
                    <w:right w:val="single" w:sz="4" w:space="0" w:color="auto"/>
                  </w:tcBorders>
                  <w:noWrap/>
                  <w:vAlign w:val="center"/>
                </w:tcPr>
                <w:p w14:paraId="67E77F00" w14:textId="7DD80AAA" w:rsidR="00ED6F0F" w:rsidRPr="000541BE" w:rsidRDefault="00ED6F0F" w:rsidP="00ED6F0F">
                  <w:pPr>
                    <w:jc w:val="right"/>
                    <w:rPr>
                      <w:rFonts w:ascii="Arial" w:hAnsi="Arial" w:cs="Arial"/>
                      <w:sz w:val="18"/>
                      <w:szCs w:val="18"/>
                    </w:rPr>
                  </w:pPr>
                  <w:r w:rsidRPr="0061602C">
                    <w:rPr>
                      <w:rFonts w:ascii="Arial" w:hAnsi="Arial" w:cs="Arial"/>
                      <w:sz w:val="18"/>
                      <w:szCs w:val="18"/>
                    </w:rPr>
                    <w:t>2084.7</w:t>
                  </w:r>
                </w:p>
              </w:tc>
              <w:tc>
                <w:tcPr>
                  <w:tcW w:w="2693" w:type="dxa"/>
                  <w:tcBorders>
                    <w:top w:val="nil"/>
                    <w:left w:val="nil"/>
                    <w:bottom w:val="nil"/>
                    <w:right w:val="nil"/>
                  </w:tcBorders>
                  <w:noWrap/>
                  <w:vAlign w:val="center"/>
                  <w:hideMark/>
                </w:tcPr>
                <w:p w14:paraId="37000D66" w14:textId="55DFFCA9" w:rsidR="00ED6F0F" w:rsidRDefault="00ED6F0F" w:rsidP="00ED6F0F">
                  <w:pPr>
                    <w:rPr>
                      <w:rFonts w:ascii="Arial" w:hAnsi="Arial" w:cs="Arial"/>
                      <w:sz w:val="18"/>
                      <w:szCs w:val="18"/>
                    </w:rPr>
                  </w:pPr>
                  <w:r>
                    <w:rPr>
                      <w:rFonts w:ascii="Arial" w:hAnsi="Arial" w:cs="Arial"/>
                      <w:sz w:val="18"/>
                      <w:szCs w:val="18"/>
                    </w:rPr>
                    <w:t>Oil and oil derivatives</w:t>
                  </w:r>
                </w:p>
              </w:tc>
              <w:tc>
                <w:tcPr>
                  <w:tcW w:w="851" w:type="dxa"/>
                  <w:tcBorders>
                    <w:top w:val="nil"/>
                    <w:left w:val="single" w:sz="4" w:space="0" w:color="auto"/>
                    <w:bottom w:val="nil"/>
                    <w:right w:val="single" w:sz="4" w:space="0" w:color="auto"/>
                  </w:tcBorders>
                  <w:noWrap/>
                  <w:vAlign w:val="center"/>
                </w:tcPr>
                <w:p w14:paraId="180ED933" w14:textId="6FE877FF" w:rsidR="00ED6F0F" w:rsidRPr="000541BE" w:rsidRDefault="00ED6F0F" w:rsidP="00ED6F0F">
                  <w:pPr>
                    <w:jc w:val="right"/>
                    <w:rPr>
                      <w:rFonts w:ascii="Arial" w:hAnsi="Arial" w:cs="Arial"/>
                      <w:sz w:val="18"/>
                      <w:szCs w:val="18"/>
                    </w:rPr>
                  </w:pPr>
                  <w:r w:rsidRPr="00ED6F0F">
                    <w:rPr>
                      <w:rFonts w:ascii="Arial" w:hAnsi="Arial" w:cs="Arial"/>
                      <w:sz w:val="18"/>
                      <w:szCs w:val="18"/>
                    </w:rPr>
                    <w:t>2300.4</w:t>
                  </w:r>
                </w:p>
              </w:tc>
              <w:tc>
                <w:tcPr>
                  <w:tcW w:w="880" w:type="dxa"/>
                  <w:tcBorders>
                    <w:top w:val="nil"/>
                    <w:left w:val="nil"/>
                    <w:bottom w:val="nil"/>
                    <w:right w:val="single" w:sz="4" w:space="0" w:color="auto"/>
                  </w:tcBorders>
                  <w:noWrap/>
                  <w:vAlign w:val="center"/>
                </w:tcPr>
                <w:p w14:paraId="0CAF3686" w14:textId="5E03AD3A" w:rsidR="00ED6F0F" w:rsidRPr="000541BE" w:rsidRDefault="00ED6F0F" w:rsidP="00ED6F0F">
                  <w:pPr>
                    <w:jc w:val="right"/>
                    <w:rPr>
                      <w:rFonts w:ascii="Arial" w:hAnsi="Arial" w:cs="Arial"/>
                      <w:sz w:val="18"/>
                      <w:szCs w:val="18"/>
                    </w:rPr>
                  </w:pPr>
                  <w:r w:rsidRPr="00ED6F0F">
                    <w:rPr>
                      <w:rFonts w:ascii="Arial" w:hAnsi="Arial" w:cs="Arial"/>
                      <w:sz w:val="18"/>
                      <w:szCs w:val="18"/>
                    </w:rPr>
                    <w:t>2044.1</w:t>
                  </w:r>
                </w:p>
              </w:tc>
            </w:tr>
            <w:tr w:rsidR="00ED6F0F" w14:paraId="73CBAC87" w14:textId="77777777" w:rsidTr="00ED6F0F">
              <w:trPr>
                <w:trHeight w:val="228"/>
                <w:jc w:val="center"/>
              </w:trPr>
              <w:tc>
                <w:tcPr>
                  <w:tcW w:w="2901" w:type="dxa"/>
                  <w:tcBorders>
                    <w:top w:val="nil"/>
                    <w:left w:val="single" w:sz="4" w:space="0" w:color="auto"/>
                    <w:bottom w:val="nil"/>
                    <w:right w:val="nil"/>
                  </w:tcBorders>
                  <w:noWrap/>
                  <w:vAlign w:val="center"/>
                  <w:hideMark/>
                </w:tcPr>
                <w:p w14:paraId="6D4627C5" w14:textId="23D67171" w:rsidR="00ED6F0F" w:rsidRDefault="00ED6F0F" w:rsidP="00ED6F0F">
                  <w:pPr>
                    <w:rPr>
                      <w:rFonts w:ascii="Arial" w:hAnsi="Arial" w:cs="Arial"/>
                      <w:sz w:val="18"/>
                      <w:szCs w:val="18"/>
                    </w:rPr>
                  </w:pPr>
                  <w:r>
                    <w:rPr>
                      <w:rFonts w:ascii="Arial" w:hAnsi="Arial" w:cs="Arial"/>
                      <w:sz w:val="18"/>
                      <w:szCs w:val="18"/>
                    </w:rPr>
                    <w:t>Non-ferrous metals</w:t>
                  </w:r>
                </w:p>
              </w:tc>
              <w:tc>
                <w:tcPr>
                  <w:tcW w:w="850" w:type="dxa"/>
                  <w:tcBorders>
                    <w:top w:val="nil"/>
                    <w:left w:val="single" w:sz="4" w:space="0" w:color="auto"/>
                    <w:bottom w:val="nil"/>
                    <w:right w:val="single" w:sz="4" w:space="0" w:color="auto"/>
                  </w:tcBorders>
                  <w:noWrap/>
                  <w:vAlign w:val="center"/>
                </w:tcPr>
                <w:p w14:paraId="3770AE5F" w14:textId="701855A6" w:rsidR="00ED6F0F" w:rsidRPr="000541BE" w:rsidRDefault="00ED6F0F" w:rsidP="00ED6F0F">
                  <w:pPr>
                    <w:jc w:val="right"/>
                    <w:rPr>
                      <w:rFonts w:ascii="Arial" w:hAnsi="Arial" w:cs="Arial"/>
                      <w:sz w:val="18"/>
                      <w:szCs w:val="18"/>
                    </w:rPr>
                  </w:pPr>
                  <w:r w:rsidRPr="0061602C">
                    <w:rPr>
                      <w:rFonts w:ascii="Arial" w:hAnsi="Arial" w:cs="Arial"/>
                      <w:sz w:val="18"/>
                      <w:szCs w:val="18"/>
                    </w:rPr>
                    <w:t>2215.3</w:t>
                  </w:r>
                </w:p>
              </w:tc>
              <w:tc>
                <w:tcPr>
                  <w:tcW w:w="851" w:type="dxa"/>
                  <w:tcBorders>
                    <w:top w:val="nil"/>
                    <w:left w:val="nil"/>
                    <w:bottom w:val="nil"/>
                    <w:right w:val="single" w:sz="4" w:space="0" w:color="auto"/>
                  </w:tcBorders>
                  <w:noWrap/>
                  <w:vAlign w:val="center"/>
                </w:tcPr>
                <w:p w14:paraId="78DE4B73" w14:textId="7A635C64" w:rsidR="00ED6F0F" w:rsidRPr="000541BE" w:rsidRDefault="00ED6F0F" w:rsidP="00ED6F0F">
                  <w:pPr>
                    <w:jc w:val="right"/>
                    <w:rPr>
                      <w:rFonts w:ascii="Arial" w:hAnsi="Arial" w:cs="Arial"/>
                      <w:sz w:val="18"/>
                      <w:szCs w:val="18"/>
                    </w:rPr>
                  </w:pPr>
                  <w:r w:rsidRPr="0061602C">
                    <w:rPr>
                      <w:rFonts w:ascii="Arial" w:hAnsi="Arial" w:cs="Arial"/>
                      <w:sz w:val="18"/>
                      <w:szCs w:val="18"/>
                    </w:rPr>
                    <w:t>1968.8</w:t>
                  </w:r>
                </w:p>
              </w:tc>
              <w:tc>
                <w:tcPr>
                  <w:tcW w:w="2693" w:type="dxa"/>
                  <w:tcBorders>
                    <w:top w:val="nil"/>
                    <w:left w:val="nil"/>
                    <w:bottom w:val="nil"/>
                    <w:right w:val="nil"/>
                  </w:tcBorders>
                  <w:noWrap/>
                  <w:vAlign w:val="center"/>
                  <w:hideMark/>
                </w:tcPr>
                <w:p w14:paraId="03016BEC" w14:textId="6663BAA1" w:rsidR="00ED6F0F" w:rsidRDefault="00ED6F0F" w:rsidP="00ED6F0F">
                  <w:pPr>
                    <w:rPr>
                      <w:rFonts w:ascii="Tahoma" w:hAnsi="Tahoma" w:cs="Tahoma"/>
                      <w:sz w:val="18"/>
                      <w:szCs w:val="18"/>
                    </w:rPr>
                  </w:pPr>
                  <w:r>
                    <w:rPr>
                      <w:rFonts w:ascii="Arial" w:hAnsi="Arial" w:cs="Arial"/>
                      <w:sz w:val="18"/>
                      <w:szCs w:val="18"/>
                    </w:rPr>
                    <w:t>Medical and pharmaceutical products</w:t>
                  </w:r>
                  <w:r>
                    <w:rPr>
                      <w:rFonts w:ascii="Tahoma" w:hAnsi="Tahoma" w:cs="Tahoma"/>
                      <w:sz w:val="18"/>
                      <w:szCs w:val="18"/>
                    </w:rPr>
                    <w:t xml:space="preserve"> </w:t>
                  </w:r>
                </w:p>
              </w:tc>
              <w:tc>
                <w:tcPr>
                  <w:tcW w:w="851" w:type="dxa"/>
                  <w:tcBorders>
                    <w:top w:val="nil"/>
                    <w:left w:val="single" w:sz="4" w:space="0" w:color="auto"/>
                    <w:bottom w:val="nil"/>
                    <w:right w:val="single" w:sz="4" w:space="0" w:color="auto"/>
                  </w:tcBorders>
                  <w:noWrap/>
                  <w:vAlign w:val="center"/>
                </w:tcPr>
                <w:p w14:paraId="6895FAFF" w14:textId="40CCBFCA" w:rsidR="00ED6F0F" w:rsidRPr="000541BE" w:rsidRDefault="00ED6F0F" w:rsidP="00ED6F0F">
                  <w:pPr>
                    <w:jc w:val="right"/>
                    <w:rPr>
                      <w:rFonts w:ascii="Arial" w:hAnsi="Arial" w:cs="Arial"/>
                      <w:sz w:val="18"/>
                      <w:szCs w:val="18"/>
                    </w:rPr>
                  </w:pPr>
                  <w:r w:rsidRPr="00ED6F0F">
                    <w:rPr>
                      <w:rFonts w:ascii="Arial" w:hAnsi="Arial" w:cs="Arial"/>
                      <w:sz w:val="18"/>
                      <w:szCs w:val="18"/>
                    </w:rPr>
                    <w:t>2167.8</w:t>
                  </w:r>
                </w:p>
              </w:tc>
              <w:tc>
                <w:tcPr>
                  <w:tcW w:w="880" w:type="dxa"/>
                  <w:tcBorders>
                    <w:top w:val="nil"/>
                    <w:left w:val="nil"/>
                    <w:bottom w:val="nil"/>
                    <w:right w:val="single" w:sz="4" w:space="0" w:color="auto"/>
                  </w:tcBorders>
                  <w:noWrap/>
                  <w:vAlign w:val="center"/>
                </w:tcPr>
                <w:p w14:paraId="5CCB06AB" w14:textId="69C885C4" w:rsidR="00ED6F0F" w:rsidRPr="000541BE" w:rsidRDefault="00ED6F0F" w:rsidP="00ED6F0F">
                  <w:pPr>
                    <w:jc w:val="right"/>
                    <w:rPr>
                      <w:rFonts w:ascii="Arial" w:hAnsi="Arial" w:cs="Arial"/>
                      <w:sz w:val="18"/>
                      <w:szCs w:val="18"/>
                    </w:rPr>
                  </w:pPr>
                  <w:r w:rsidRPr="00ED6F0F">
                    <w:rPr>
                      <w:rFonts w:ascii="Arial" w:hAnsi="Arial" w:cs="Arial"/>
                      <w:sz w:val="18"/>
                      <w:szCs w:val="18"/>
                    </w:rPr>
                    <w:t>1926.8</w:t>
                  </w:r>
                </w:p>
              </w:tc>
            </w:tr>
            <w:tr w:rsidR="00ED6F0F" w14:paraId="033E72DC" w14:textId="77777777" w:rsidTr="00ED6F0F">
              <w:trPr>
                <w:trHeight w:val="228"/>
                <w:jc w:val="center"/>
              </w:trPr>
              <w:tc>
                <w:tcPr>
                  <w:tcW w:w="2901" w:type="dxa"/>
                  <w:tcBorders>
                    <w:top w:val="nil"/>
                    <w:left w:val="single" w:sz="4" w:space="0" w:color="auto"/>
                    <w:bottom w:val="single" w:sz="4" w:space="0" w:color="auto"/>
                    <w:right w:val="nil"/>
                  </w:tcBorders>
                  <w:noWrap/>
                  <w:vAlign w:val="center"/>
                  <w:hideMark/>
                </w:tcPr>
                <w:p w14:paraId="67A6B226" w14:textId="77777777" w:rsidR="00ED6F0F" w:rsidRDefault="00ED6F0F" w:rsidP="00ED6F0F">
                  <w:pPr>
                    <w:rPr>
                      <w:rFonts w:ascii="Arial" w:hAnsi="Arial" w:cs="Arial"/>
                      <w:sz w:val="18"/>
                      <w:szCs w:val="18"/>
                    </w:rPr>
                  </w:pPr>
                  <w:r>
                    <w:rPr>
                      <w:rFonts w:ascii="Arial" w:hAnsi="Arial" w:cs="Arial"/>
                      <w:sz w:val="18"/>
                      <w:szCs w:val="18"/>
                    </w:rPr>
                    <w:t>Rubber products</w:t>
                  </w:r>
                </w:p>
              </w:tc>
              <w:tc>
                <w:tcPr>
                  <w:tcW w:w="850" w:type="dxa"/>
                  <w:tcBorders>
                    <w:top w:val="nil"/>
                    <w:left w:val="single" w:sz="4" w:space="0" w:color="auto"/>
                    <w:bottom w:val="single" w:sz="4" w:space="0" w:color="auto"/>
                    <w:right w:val="single" w:sz="4" w:space="0" w:color="auto"/>
                  </w:tcBorders>
                  <w:noWrap/>
                  <w:vAlign w:val="center"/>
                </w:tcPr>
                <w:p w14:paraId="010D466F" w14:textId="2EE8A617" w:rsidR="00ED6F0F" w:rsidRPr="000541BE" w:rsidRDefault="00ED6F0F" w:rsidP="00ED6F0F">
                  <w:pPr>
                    <w:jc w:val="right"/>
                    <w:rPr>
                      <w:rFonts w:ascii="Arial" w:hAnsi="Arial" w:cs="Arial"/>
                      <w:sz w:val="18"/>
                      <w:szCs w:val="18"/>
                    </w:rPr>
                  </w:pPr>
                  <w:r w:rsidRPr="0061602C">
                    <w:rPr>
                      <w:rFonts w:ascii="Arial" w:hAnsi="Arial" w:cs="Arial"/>
                      <w:sz w:val="18"/>
                      <w:szCs w:val="18"/>
                    </w:rPr>
                    <w:t>1914.2</w:t>
                  </w:r>
                </w:p>
              </w:tc>
              <w:tc>
                <w:tcPr>
                  <w:tcW w:w="851" w:type="dxa"/>
                  <w:tcBorders>
                    <w:top w:val="nil"/>
                    <w:left w:val="nil"/>
                    <w:bottom w:val="single" w:sz="4" w:space="0" w:color="auto"/>
                    <w:right w:val="single" w:sz="4" w:space="0" w:color="auto"/>
                  </w:tcBorders>
                  <w:noWrap/>
                  <w:vAlign w:val="center"/>
                </w:tcPr>
                <w:p w14:paraId="7553AFA4" w14:textId="4B8BECD4" w:rsidR="00ED6F0F" w:rsidRPr="000541BE" w:rsidRDefault="00ED6F0F" w:rsidP="00ED6F0F">
                  <w:pPr>
                    <w:jc w:val="right"/>
                    <w:rPr>
                      <w:rFonts w:ascii="Arial" w:hAnsi="Arial" w:cs="Arial"/>
                      <w:sz w:val="18"/>
                      <w:szCs w:val="18"/>
                    </w:rPr>
                  </w:pPr>
                  <w:r w:rsidRPr="0061602C">
                    <w:rPr>
                      <w:rFonts w:ascii="Arial" w:hAnsi="Arial" w:cs="Arial"/>
                      <w:sz w:val="18"/>
                      <w:szCs w:val="18"/>
                    </w:rPr>
                    <w:t>1697.1</w:t>
                  </w:r>
                </w:p>
              </w:tc>
              <w:tc>
                <w:tcPr>
                  <w:tcW w:w="2693" w:type="dxa"/>
                  <w:tcBorders>
                    <w:top w:val="nil"/>
                    <w:left w:val="nil"/>
                    <w:bottom w:val="single" w:sz="4" w:space="0" w:color="auto"/>
                    <w:right w:val="nil"/>
                  </w:tcBorders>
                  <w:noWrap/>
                  <w:vAlign w:val="center"/>
                  <w:hideMark/>
                </w:tcPr>
                <w:p w14:paraId="268623F0" w14:textId="1AFB98D8" w:rsidR="00ED6F0F" w:rsidRDefault="00ED6F0F" w:rsidP="00ED6F0F">
                  <w:pPr>
                    <w:rPr>
                      <w:rFonts w:ascii="Tahoma" w:hAnsi="Tahoma" w:cs="Tahoma"/>
                      <w:sz w:val="18"/>
                      <w:szCs w:val="18"/>
                    </w:rPr>
                  </w:pPr>
                  <w:r>
                    <w:rPr>
                      <w:rFonts w:ascii="Tahoma" w:hAnsi="Tahoma" w:cs="Tahoma"/>
                      <w:sz w:val="18"/>
                      <w:szCs w:val="18"/>
                    </w:rPr>
                    <w:t>Other general-purpose machinery</w:t>
                  </w:r>
                </w:p>
              </w:tc>
              <w:tc>
                <w:tcPr>
                  <w:tcW w:w="851" w:type="dxa"/>
                  <w:tcBorders>
                    <w:top w:val="nil"/>
                    <w:left w:val="single" w:sz="4" w:space="0" w:color="auto"/>
                    <w:bottom w:val="single" w:sz="4" w:space="0" w:color="auto"/>
                    <w:right w:val="single" w:sz="4" w:space="0" w:color="auto"/>
                  </w:tcBorders>
                  <w:noWrap/>
                  <w:vAlign w:val="center"/>
                </w:tcPr>
                <w:p w14:paraId="031D68DC" w14:textId="15EC0696" w:rsidR="00ED6F0F" w:rsidRPr="000541BE" w:rsidRDefault="00ED6F0F" w:rsidP="00ED6F0F">
                  <w:pPr>
                    <w:jc w:val="right"/>
                    <w:rPr>
                      <w:rFonts w:ascii="Arial" w:hAnsi="Arial" w:cs="Arial"/>
                      <w:sz w:val="18"/>
                      <w:szCs w:val="18"/>
                    </w:rPr>
                  </w:pPr>
                  <w:r w:rsidRPr="00ED6F0F">
                    <w:rPr>
                      <w:rFonts w:ascii="Arial" w:hAnsi="Arial" w:cs="Arial"/>
                      <w:sz w:val="18"/>
                      <w:szCs w:val="18"/>
                    </w:rPr>
                    <w:t>1999.5</w:t>
                  </w:r>
                </w:p>
              </w:tc>
              <w:tc>
                <w:tcPr>
                  <w:tcW w:w="880" w:type="dxa"/>
                  <w:tcBorders>
                    <w:top w:val="nil"/>
                    <w:left w:val="nil"/>
                    <w:bottom w:val="single" w:sz="4" w:space="0" w:color="auto"/>
                    <w:right w:val="single" w:sz="4" w:space="0" w:color="auto"/>
                  </w:tcBorders>
                  <w:noWrap/>
                  <w:vAlign w:val="center"/>
                </w:tcPr>
                <w:p w14:paraId="1A4C7C04" w14:textId="239945E9" w:rsidR="00ED6F0F" w:rsidRPr="000541BE" w:rsidRDefault="00ED6F0F" w:rsidP="00ED6F0F">
                  <w:pPr>
                    <w:jc w:val="right"/>
                    <w:rPr>
                      <w:rFonts w:ascii="Arial" w:hAnsi="Arial" w:cs="Arial"/>
                      <w:sz w:val="18"/>
                      <w:szCs w:val="18"/>
                    </w:rPr>
                  </w:pPr>
                  <w:r w:rsidRPr="00ED6F0F">
                    <w:rPr>
                      <w:rFonts w:ascii="Arial" w:hAnsi="Arial" w:cs="Arial"/>
                      <w:sz w:val="18"/>
                      <w:szCs w:val="18"/>
                    </w:rPr>
                    <w:t>1768.1</w:t>
                  </w:r>
                </w:p>
              </w:tc>
            </w:tr>
          </w:tbl>
          <w:p w14:paraId="5EA0B7E5" w14:textId="77777777" w:rsidR="00E351FD" w:rsidRPr="00AC77A0" w:rsidRDefault="00E351FD" w:rsidP="00A54184">
            <w:pPr>
              <w:shd w:val="clear" w:color="auto" w:fill="FFFFFF"/>
              <w:spacing w:line="210" w:lineRule="atLeast"/>
              <w:jc w:val="both"/>
              <w:rPr>
                <w:rFonts w:ascii="Tahoma" w:hAnsi="Tahoma" w:cs="Tahoma"/>
                <w:color w:val="242424"/>
                <w:sz w:val="18"/>
                <w:szCs w:val="18"/>
              </w:rPr>
            </w:pPr>
          </w:p>
          <w:p w14:paraId="49F99E54" w14:textId="77777777" w:rsidR="00E351FD" w:rsidRDefault="00E351FD" w:rsidP="00A54184">
            <w:pPr>
              <w:tabs>
                <w:tab w:val="center" w:pos="0"/>
              </w:tabs>
              <w:jc w:val="both"/>
              <w:rPr>
                <w:rFonts w:ascii="Tahoma" w:hAnsi="Tahoma" w:cs="Tahoma"/>
                <w:sz w:val="18"/>
                <w:szCs w:val="18"/>
              </w:rPr>
            </w:pPr>
            <w:r w:rsidRPr="00AC77A0">
              <w:rPr>
                <w:rFonts w:ascii="Tahoma" w:hAnsi="Tahoma" w:cs="Tahoma"/>
                <w:sz w:val="18"/>
                <w:szCs w:val="18"/>
              </w:rPr>
              <w:t xml:space="preserve">Starting from 1999 the Statistical Office of the Republic of Serbia has not at disposal and may not provide available certain data relative to AP Kosovo and Metohija, and therefore these data are not included in the coverage for the Republic of Serbia (total). </w:t>
            </w:r>
          </w:p>
          <w:p w14:paraId="37E5DDB2" w14:textId="77777777" w:rsidR="0018508B" w:rsidRDefault="0018508B" w:rsidP="00A54184">
            <w:pPr>
              <w:tabs>
                <w:tab w:val="center" w:pos="0"/>
              </w:tabs>
              <w:jc w:val="both"/>
              <w:rPr>
                <w:rFonts w:ascii="Tahoma" w:hAnsi="Tahoma" w:cs="Tahoma"/>
                <w:sz w:val="18"/>
                <w:szCs w:val="18"/>
              </w:rPr>
            </w:pPr>
          </w:p>
          <w:p w14:paraId="50AFFD49" w14:textId="77777777" w:rsidR="0018508B" w:rsidRDefault="0018508B" w:rsidP="00A54184">
            <w:pPr>
              <w:tabs>
                <w:tab w:val="center" w:pos="0"/>
              </w:tabs>
              <w:jc w:val="both"/>
              <w:rPr>
                <w:rFonts w:ascii="Tahoma" w:hAnsi="Tahoma" w:cs="Tahoma"/>
                <w:sz w:val="18"/>
                <w:szCs w:val="18"/>
              </w:rPr>
            </w:pPr>
          </w:p>
          <w:p w14:paraId="5831CF7B" w14:textId="77777777" w:rsidR="00F06A7D" w:rsidRPr="00AC77A0" w:rsidRDefault="00F06A7D" w:rsidP="00A54184">
            <w:pPr>
              <w:tabs>
                <w:tab w:val="center" w:pos="0"/>
              </w:tabs>
              <w:jc w:val="both"/>
              <w:rPr>
                <w:rFonts w:ascii="Tahoma" w:hAnsi="Tahoma" w:cs="Tahoma"/>
                <w:sz w:val="18"/>
                <w:szCs w:val="18"/>
              </w:rPr>
            </w:pPr>
          </w:p>
          <w:p w14:paraId="083BE891" w14:textId="77777777" w:rsidR="00E351FD" w:rsidRPr="00AC77A0" w:rsidRDefault="00E351FD" w:rsidP="00A54184">
            <w:pPr>
              <w:tabs>
                <w:tab w:val="center" w:pos="0"/>
              </w:tabs>
              <w:jc w:val="both"/>
              <w:rPr>
                <w:rFonts w:ascii="Tahoma" w:hAnsi="Tahoma" w:cs="Tahoma"/>
                <w:sz w:val="18"/>
                <w:szCs w:val="18"/>
              </w:rPr>
            </w:pPr>
          </w:p>
          <w:tbl>
            <w:tblPr>
              <w:tblW w:w="11268" w:type="dxa"/>
              <w:tblLook w:val="01E0" w:firstRow="1" w:lastRow="1" w:firstColumn="1" w:lastColumn="1" w:noHBand="0" w:noVBand="0"/>
            </w:tblPr>
            <w:tblGrid>
              <w:gridCol w:w="5868"/>
              <w:gridCol w:w="5400"/>
            </w:tblGrid>
            <w:tr w:rsidR="00E351FD" w:rsidRPr="00AC77A0" w14:paraId="005AD73E" w14:textId="77777777" w:rsidTr="00A54184">
              <w:tc>
                <w:tcPr>
                  <w:tcW w:w="5868" w:type="dxa"/>
                </w:tcPr>
                <w:p w14:paraId="37F95AA8" w14:textId="77777777" w:rsidR="00E351FD" w:rsidRPr="00AC77A0" w:rsidRDefault="00E351FD" w:rsidP="00A54184">
                  <w:pPr>
                    <w:jc w:val="both"/>
                    <w:rPr>
                      <w:rFonts w:ascii="Tahoma" w:hAnsi="Tahoma" w:cs="Tahoma"/>
                      <w:color w:val="808080"/>
                      <w:sz w:val="20"/>
                      <w:szCs w:val="20"/>
                    </w:rPr>
                  </w:pPr>
                  <w:r w:rsidRPr="00AC77A0">
                    <w:rPr>
                      <w:rFonts w:ascii="Tahoma" w:hAnsi="Tahoma" w:cs="Tahoma"/>
                      <w:color w:val="808080"/>
                      <w:sz w:val="20"/>
                      <w:szCs w:val="20"/>
                    </w:rPr>
                    <w:t>Contact person:</w:t>
                  </w:r>
                </w:p>
                <w:p w14:paraId="7417BD83" w14:textId="37BAD85E" w:rsidR="00E351FD" w:rsidRPr="00AC77A0" w:rsidRDefault="00CB55FB" w:rsidP="00A54184">
                  <w:pPr>
                    <w:rPr>
                      <w:rFonts w:ascii="Tahoma" w:hAnsi="Tahoma" w:cs="Tahoma"/>
                      <w:sz w:val="20"/>
                      <w:szCs w:val="20"/>
                    </w:rPr>
                  </w:pPr>
                  <w:r w:rsidRPr="00AC77A0">
                    <w:rPr>
                      <w:rFonts w:ascii="Tahoma" w:hAnsi="Tahoma" w:cs="Tahoma"/>
                      <w:sz w:val="20"/>
                      <w:szCs w:val="20"/>
                    </w:rPr>
                    <w:t>Mirjana</w:t>
                  </w:r>
                  <w:r w:rsidR="00E351FD" w:rsidRPr="00AC77A0">
                    <w:rPr>
                      <w:rFonts w:ascii="Tahoma" w:hAnsi="Tahoma" w:cs="Tahoma"/>
                      <w:sz w:val="20"/>
                      <w:szCs w:val="20"/>
                    </w:rPr>
                    <w:t xml:space="preserve"> </w:t>
                  </w:r>
                  <w:r w:rsidRPr="00AC77A0">
                    <w:rPr>
                      <w:rFonts w:ascii="Tahoma" w:hAnsi="Tahoma" w:cs="Tahoma"/>
                      <w:sz w:val="20"/>
                      <w:szCs w:val="20"/>
                    </w:rPr>
                    <w:t>Stan</w:t>
                  </w:r>
                  <w:r w:rsidR="00E351FD" w:rsidRPr="00AC77A0">
                    <w:rPr>
                      <w:rFonts w:ascii="Tahoma" w:hAnsi="Tahoma" w:cs="Tahoma"/>
                      <w:sz w:val="20"/>
                      <w:szCs w:val="20"/>
                    </w:rPr>
                    <w:t>ković</w:t>
                  </w:r>
                </w:p>
                <w:p w14:paraId="4DCE4CAA" w14:textId="77777777" w:rsidR="00E351FD" w:rsidRPr="00AC77A0" w:rsidRDefault="00E351FD" w:rsidP="00A54184">
                  <w:pPr>
                    <w:rPr>
                      <w:rFonts w:ascii="Tahoma" w:hAnsi="Tahoma" w:cs="Tahoma"/>
                      <w:sz w:val="20"/>
                      <w:szCs w:val="20"/>
                    </w:rPr>
                  </w:pPr>
                  <w:r w:rsidRPr="00AC77A0">
                    <w:rPr>
                      <w:rFonts w:ascii="Tahoma" w:hAnsi="Tahoma" w:cs="Tahoma"/>
                      <w:sz w:val="20"/>
                      <w:szCs w:val="20"/>
                    </w:rPr>
                    <w:t>Section of external trade statistics</w:t>
                  </w:r>
                </w:p>
                <w:p w14:paraId="7E5FFC2E" w14:textId="5496C287" w:rsidR="00E351FD" w:rsidRPr="00AC77A0" w:rsidRDefault="00E351FD" w:rsidP="00A54184">
                  <w:pPr>
                    <w:rPr>
                      <w:rFonts w:ascii="Tahoma" w:hAnsi="Tahoma" w:cs="Tahoma"/>
                      <w:sz w:val="20"/>
                      <w:szCs w:val="20"/>
                    </w:rPr>
                  </w:pPr>
                  <w:r w:rsidRPr="00AC77A0">
                    <w:rPr>
                      <w:rFonts w:ascii="Tahoma" w:hAnsi="Tahoma" w:cs="Tahoma"/>
                      <w:sz w:val="20"/>
                      <w:szCs w:val="20"/>
                    </w:rPr>
                    <w:t>Phone: 2412 922, Ext. 3</w:t>
                  </w:r>
                  <w:r w:rsidR="00CB55FB" w:rsidRPr="00AC77A0">
                    <w:rPr>
                      <w:rFonts w:ascii="Tahoma" w:hAnsi="Tahoma" w:cs="Tahoma"/>
                      <w:sz w:val="20"/>
                      <w:szCs w:val="20"/>
                    </w:rPr>
                    <w:t>62</w:t>
                  </w:r>
                </w:p>
                <w:p w14:paraId="435A7C87" w14:textId="77777777" w:rsidR="00E351FD" w:rsidRPr="00AC77A0" w:rsidRDefault="00E351FD" w:rsidP="00A54184">
                  <w:pPr>
                    <w:jc w:val="both"/>
                    <w:rPr>
                      <w:rFonts w:ascii="Tahoma" w:hAnsi="Tahoma" w:cs="Tahoma"/>
                      <w:color w:val="808080"/>
                      <w:sz w:val="20"/>
                      <w:szCs w:val="20"/>
                    </w:rPr>
                  </w:pPr>
                </w:p>
                <w:p w14:paraId="01681ECA" w14:textId="77777777" w:rsidR="00E351FD" w:rsidRPr="00AC77A0" w:rsidRDefault="00E351FD" w:rsidP="00A54184">
                  <w:pPr>
                    <w:jc w:val="both"/>
                    <w:rPr>
                      <w:rFonts w:ascii="Tahoma" w:hAnsi="Tahoma" w:cs="Tahoma"/>
                      <w:color w:val="808080"/>
                      <w:sz w:val="20"/>
                      <w:szCs w:val="20"/>
                    </w:rPr>
                  </w:pPr>
                  <w:r w:rsidRPr="00AC77A0">
                    <w:rPr>
                      <w:rFonts w:ascii="Tahoma" w:hAnsi="Tahoma" w:cs="Tahoma"/>
                      <w:color w:val="808080"/>
                      <w:sz w:val="20"/>
                      <w:szCs w:val="20"/>
                    </w:rPr>
                    <w:t>Information and Dissemination Unit</w:t>
                  </w:r>
                </w:p>
                <w:p w14:paraId="1271D366" w14:textId="77777777" w:rsidR="00E351FD" w:rsidRPr="00AC77A0" w:rsidRDefault="00E351FD" w:rsidP="00A54184">
                  <w:pPr>
                    <w:jc w:val="both"/>
                    <w:rPr>
                      <w:rFonts w:ascii="Tahoma" w:hAnsi="Tahoma" w:cs="Tahoma"/>
                      <w:color w:val="808080"/>
                      <w:sz w:val="20"/>
                      <w:szCs w:val="20"/>
                    </w:rPr>
                  </w:pPr>
                  <w:r w:rsidRPr="00AC77A0">
                    <w:rPr>
                      <w:rFonts w:ascii="Tahoma" w:hAnsi="Tahoma" w:cs="Tahoma"/>
                      <w:color w:val="808080"/>
                      <w:sz w:val="20"/>
                      <w:szCs w:val="20"/>
                    </w:rPr>
                    <w:t>Phone: +381 11 2401-284</w:t>
                  </w:r>
                </w:p>
                <w:p w14:paraId="33C7A362" w14:textId="77777777" w:rsidR="00E351FD" w:rsidRPr="00AC77A0" w:rsidRDefault="00E351FD" w:rsidP="00A54184">
                  <w:pPr>
                    <w:jc w:val="both"/>
                    <w:rPr>
                      <w:rFonts w:ascii="Tahoma" w:hAnsi="Tahoma" w:cs="Tahoma"/>
                      <w:sz w:val="20"/>
                      <w:szCs w:val="20"/>
                    </w:rPr>
                  </w:pPr>
                  <w:r w:rsidRPr="00AC77A0">
                    <w:rPr>
                      <w:rFonts w:ascii="Tahoma" w:hAnsi="Tahoma" w:cs="Tahoma"/>
                      <w:color w:val="808080"/>
                      <w:sz w:val="20"/>
                      <w:szCs w:val="20"/>
                    </w:rPr>
                    <w:t>stat@stat.gov.rs</w:t>
                  </w:r>
                </w:p>
                <w:p w14:paraId="0CD3B5D7" w14:textId="77777777" w:rsidR="00E351FD" w:rsidRPr="00AC77A0" w:rsidRDefault="00E351FD" w:rsidP="00A54184">
                  <w:pPr>
                    <w:jc w:val="both"/>
                    <w:rPr>
                      <w:rFonts w:ascii="Tahoma" w:hAnsi="Tahoma" w:cs="Tahoma"/>
                      <w:sz w:val="22"/>
                      <w:szCs w:val="22"/>
                    </w:rPr>
                  </w:pPr>
                </w:p>
              </w:tc>
              <w:tc>
                <w:tcPr>
                  <w:tcW w:w="5400" w:type="dxa"/>
                </w:tcPr>
                <w:p w14:paraId="30F3C306" w14:textId="3ABF6A51" w:rsidR="00E351FD" w:rsidRPr="00AC77A0" w:rsidRDefault="007823A5" w:rsidP="00A54184">
                  <w:pPr>
                    <w:rPr>
                      <w:rFonts w:ascii="Tahoma" w:hAnsi="Tahoma" w:cs="Tahoma"/>
                      <w:sz w:val="20"/>
                      <w:szCs w:val="20"/>
                    </w:rPr>
                  </w:pPr>
                  <w:r w:rsidRPr="00AC77A0">
                    <w:rPr>
                      <w:rFonts w:ascii="Tahoma" w:hAnsi="Tahoma" w:cs="Tahoma"/>
                      <w:sz w:val="20"/>
                      <w:szCs w:val="20"/>
                    </w:rPr>
                    <w:lastRenderedPageBreak/>
                    <w:t>Acting Director</w:t>
                  </w:r>
                  <w:r w:rsidR="00E351FD" w:rsidRPr="00AC77A0">
                    <w:rPr>
                      <w:rFonts w:ascii="Tahoma" w:hAnsi="Tahoma" w:cs="Tahoma"/>
                      <w:sz w:val="20"/>
                      <w:szCs w:val="20"/>
                    </w:rPr>
                    <w:t>,</w:t>
                  </w:r>
                </w:p>
                <w:p w14:paraId="128D8B12" w14:textId="7E5BD889" w:rsidR="00E351FD" w:rsidRPr="00AC77A0" w:rsidRDefault="007823A5" w:rsidP="00A54184">
                  <w:pPr>
                    <w:jc w:val="both"/>
                    <w:rPr>
                      <w:rFonts w:ascii="Tahoma" w:hAnsi="Tahoma" w:cs="Tahoma"/>
                      <w:color w:val="808080"/>
                      <w:sz w:val="20"/>
                      <w:szCs w:val="20"/>
                    </w:rPr>
                  </w:pPr>
                  <w:r w:rsidRPr="00AC77A0">
                    <w:rPr>
                      <w:rFonts w:ascii="Tahoma" w:hAnsi="Tahoma" w:cs="Tahoma"/>
                      <w:sz w:val="20"/>
                      <w:szCs w:val="20"/>
                    </w:rPr>
                    <w:t>Branko</w:t>
                  </w:r>
                  <w:r w:rsidR="00E351FD" w:rsidRPr="00AC77A0">
                    <w:rPr>
                      <w:rFonts w:ascii="Tahoma" w:hAnsi="Tahoma" w:cs="Tahoma"/>
                      <w:sz w:val="20"/>
                      <w:szCs w:val="20"/>
                    </w:rPr>
                    <w:t xml:space="preserve"> </w:t>
                  </w:r>
                  <w:r w:rsidRPr="00AC77A0">
                    <w:rPr>
                      <w:rFonts w:ascii="Tahoma" w:hAnsi="Tahoma" w:cs="Tahoma"/>
                      <w:sz w:val="20"/>
                      <w:szCs w:val="20"/>
                    </w:rPr>
                    <w:t>Josip</w:t>
                  </w:r>
                  <w:r w:rsidR="00E351FD" w:rsidRPr="00AC77A0">
                    <w:rPr>
                      <w:rFonts w:ascii="Tahoma" w:hAnsi="Tahoma" w:cs="Tahoma"/>
                      <w:sz w:val="20"/>
                      <w:szCs w:val="20"/>
                    </w:rPr>
                    <w:t>ović</w:t>
                  </w:r>
                </w:p>
                <w:p w14:paraId="5B1CF11D" w14:textId="77777777" w:rsidR="00E351FD" w:rsidRPr="00AC77A0" w:rsidRDefault="00E351FD" w:rsidP="00A54184">
                  <w:pPr>
                    <w:jc w:val="both"/>
                    <w:rPr>
                      <w:rFonts w:ascii="Tahoma" w:hAnsi="Tahoma" w:cs="Tahoma"/>
                      <w:sz w:val="20"/>
                      <w:szCs w:val="20"/>
                    </w:rPr>
                  </w:pPr>
                </w:p>
              </w:tc>
            </w:tr>
          </w:tbl>
          <w:p w14:paraId="38001E52" w14:textId="77777777" w:rsidR="00E351FD" w:rsidRPr="00AC77A0" w:rsidRDefault="00E351FD" w:rsidP="00A54184">
            <w:pPr>
              <w:tabs>
                <w:tab w:val="center" w:pos="0"/>
              </w:tabs>
              <w:jc w:val="both"/>
              <w:rPr>
                <w:rFonts w:ascii="Tahoma" w:hAnsi="Tahoma" w:cs="Tahoma"/>
                <w:color w:val="000000"/>
                <w:sz w:val="20"/>
                <w:szCs w:val="20"/>
              </w:rPr>
            </w:pPr>
          </w:p>
        </w:tc>
      </w:tr>
    </w:tbl>
    <w:p w14:paraId="1096BA20" w14:textId="77777777" w:rsidR="00DB5F88" w:rsidRPr="00AC77A0" w:rsidRDefault="00DB5F88" w:rsidP="00F06A7D"/>
    <w:sectPr w:rsidR="00DB5F88" w:rsidRPr="00AC77A0" w:rsidSect="00E351FD">
      <w:headerReference w:type="default" r:id="rId6"/>
      <w:footerReference w:type="default" r:id="rId7"/>
      <w:headerReference w:type="first" r:id="rId8"/>
      <w:pgSz w:w="12240" w:h="15840" w:code="1"/>
      <w:pgMar w:top="1440" w:right="1440" w:bottom="1440" w:left="1440" w:header="432" w:footer="432" w:gutter="0"/>
      <w:cols w:space="720"/>
      <w:vAlign w:val="both"/>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81832" w14:textId="77777777" w:rsidR="00D24660" w:rsidRDefault="00D24660">
      <w:r>
        <w:separator/>
      </w:r>
    </w:p>
  </w:endnote>
  <w:endnote w:type="continuationSeparator" w:id="0">
    <w:p w14:paraId="10CE69B8" w14:textId="77777777" w:rsidR="00D24660" w:rsidRDefault="00D24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4400"/>
      <w:gridCol w:w="4960"/>
    </w:tblGrid>
    <w:tr w:rsidR="00D37225" w:rsidRPr="00F260EC" w14:paraId="68132369" w14:textId="77777777" w:rsidTr="00F260EC">
      <w:tc>
        <w:tcPr>
          <w:tcW w:w="4788" w:type="dxa"/>
        </w:tcPr>
        <w:p w14:paraId="2018F907" w14:textId="77777777" w:rsidR="00622571" w:rsidRPr="00F260EC" w:rsidRDefault="00622571" w:rsidP="00C6339C">
          <w:pPr>
            <w:rPr>
              <w:rFonts w:ascii="Tahoma" w:hAnsi="Tahoma" w:cs="Tahoma"/>
              <w:color w:val="333333"/>
              <w:sz w:val="22"/>
              <w:szCs w:val="22"/>
            </w:rPr>
          </w:pPr>
        </w:p>
      </w:tc>
      <w:tc>
        <w:tcPr>
          <w:tcW w:w="5400" w:type="dxa"/>
        </w:tcPr>
        <w:p w14:paraId="7916504A" w14:textId="77777777" w:rsidR="00622571" w:rsidRPr="00F260EC" w:rsidRDefault="00622571" w:rsidP="002064CD">
          <w:pPr>
            <w:rPr>
              <w:rFonts w:ascii="Tahoma" w:hAnsi="Tahoma" w:cs="Tahoma"/>
              <w:color w:val="333333"/>
              <w:sz w:val="22"/>
              <w:szCs w:val="22"/>
              <w:lang w:val="sr-Cyrl-CS"/>
            </w:rPr>
          </w:pPr>
        </w:p>
      </w:tc>
    </w:tr>
    <w:tr w:rsidR="00D37225" w:rsidRPr="00F260EC" w14:paraId="4F29A8E0" w14:textId="77777777" w:rsidTr="00F260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88" w:type="dxa"/>
          <w:tcBorders>
            <w:top w:val="nil"/>
            <w:left w:val="nil"/>
            <w:bottom w:val="nil"/>
            <w:right w:val="nil"/>
          </w:tcBorders>
        </w:tcPr>
        <w:p w14:paraId="41426F27" w14:textId="77777777" w:rsidR="00622571" w:rsidRPr="00F260EC" w:rsidRDefault="00622571" w:rsidP="00F260EC">
          <w:pPr>
            <w:jc w:val="both"/>
            <w:rPr>
              <w:rFonts w:ascii="Tahoma" w:hAnsi="Tahoma" w:cs="Tahoma"/>
              <w:sz w:val="22"/>
              <w:szCs w:val="22"/>
            </w:rPr>
          </w:pPr>
        </w:p>
      </w:tc>
      <w:tc>
        <w:tcPr>
          <w:tcW w:w="5400" w:type="dxa"/>
          <w:tcBorders>
            <w:top w:val="nil"/>
            <w:left w:val="nil"/>
            <w:bottom w:val="nil"/>
            <w:right w:val="nil"/>
          </w:tcBorders>
        </w:tcPr>
        <w:p w14:paraId="2CAEF63F" w14:textId="77777777" w:rsidR="00622571" w:rsidRPr="00F260EC" w:rsidRDefault="00622571" w:rsidP="00F260EC">
          <w:pPr>
            <w:ind w:left="972"/>
            <w:jc w:val="both"/>
            <w:rPr>
              <w:rFonts w:ascii="Tahoma" w:hAnsi="Tahoma" w:cs="Tahoma"/>
              <w:sz w:val="20"/>
              <w:szCs w:val="20"/>
            </w:rPr>
          </w:pPr>
        </w:p>
      </w:tc>
    </w:tr>
  </w:tbl>
  <w:p w14:paraId="0C4078FD" w14:textId="77777777" w:rsidR="00622571" w:rsidRPr="00777121" w:rsidRDefault="00622571" w:rsidP="002064CD">
    <w:pPr>
      <w:pStyle w:val="Footer"/>
      <w:rPr>
        <w:lang w:val="sr-Cyrl-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EDD96" w14:textId="77777777" w:rsidR="00D24660" w:rsidRDefault="00D24660">
      <w:r>
        <w:separator/>
      </w:r>
    </w:p>
  </w:footnote>
  <w:footnote w:type="continuationSeparator" w:id="0">
    <w:p w14:paraId="66B8E957" w14:textId="77777777" w:rsidR="00D24660" w:rsidRDefault="00D246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insideH w:val="single" w:sz="4" w:space="0" w:color="auto"/>
      </w:tblBorders>
      <w:tblLayout w:type="fixed"/>
      <w:tblLook w:val="01E0" w:firstRow="1" w:lastRow="1" w:firstColumn="1" w:lastColumn="1" w:noHBand="0" w:noVBand="0"/>
    </w:tblPr>
    <w:tblGrid>
      <w:gridCol w:w="3708"/>
      <w:gridCol w:w="6588"/>
    </w:tblGrid>
    <w:tr w:rsidR="00D37225" w:rsidRPr="00F260EC" w14:paraId="7D8656B9" w14:textId="77777777" w:rsidTr="00F260EC">
      <w:tc>
        <w:tcPr>
          <w:tcW w:w="3708" w:type="dxa"/>
        </w:tcPr>
        <w:p w14:paraId="50884B0F" w14:textId="77777777" w:rsidR="00622571" w:rsidRPr="00F260EC" w:rsidRDefault="00622571" w:rsidP="002064CD">
          <w:pPr>
            <w:pStyle w:val="Header"/>
            <w:rPr>
              <w:rFonts w:ascii="Tahoma" w:hAnsi="Tahoma" w:cs="Tahoma"/>
              <w:sz w:val="20"/>
              <w:szCs w:val="20"/>
              <w:lang w:val="sr-Cyrl-CS"/>
            </w:rPr>
          </w:pPr>
        </w:p>
      </w:tc>
      <w:tc>
        <w:tcPr>
          <w:tcW w:w="6588" w:type="dxa"/>
        </w:tcPr>
        <w:p w14:paraId="17B45DFC" w14:textId="77777777" w:rsidR="00622571" w:rsidRPr="00F260EC" w:rsidRDefault="00622571" w:rsidP="00F260EC">
          <w:pPr>
            <w:pStyle w:val="Header"/>
            <w:jc w:val="right"/>
            <w:rPr>
              <w:rFonts w:ascii="Tahoma" w:hAnsi="Tahoma" w:cs="Tahoma"/>
              <w:sz w:val="20"/>
              <w:szCs w:val="20"/>
              <w:lang w:val="sr-Cyrl-CS"/>
            </w:rPr>
          </w:pPr>
        </w:p>
      </w:tc>
    </w:tr>
  </w:tbl>
  <w:p w14:paraId="25B9F0AB" w14:textId="77777777" w:rsidR="00622571" w:rsidRPr="00550E46" w:rsidRDefault="00622571" w:rsidP="002064CD">
    <w:pPr>
      <w:pStyle w:val="Header"/>
      <w:rPr>
        <w:lang w:val="sr-Cyrl-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76" w:type="dxa"/>
      <w:tblBorders>
        <w:insideH w:val="single" w:sz="4" w:space="0" w:color="auto"/>
      </w:tblBorders>
      <w:tblLayout w:type="fixed"/>
      <w:tblLook w:val="01E0" w:firstRow="1" w:lastRow="1" w:firstColumn="1" w:lastColumn="1" w:noHBand="0" w:noVBand="0"/>
    </w:tblPr>
    <w:tblGrid>
      <w:gridCol w:w="3888"/>
      <w:gridCol w:w="6588"/>
    </w:tblGrid>
    <w:tr w:rsidR="00D37225" w:rsidRPr="00F260EC" w14:paraId="02CFF0C3" w14:textId="77777777" w:rsidTr="005F0D4D">
      <w:tc>
        <w:tcPr>
          <w:tcW w:w="3888" w:type="dxa"/>
        </w:tcPr>
        <w:p w14:paraId="3DB577A4" w14:textId="77777777" w:rsidR="00622571" w:rsidRPr="00F260EC" w:rsidRDefault="00443993" w:rsidP="00F260EC">
          <w:pPr>
            <w:pStyle w:val="Header"/>
            <w:ind w:right="972"/>
            <w:rPr>
              <w:rFonts w:ascii="Tahoma" w:hAnsi="Tahoma" w:cs="Tahoma"/>
              <w:sz w:val="20"/>
              <w:szCs w:val="20"/>
            </w:rPr>
          </w:pPr>
          <w:r>
            <w:rPr>
              <w:noProof/>
              <w:lang w:val="en-US"/>
            </w:rPr>
            <w:drawing>
              <wp:inline distT="0" distB="0" distL="0" distR="0" wp14:anchorId="5DD73DE6" wp14:editId="256E90E0">
                <wp:extent cx="1569720" cy="708660"/>
                <wp:effectExtent l="19050" t="0" r="0" b="0"/>
                <wp:docPr id="1" name="Picture 1" descr="R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ZS"/>
                        <pic:cNvPicPr>
                          <a:picLocks noChangeAspect="1" noChangeArrowheads="1"/>
                        </pic:cNvPicPr>
                      </pic:nvPicPr>
                      <pic:blipFill>
                        <a:blip r:embed="rId1"/>
                        <a:srcRect/>
                        <a:stretch>
                          <a:fillRect/>
                        </a:stretch>
                      </pic:blipFill>
                      <pic:spPr bwMode="auto">
                        <a:xfrm>
                          <a:off x="0" y="0"/>
                          <a:ext cx="1569720" cy="708660"/>
                        </a:xfrm>
                        <a:prstGeom prst="rect">
                          <a:avLst/>
                        </a:prstGeom>
                        <a:noFill/>
                        <a:ln w="9525">
                          <a:noFill/>
                          <a:miter lim="800000"/>
                          <a:headEnd/>
                          <a:tailEnd/>
                        </a:ln>
                      </pic:spPr>
                    </pic:pic>
                  </a:graphicData>
                </a:graphic>
              </wp:inline>
            </w:drawing>
          </w:r>
          <w:r w:rsidRPr="00F260EC">
            <w:rPr>
              <w:rFonts w:ascii="Tahoma" w:hAnsi="Tahoma" w:cs="Tahoma"/>
              <w:sz w:val="20"/>
              <w:szCs w:val="20"/>
            </w:rPr>
            <w:t>Republic of Serbia</w:t>
          </w:r>
        </w:p>
        <w:p w14:paraId="75BB9349" w14:textId="77777777" w:rsidR="00622571" w:rsidRPr="00F260EC" w:rsidRDefault="00443993" w:rsidP="002064CD">
          <w:pPr>
            <w:pStyle w:val="Header"/>
            <w:rPr>
              <w:rFonts w:ascii="Tahoma" w:hAnsi="Tahoma" w:cs="Tahoma"/>
              <w:sz w:val="20"/>
              <w:szCs w:val="20"/>
              <w:lang w:val="sr-Cyrl-CS"/>
            </w:rPr>
          </w:pPr>
          <w:r w:rsidRPr="00F260EC">
            <w:rPr>
              <w:rFonts w:ascii="Tahoma" w:hAnsi="Tahoma" w:cs="Tahoma"/>
              <w:sz w:val="20"/>
              <w:szCs w:val="20"/>
            </w:rPr>
            <w:t xml:space="preserve">Statistical Office of the </w:t>
          </w:r>
          <w:smartTag w:uri="urn:schemas-microsoft-com:office:smarttags" w:element="place">
            <w:smartTag w:uri="urn:schemas-microsoft-com:office:smarttags" w:element="PlaceType">
              <w:r w:rsidRPr="00F260EC">
                <w:rPr>
                  <w:rFonts w:ascii="Tahoma" w:hAnsi="Tahoma" w:cs="Tahoma"/>
                  <w:sz w:val="20"/>
                  <w:szCs w:val="20"/>
                </w:rPr>
                <w:t>Republic</w:t>
              </w:r>
            </w:smartTag>
            <w:r w:rsidRPr="00F260EC">
              <w:rPr>
                <w:rFonts w:ascii="Tahoma" w:hAnsi="Tahoma" w:cs="Tahoma"/>
                <w:sz w:val="20"/>
                <w:szCs w:val="20"/>
              </w:rPr>
              <w:t xml:space="preserve"> of </w:t>
            </w:r>
            <w:smartTag w:uri="urn:schemas-microsoft-com:office:smarttags" w:element="PlaceName">
              <w:r w:rsidRPr="00F260EC">
                <w:rPr>
                  <w:rFonts w:ascii="Tahoma" w:hAnsi="Tahoma" w:cs="Tahoma"/>
                  <w:sz w:val="20"/>
                  <w:szCs w:val="20"/>
                </w:rPr>
                <w:t>Serbia</w:t>
              </w:r>
            </w:smartTag>
          </w:smartTag>
        </w:p>
      </w:tc>
      <w:tc>
        <w:tcPr>
          <w:tcW w:w="6588" w:type="dxa"/>
        </w:tcPr>
        <w:p w14:paraId="380E4703" w14:textId="77777777" w:rsidR="00622571" w:rsidRPr="00F260EC" w:rsidRDefault="00443993" w:rsidP="00F260EC">
          <w:pPr>
            <w:pStyle w:val="Header"/>
            <w:jc w:val="right"/>
            <w:rPr>
              <w:rFonts w:ascii="Tahoma" w:hAnsi="Tahoma" w:cs="Tahoma"/>
              <w:sz w:val="32"/>
              <w:szCs w:val="32"/>
            </w:rPr>
          </w:pPr>
          <w:r w:rsidRPr="00F260EC">
            <w:rPr>
              <w:rFonts w:ascii="Tahoma" w:hAnsi="Tahoma" w:cs="Tahoma"/>
              <w:sz w:val="32"/>
              <w:szCs w:val="32"/>
            </w:rPr>
            <w:t>Press Release</w:t>
          </w:r>
        </w:p>
        <w:p w14:paraId="16C722B9" w14:textId="77777777" w:rsidR="00622571" w:rsidRPr="00F260EC" w:rsidRDefault="00622571" w:rsidP="00F260EC">
          <w:pPr>
            <w:pStyle w:val="Header"/>
            <w:jc w:val="right"/>
            <w:rPr>
              <w:rFonts w:ascii="Tahoma" w:hAnsi="Tahoma" w:cs="Tahoma"/>
              <w:lang w:val="sr-Cyrl-CS"/>
            </w:rPr>
          </w:pPr>
        </w:p>
        <w:p w14:paraId="708BC482" w14:textId="77777777" w:rsidR="00622571" w:rsidRPr="00F260EC" w:rsidRDefault="00443993" w:rsidP="00F260EC">
          <w:pPr>
            <w:pStyle w:val="Header"/>
            <w:jc w:val="right"/>
            <w:rPr>
              <w:rFonts w:ascii="Tahoma" w:hAnsi="Tahoma" w:cs="Tahoma"/>
              <w:sz w:val="20"/>
              <w:szCs w:val="20"/>
              <w:lang w:val="sr-Cyrl-CS"/>
            </w:rPr>
          </w:pPr>
          <w:smartTag w:uri="urn:schemas-microsoft-com:office:smarttags" w:element="City">
            <w:smartTag w:uri="urn:schemas-microsoft-com:office:smarttags" w:element="place">
              <w:r w:rsidRPr="00F260EC">
                <w:rPr>
                  <w:rFonts w:ascii="Tahoma" w:hAnsi="Tahoma" w:cs="Tahoma"/>
                  <w:sz w:val="20"/>
                  <w:szCs w:val="20"/>
                </w:rPr>
                <w:t>Belgrade</w:t>
              </w:r>
            </w:smartTag>
          </w:smartTag>
          <w:r w:rsidRPr="00F260EC">
            <w:rPr>
              <w:rFonts w:ascii="Tahoma" w:hAnsi="Tahoma" w:cs="Tahoma"/>
              <w:sz w:val="20"/>
              <w:szCs w:val="20"/>
              <w:lang w:val="sr-Cyrl-CS"/>
            </w:rPr>
            <w:t xml:space="preserve">, </w:t>
          </w:r>
          <w:r w:rsidRPr="00F260EC">
            <w:rPr>
              <w:rFonts w:ascii="Tahoma" w:hAnsi="Tahoma" w:cs="Tahoma"/>
              <w:sz w:val="20"/>
              <w:szCs w:val="20"/>
            </w:rPr>
            <w:t>Milana Rakica</w:t>
          </w:r>
          <w:r w:rsidRPr="00F260EC">
            <w:rPr>
              <w:rFonts w:ascii="Tahoma" w:hAnsi="Tahoma" w:cs="Tahoma"/>
              <w:sz w:val="20"/>
              <w:szCs w:val="20"/>
              <w:lang w:val="sr-Cyrl-CS"/>
            </w:rPr>
            <w:t xml:space="preserve"> 5</w:t>
          </w:r>
        </w:p>
        <w:p w14:paraId="3CFE9CFF" w14:textId="77777777" w:rsidR="00622571" w:rsidRPr="00F260EC" w:rsidRDefault="00443993" w:rsidP="00F260EC">
          <w:pPr>
            <w:pStyle w:val="Header"/>
            <w:jc w:val="right"/>
            <w:rPr>
              <w:rFonts w:ascii="Tahoma" w:hAnsi="Tahoma" w:cs="Tahoma"/>
              <w:sz w:val="20"/>
              <w:szCs w:val="20"/>
              <w:lang w:val="sr-Cyrl-CS"/>
            </w:rPr>
          </w:pPr>
          <w:r w:rsidRPr="00F260EC">
            <w:rPr>
              <w:rFonts w:ascii="Tahoma" w:hAnsi="Tahoma" w:cs="Tahoma"/>
              <w:sz w:val="20"/>
              <w:szCs w:val="20"/>
            </w:rPr>
            <w:t xml:space="preserve">Phone+381 11 </w:t>
          </w:r>
          <w:r w:rsidRPr="00F260EC">
            <w:rPr>
              <w:rFonts w:ascii="Tahoma" w:hAnsi="Tahoma" w:cs="Tahoma"/>
              <w:sz w:val="20"/>
              <w:szCs w:val="20"/>
              <w:lang w:val="sr-Cyrl-CS"/>
            </w:rPr>
            <w:t>2412-922</w:t>
          </w:r>
        </w:p>
        <w:p w14:paraId="0ED9C086" w14:textId="77777777" w:rsidR="00622571" w:rsidRPr="00F260EC" w:rsidRDefault="00443993" w:rsidP="00F260EC">
          <w:pPr>
            <w:pStyle w:val="Header"/>
            <w:jc w:val="right"/>
            <w:rPr>
              <w:rFonts w:ascii="Tahoma" w:hAnsi="Tahoma" w:cs="Tahoma"/>
              <w:sz w:val="20"/>
              <w:szCs w:val="20"/>
              <w:lang w:val="sr-Cyrl-CS"/>
            </w:rPr>
          </w:pPr>
          <w:r w:rsidRPr="00F260EC">
            <w:rPr>
              <w:rFonts w:ascii="Tahoma" w:hAnsi="Tahoma" w:cs="Tahoma"/>
              <w:sz w:val="20"/>
              <w:szCs w:val="20"/>
            </w:rPr>
            <w:t>www</w:t>
          </w:r>
          <w:r w:rsidRPr="00F260EC">
            <w:rPr>
              <w:rFonts w:ascii="Tahoma" w:hAnsi="Tahoma" w:cs="Tahoma"/>
              <w:sz w:val="20"/>
              <w:szCs w:val="20"/>
              <w:lang w:val="sr-Cyrl-CS"/>
            </w:rPr>
            <w:t>.</w:t>
          </w:r>
          <w:r w:rsidRPr="00F260EC">
            <w:rPr>
              <w:rFonts w:ascii="Tahoma" w:hAnsi="Tahoma" w:cs="Tahoma"/>
              <w:sz w:val="20"/>
              <w:szCs w:val="20"/>
            </w:rPr>
            <w:t>stat</w:t>
          </w:r>
          <w:r w:rsidRPr="00F260EC">
            <w:rPr>
              <w:rFonts w:ascii="Tahoma" w:hAnsi="Tahoma" w:cs="Tahoma"/>
              <w:sz w:val="20"/>
              <w:szCs w:val="20"/>
              <w:lang w:val="sr-Cyrl-CS"/>
            </w:rPr>
            <w:t>.</w:t>
          </w:r>
          <w:r w:rsidRPr="00F260EC">
            <w:rPr>
              <w:rFonts w:ascii="Tahoma" w:hAnsi="Tahoma" w:cs="Tahoma"/>
              <w:sz w:val="20"/>
              <w:szCs w:val="20"/>
            </w:rPr>
            <w:t>gov</w:t>
          </w:r>
          <w:r w:rsidRPr="00F260EC">
            <w:rPr>
              <w:rFonts w:ascii="Tahoma" w:hAnsi="Tahoma" w:cs="Tahoma"/>
              <w:sz w:val="20"/>
              <w:szCs w:val="20"/>
              <w:lang w:val="sr-Cyrl-CS"/>
            </w:rPr>
            <w:t>.</w:t>
          </w:r>
          <w:r w:rsidRPr="00F260EC">
            <w:rPr>
              <w:rFonts w:ascii="Tahoma" w:hAnsi="Tahoma" w:cs="Tahoma"/>
              <w:sz w:val="20"/>
              <w:szCs w:val="20"/>
            </w:rPr>
            <w:t>rs</w:t>
          </w:r>
        </w:p>
        <w:p w14:paraId="52BB9F02" w14:textId="77777777" w:rsidR="00622571" w:rsidRPr="00F260EC" w:rsidRDefault="00622571" w:rsidP="00F260EC">
          <w:pPr>
            <w:pStyle w:val="Header"/>
            <w:jc w:val="right"/>
            <w:rPr>
              <w:rFonts w:ascii="Tahoma" w:hAnsi="Tahoma" w:cs="Tahoma"/>
              <w:sz w:val="20"/>
              <w:szCs w:val="20"/>
              <w:lang w:val="sr-Cyrl-CS"/>
            </w:rPr>
          </w:pPr>
          <w:hyperlink r:id="rId2" w:history="1">
            <w:r w:rsidRPr="005B3E83">
              <w:rPr>
                <w:rStyle w:val="Hyperlink"/>
                <w:rFonts w:ascii="Tahoma" w:hAnsi="Tahoma" w:cs="Tahoma"/>
                <w:sz w:val="20"/>
                <w:szCs w:val="20"/>
              </w:rPr>
              <w:t>stat</w:t>
            </w:r>
            <w:r w:rsidRPr="005B3E83">
              <w:rPr>
                <w:rStyle w:val="Hyperlink"/>
                <w:rFonts w:ascii="Tahoma" w:hAnsi="Tahoma" w:cs="Tahoma"/>
                <w:sz w:val="20"/>
                <w:szCs w:val="20"/>
                <w:lang w:val="sr-Cyrl-CS"/>
              </w:rPr>
              <w:t>@</w:t>
            </w:r>
            <w:r w:rsidRPr="005B3E83">
              <w:rPr>
                <w:rStyle w:val="Hyperlink"/>
                <w:rFonts w:ascii="Tahoma" w:hAnsi="Tahoma" w:cs="Tahoma"/>
                <w:sz w:val="20"/>
                <w:szCs w:val="20"/>
              </w:rPr>
              <w:t>stat</w:t>
            </w:r>
            <w:r w:rsidRPr="005B3E83">
              <w:rPr>
                <w:rStyle w:val="Hyperlink"/>
                <w:rFonts w:ascii="Tahoma" w:hAnsi="Tahoma" w:cs="Tahoma"/>
                <w:sz w:val="20"/>
                <w:szCs w:val="20"/>
                <w:lang w:val="sr-Cyrl-CS"/>
              </w:rPr>
              <w:t>.</w:t>
            </w:r>
            <w:r w:rsidRPr="005B3E83">
              <w:rPr>
                <w:rStyle w:val="Hyperlink"/>
                <w:rFonts w:ascii="Tahoma" w:hAnsi="Tahoma" w:cs="Tahoma"/>
                <w:sz w:val="20"/>
                <w:szCs w:val="20"/>
              </w:rPr>
              <w:t>gov</w:t>
            </w:r>
            <w:r w:rsidRPr="005B3E83">
              <w:rPr>
                <w:rStyle w:val="Hyperlink"/>
                <w:rFonts w:ascii="Tahoma" w:hAnsi="Tahoma" w:cs="Tahoma"/>
                <w:sz w:val="20"/>
                <w:szCs w:val="20"/>
                <w:lang w:val="sr-Cyrl-CS"/>
              </w:rPr>
              <w:t>.</w:t>
            </w:r>
            <w:r w:rsidRPr="005B3E83">
              <w:rPr>
                <w:rStyle w:val="Hyperlink"/>
                <w:rFonts w:ascii="Tahoma" w:hAnsi="Tahoma" w:cs="Tahoma"/>
                <w:sz w:val="20"/>
                <w:szCs w:val="20"/>
              </w:rPr>
              <w:t>rs</w:t>
            </w:r>
          </w:hyperlink>
        </w:p>
      </w:tc>
    </w:tr>
  </w:tbl>
  <w:p w14:paraId="7E5424EE" w14:textId="77777777" w:rsidR="00622571" w:rsidRPr="00E863C5" w:rsidRDefault="00622571">
    <w:pPr>
      <w:pStyle w:val="Header"/>
      <w:rPr>
        <w:lang w:val="sr-Cyrl-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1FD"/>
    <w:rsid w:val="00033E62"/>
    <w:rsid w:val="000A33DD"/>
    <w:rsid w:val="000B3184"/>
    <w:rsid w:val="0015080F"/>
    <w:rsid w:val="0018508B"/>
    <w:rsid w:val="001B100A"/>
    <w:rsid w:val="0022734A"/>
    <w:rsid w:val="00285D60"/>
    <w:rsid w:val="002B27D9"/>
    <w:rsid w:val="002B7267"/>
    <w:rsid w:val="002C0BF6"/>
    <w:rsid w:val="002F7BBD"/>
    <w:rsid w:val="003324F9"/>
    <w:rsid w:val="003325F8"/>
    <w:rsid w:val="003926FB"/>
    <w:rsid w:val="003D3DCB"/>
    <w:rsid w:val="003E20DB"/>
    <w:rsid w:val="00404DB1"/>
    <w:rsid w:val="00432616"/>
    <w:rsid w:val="0043784F"/>
    <w:rsid w:val="00437A25"/>
    <w:rsid w:val="00443993"/>
    <w:rsid w:val="00446D14"/>
    <w:rsid w:val="004C27D8"/>
    <w:rsid w:val="005435B6"/>
    <w:rsid w:val="005D3274"/>
    <w:rsid w:val="0061602C"/>
    <w:rsid w:val="00622571"/>
    <w:rsid w:val="006273AF"/>
    <w:rsid w:val="00641FAE"/>
    <w:rsid w:val="00670E99"/>
    <w:rsid w:val="007823A5"/>
    <w:rsid w:val="007F05CE"/>
    <w:rsid w:val="00872100"/>
    <w:rsid w:val="008B55FC"/>
    <w:rsid w:val="008B6797"/>
    <w:rsid w:val="008F0894"/>
    <w:rsid w:val="008F1DFA"/>
    <w:rsid w:val="00980A64"/>
    <w:rsid w:val="009A5C13"/>
    <w:rsid w:val="009B6FDF"/>
    <w:rsid w:val="009F5201"/>
    <w:rsid w:val="00A01658"/>
    <w:rsid w:val="00A304C5"/>
    <w:rsid w:val="00AC77A0"/>
    <w:rsid w:val="00AF62BE"/>
    <w:rsid w:val="00B203C9"/>
    <w:rsid w:val="00B4467B"/>
    <w:rsid w:val="00B75FC7"/>
    <w:rsid w:val="00BC35C7"/>
    <w:rsid w:val="00BD1D93"/>
    <w:rsid w:val="00CB55FB"/>
    <w:rsid w:val="00CC5B15"/>
    <w:rsid w:val="00CF7450"/>
    <w:rsid w:val="00D24660"/>
    <w:rsid w:val="00D27F86"/>
    <w:rsid w:val="00D5069C"/>
    <w:rsid w:val="00D71565"/>
    <w:rsid w:val="00DB5F88"/>
    <w:rsid w:val="00DC3DB5"/>
    <w:rsid w:val="00E351FD"/>
    <w:rsid w:val="00E83DF4"/>
    <w:rsid w:val="00ED6F0F"/>
    <w:rsid w:val="00F056C6"/>
    <w:rsid w:val="00F06A7D"/>
    <w:rsid w:val="00F91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0C836C6"/>
  <w15:chartTrackingRefBased/>
  <w15:docId w15:val="{F739D46B-AEAD-479F-9111-3030618BA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1FD"/>
    <w:pPr>
      <w:spacing w:after="0" w:line="240" w:lineRule="auto"/>
    </w:pPr>
    <w:rPr>
      <w:rFonts w:ascii="Times New Roman" w:eastAsia="Times New Roman" w:hAnsi="Times New Roman" w:cs="Times New Roman"/>
      <w:kern w:val="0"/>
      <w:sz w:val="24"/>
      <w:szCs w:val="24"/>
      <w:lang w:val="en-GB"/>
      <w14:ligatures w14:val="none"/>
    </w:rPr>
  </w:style>
  <w:style w:type="paragraph" w:styleId="Heading1">
    <w:name w:val="heading 1"/>
    <w:basedOn w:val="Normal"/>
    <w:next w:val="Normal"/>
    <w:link w:val="Heading1Char"/>
    <w:uiPriority w:val="9"/>
    <w:qFormat/>
    <w:rsid w:val="00E351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51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51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51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51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51F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51F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51F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51F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51FD"/>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E351FD"/>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E351FD"/>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E351FD"/>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E351FD"/>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E351FD"/>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E351FD"/>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E351FD"/>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E351FD"/>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E351F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51FD"/>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E351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51FD"/>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E351FD"/>
    <w:pPr>
      <w:spacing w:before="160"/>
      <w:jc w:val="center"/>
    </w:pPr>
    <w:rPr>
      <w:i/>
      <w:iCs/>
      <w:color w:val="404040" w:themeColor="text1" w:themeTint="BF"/>
    </w:rPr>
  </w:style>
  <w:style w:type="character" w:customStyle="1" w:styleId="QuoteChar">
    <w:name w:val="Quote Char"/>
    <w:basedOn w:val="DefaultParagraphFont"/>
    <w:link w:val="Quote"/>
    <w:uiPriority w:val="29"/>
    <w:rsid w:val="00E351FD"/>
    <w:rPr>
      <w:i/>
      <w:iCs/>
      <w:color w:val="404040" w:themeColor="text1" w:themeTint="BF"/>
      <w:lang w:val="en-GB"/>
    </w:rPr>
  </w:style>
  <w:style w:type="paragraph" w:styleId="ListParagraph">
    <w:name w:val="List Paragraph"/>
    <w:basedOn w:val="Normal"/>
    <w:uiPriority w:val="34"/>
    <w:qFormat/>
    <w:rsid w:val="00E351FD"/>
    <w:pPr>
      <w:ind w:left="720"/>
      <w:contextualSpacing/>
    </w:pPr>
  </w:style>
  <w:style w:type="character" w:styleId="IntenseEmphasis">
    <w:name w:val="Intense Emphasis"/>
    <w:basedOn w:val="DefaultParagraphFont"/>
    <w:uiPriority w:val="21"/>
    <w:qFormat/>
    <w:rsid w:val="00E351FD"/>
    <w:rPr>
      <w:i/>
      <w:iCs/>
      <w:color w:val="0F4761" w:themeColor="accent1" w:themeShade="BF"/>
    </w:rPr>
  </w:style>
  <w:style w:type="paragraph" w:styleId="IntenseQuote">
    <w:name w:val="Intense Quote"/>
    <w:basedOn w:val="Normal"/>
    <w:next w:val="Normal"/>
    <w:link w:val="IntenseQuoteChar"/>
    <w:uiPriority w:val="30"/>
    <w:qFormat/>
    <w:rsid w:val="00E351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51FD"/>
    <w:rPr>
      <w:i/>
      <w:iCs/>
      <w:color w:val="0F4761" w:themeColor="accent1" w:themeShade="BF"/>
      <w:lang w:val="en-GB"/>
    </w:rPr>
  </w:style>
  <w:style w:type="character" w:styleId="IntenseReference">
    <w:name w:val="Intense Reference"/>
    <w:basedOn w:val="DefaultParagraphFont"/>
    <w:uiPriority w:val="32"/>
    <w:qFormat/>
    <w:rsid w:val="00E351FD"/>
    <w:rPr>
      <w:b/>
      <w:bCs/>
      <w:smallCaps/>
      <w:color w:val="0F4761" w:themeColor="accent1" w:themeShade="BF"/>
      <w:spacing w:val="5"/>
    </w:rPr>
  </w:style>
  <w:style w:type="paragraph" w:styleId="Header">
    <w:name w:val="header"/>
    <w:basedOn w:val="Normal"/>
    <w:link w:val="HeaderChar"/>
    <w:rsid w:val="00E351FD"/>
    <w:pPr>
      <w:tabs>
        <w:tab w:val="center" w:pos="4320"/>
        <w:tab w:val="right" w:pos="8640"/>
      </w:tabs>
    </w:pPr>
  </w:style>
  <w:style w:type="character" w:customStyle="1" w:styleId="HeaderChar">
    <w:name w:val="Header Char"/>
    <w:basedOn w:val="DefaultParagraphFont"/>
    <w:link w:val="Header"/>
    <w:rsid w:val="00E351FD"/>
    <w:rPr>
      <w:rFonts w:ascii="Times New Roman" w:eastAsia="Times New Roman" w:hAnsi="Times New Roman" w:cs="Times New Roman"/>
      <w:kern w:val="0"/>
      <w:sz w:val="24"/>
      <w:szCs w:val="24"/>
      <w:lang w:val="en-GB"/>
      <w14:ligatures w14:val="none"/>
    </w:rPr>
  </w:style>
  <w:style w:type="paragraph" w:styleId="Footer">
    <w:name w:val="footer"/>
    <w:basedOn w:val="Normal"/>
    <w:link w:val="FooterChar"/>
    <w:rsid w:val="00E351FD"/>
    <w:pPr>
      <w:tabs>
        <w:tab w:val="center" w:pos="4320"/>
        <w:tab w:val="right" w:pos="8640"/>
      </w:tabs>
    </w:pPr>
  </w:style>
  <w:style w:type="character" w:customStyle="1" w:styleId="FooterChar">
    <w:name w:val="Footer Char"/>
    <w:basedOn w:val="DefaultParagraphFont"/>
    <w:link w:val="Footer"/>
    <w:rsid w:val="00E351FD"/>
    <w:rPr>
      <w:rFonts w:ascii="Times New Roman" w:eastAsia="Times New Roman" w:hAnsi="Times New Roman" w:cs="Times New Roman"/>
      <w:kern w:val="0"/>
      <w:sz w:val="24"/>
      <w:szCs w:val="24"/>
      <w:lang w:val="en-GB"/>
      <w14:ligatures w14:val="none"/>
    </w:rPr>
  </w:style>
  <w:style w:type="paragraph" w:styleId="BodyTextIndent">
    <w:name w:val="Body Text Indent"/>
    <w:basedOn w:val="Normal"/>
    <w:link w:val="BodyTextIndentChar"/>
    <w:rsid w:val="00E351FD"/>
    <w:pPr>
      <w:spacing w:after="120"/>
      <w:ind w:left="360"/>
    </w:pPr>
  </w:style>
  <w:style w:type="character" w:customStyle="1" w:styleId="BodyTextIndentChar">
    <w:name w:val="Body Text Indent Char"/>
    <w:basedOn w:val="DefaultParagraphFont"/>
    <w:link w:val="BodyTextIndent"/>
    <w:rsid w:val="00E351FD"/>
    <w:rPr>
      <w:rFonts w:ascii="Times New Roman" w:eastAsia="Times New Roman" w:hAnsi="Times New Roman" w:cs="Times New Roman"/>
      <w:kern w:val="0"/>
      <w:sz w:val="24"/>
      <w:szCs w:val="24"/>
      <w:lang w:val="en-GB"/>
      <w14:ligatures w14:val="none"/>
    </w:rPr>
  </w:style>
  <w:style w:type="paragraph" w:styleId="BodyText2">
    <w:name w:val="Body Text 2"/>
    <w:basedOn w:val="Normal"/>
    <w:link w:val="BodyText2Char"/>
    <w:rsid w:val="00E351FD"/>
    <w:pPr>
      <w:spacing w:after="120" w:line="480" w:lineRule="auto"/>
    </w:pPr>
  </w:style>
  <w:style w:type="character" w:customStyle="1" w:styleId="BodyText2Char">
    <w:name w:val="Body Text 2 Char"/>
    <w:basedOn w:val="DefaultParagraphFont"/>
    <w:link w:val="BodyText2"/>
    <w:rsid w:val="00E351FD"/>
    <w:rPr>
      <w:rFonts w:ascii="Times New Roman" w:eastAsia="Times New Roman" w:hAnsi="Times New Roman" w:cs="Times New Roman"/>
      <w:kern w:val="0"/>
      <w:sz w:val="24"/>
      <w:szCs w:val="24"/>
      <w:lang w:val="en-GB"/>
      <w14:ligatures w14:val="none"/>
    </w:rPr>
  </w:style>
  <w:style w:type="paragraph" w:styleId="BodyText3">
    <w:name w:val="Body Text 3"/>
    <w:basedOn w:val="Normal"/>
    <w:link w:val="BodyText3Char"/>
    <w:rsid w:val="00E351FD"/>
    <w:pPr>
      <w:spacing w:after="120"/>
    </w:pPr>
    <w:rPr>
      <w:sz w:val="16"/>
      <w:szCs w:val="16"/>
    </w:rPr>
  </w:style>
  <w:style w:type="character" w:customStyle="1" w:styleId="BodyText3Char">
    <w:name w:val="Body Text 3 Char"/>
    <w:basedOn w:val="DefaultParagraphFont"/>
    <w:link w:val="BodyText3"/>
    <w:rsid w:val="00E351FD"/>
    <w:rPr>
      <w:rFonts w:ascii="Times New Roman" w:eastAsia="Times New Roman" w:hAnsi="Times New Roman" w:cs="Times New Roman"/>
      <w:kern w:val="0"/>
      <w:sz w:val="16"/>
      <w:szCs w:val="16"/>
      <w:lang w:val="en-GB"/>
      <w14:ligatures w14:val="none"/>
    </w:rPr>
  </w:style>
  <w:style w:type="paragraph" w:styleId="BodyTextIndent2">
    <w:name w:val="Body Text Indent 2"/>
    <w:basedOn w:val="Normal"/>
    <w:link w:val="BodyTextIndent2Char"/>
    <w:rsid w:val="00E351FD"/>
    <w:pPr>
      <w:spacing w:after="120" w:line="480" w:lineRule="auto"/>
      <w:ind w:left="360"/>
    </w:pPr>
  </w:style>
  <w:style w:type="character" w:customStyle="1" w:styleId="BodyTextIndent2Char">
    <w:name w:val="Body Text Indent 2 Char"/>
    <w:basedOn w:val="DefaultParagraphFont"/>
    <w:link w:val="BodyTextIndent2"/>
    <w:rsid w:val="00E351FD"/>
    <w:rPr>
      <w:rFonts w:ascii="Times New Roman" w:eastAsia="Times New Roman" w:hAnsi="Times New Roman" w:cs="Times New Roman"/>
      <w:kern w:val="0"/>
      <w:sz w:val="24"/>
      <w:szCs w:val="24"/>
      <w:lang w:val="en-GB"/>
      <w14:ligatures w14:val="none"/>
    </w:rPr>
  </w:style>
  <w:style w:type="character" w:styleId="Hyperlink">
    <w:name w:val="Hyperlink"/>
    <w:basedOn w:val="DefaultParagraphFont"/>
    <w:unhideWhenUsed/>
    <w:rsid w:val="00E351F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mailto:stat@stat.gov.r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210</TotalTime>
  <Pages>3</Pages>
  <Words>951</Words>
  <Characters>5426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Katarina Kalicanin</dc:creator>
  <cp:keywords/>
  <dc:description/>
  <cp:lastModifiedBy>Marija Milic</cp:lastModifiedBy>
  <cp:revision>29</cp:revision>
  <dcterms:created xsi:type="dcterms:W3CDTF">2024-07-11T06:30:00Z</dcterms:created>
  <dcterms:modified xsi:type="dcterms:W3CDTF">2026-07-13T06:04:00Z</dcterms:modified>
</cp:coreProperties>
</file>