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7E0B11" w:rsidRPr="009A1439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20FD8E8D" w:rsidR="007E0B11" w:rsidRPr="009A1439" w:rsidRDefault="004D34A1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June</w:t>
            </w:r>
            <w:r w:rsidR="002802D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30</w:t>
            </w:r>
            <w:r w:rsidR="000C0658" w:rsidRPr="009A143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9A1439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9A1439">
              <w:rPr>
                <w:rFonts w:ascii="Tahoma" w:hAnsi="Tahoma" w:cs="Tahoma"/>
                <w:sz w:val="18"/>
                <w:szCs w:val="18"/>
              </w:rPr>
              <w:t>2</w:t>
            </w:r>
            <w:r w:rsidR="00A8142F" w:rsidRPr="009A1439">
              <w:rPr>
                <w:rFonts w:ascii="Tahoma" w:hAnsi="Tahoma" w:cs="Tahoma"/>
                <w:sz w:val="18"/>
                <w:szCs w:val="18"/>
              </w:rPr>
              <w:t>6</w:t>
            </w:r>
          </w:p>
          <w:tbl>
            <w:tblPr>
              <w:tblW w:w="26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  <w:gridCol w:w="8748"/>
            </w:tblGrid>
            <w:tr w:rsidR="00614EEE" w:rsidRPr="009A1439" w14:paraId="3F692A72" w14:textId="77777777" w:rsidTr="00614EEE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58DD" w14:textId="35FA794D" w:rsidR="00614EEE" w:rsidRPr="009A1439" w:rsidRDefault="00614EEE" w:rsidP="006F366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A1439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INDICES, </w:t>
                  </w:r>
                  <w:r w:rsidR="004D34A1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MAY</w:t>
                  </w:r>
                  <w:r w:rsidRPr="009A1439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2026 </w:t>
                  </w: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B1529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E21BA75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9A1439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9A1439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9A1439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48AF46A9" w:rsidR="002871F8" w:rsidRPr="009A1439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May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0.3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May</w:t>
            </w:r>
            <w:r w:rsidR="007D63C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E1399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CD15A1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0.9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May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2026 relative to the same period 2025 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4D34A1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%. 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772E0EFF" w:rsidR="00DA0F12" w:rsidRPr="004D34A1" w:rsidRDefault="00DA0F12" w:rsidP="004D34A1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  <w:r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Observed by </w:t>
            </w:r>
            <w:r w:rsidRPr="004D34A1"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  <w:t>sections</w:t>
            </w:r>
            <w:r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,</w:t>
            </w:r>
            <w:r w:rsidR="000B209D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 i</w:t>
            </w:r>
            <w:r w:rsidR="009910D8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n</w:t>
            </w:r>
            <w:r w:rsidR="00F20FAC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 </w:t>
            </w:r>
            <w:r w:rsid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May</w:t>
            </w:r>
            <w:r w:rsidR="000E650A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 </w:t>
            </w:r>
            <w:r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20</w:t>
            </w:r>
            <w:r w:rsidR="00D734EB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2</w:t>
            </w:r>
            <w:r w:rsidR="00017D63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6</w:t>
            </w:r>
            <w:r w:rsidR="00F20FAC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 </w:t>
            </w:r>
            <w:r w:rsidR="009910D8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compared </w:t>
            </w:r>
            <w:r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with </w:t>
            </w:r>
            <w:r w:rsid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May</w:t>
            </w:r>
            <w:r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 20</w:t>
            </w:r>
            <w:r w:rsidR="00281A8A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2</w:t>
            </w:r>
            <w:r w:rsidR="00017D63"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5</w:t>
            </w:r>
            <w:r w:rsidRPr="004D34A1">
              <w:rPr>
                <w:rFonts w:ascii="Tahoma" w:hAnsi="Tahoma" w:cs="Tahoma"/>
                <w:bCs/>
                <w:sz w:val="18"/>
                <w:szCs w:val="18"/>
                <w:lang w:val="hr-HR"/>
              </w:rPr>
              <w:t>, the following trends were noted:</w:t>
            </w:r>
          </w:p>
          <w:p w14:paraId="63E1F6CB" w14:textId="10ECE70E" w:rsidR="00BD1DD6" w:rsidRPr="009A1439" w:rsidRDefault="00BD1DD6" w:rsidP="00BD1D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4D34A1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mining and quarrying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–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growth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4D34A1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3.2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%, </w:t>
            </w:r>
          </w:p>
          <w:p w14:paraId="3D461A92" w14:textId="2D53F4A5" w:rsidR="00A24125" w:rsidRPr="009A1439" w:rsidRDefault="00A24125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manufacturing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–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1.4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BD1DD6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</w:p>
          <w:p w14:paraId="3530335B" w14:textId="65070713" w:rsidR="00A24125" w:rsidRPr="009A1439" w:rsidRDefault="00A24125" w:rsidP="00A24125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fall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4D34A1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8.6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 w:rsidR="00BD1DD6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</w:p>
          <w:p w14:paraId="04763FF8" w14:textId="77777777" w:rsidR="004D34A1" w:rsidRDefault="004D34A1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</w:p>
          <w:p w14:paraId="466D377D" w14:textId="63E81EB2" w:rsidR="00C675F5" w:rsidRPr="009A1439" w:rsidRDefault="00C675F5" w:rsidP="004D34A1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9A143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4D34A1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May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4D34A1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May</w:t>
            </w:r>
            <w:r w:rsidR="001F1F25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D10741" w:rsidRPr="009A1439">
              <w:rPr>
                <w:b/>
                <w:bCs/>
                <w:lang w:val="en-GB"/>
              </w:rPr>
              <w:t>growth</w:t>
            </w:r>
            <w:r w:rsidR="009A1439">
              <w:rPr>
                <w:b/>
                <w:bCs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5E9C6AB8" w14:textId="584A6097" w:rsidR="00D10741" w:rsidRPr="009A1439" w:rsidRDefault="00D1074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capital goods, by 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5.9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0D8A2EF3" w14:textId="4C0C878B" w:rsidR="00A24125" w:rsidRPr="009A1439" w:rsidRDefault="00A24125" w:rsidP="00A24125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1.2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65ED468D" w14:textId="77777777" w:rsidR="004D34A1" w:rsidRDefault="004D34A1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0114B110" w14:textId="7C7314AE" w:rsidR="00B042D6" w:rsidRPr="009A1439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1030A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9A1439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55910605" w14:textId="174132FF" w:rsidR="004D34A1" w:rsidRDefault="004D34A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intermediate products, energy excluded, by 0.5</w:t>
            </w:r>
            <w:r w:rsidR="00D10741" w:rsidRPr="009A1439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</w:p>
          <w:p w14:paraId="4C541B7C" w14:textId="77777777" w:rsidR="004D34A1" w:rsidRDefault="004D34A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non-durable consumer goods, by 0.9%, and</w:t>
            </w:r>
          </w:p>
          <w:p w14:paraId="6CE23C02" w14:textId="6172503A" w:rsidR="00D10741" w:rsidRPr="009A1439" w:rsidRDefault="004D34A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durable consumer goods, by 12.8%.</w:t>
            </w:r>
            <w:r w:rsidR="00D1074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2FC179A4" w14:textId="77777777" w:rsidR="00D10741" w:rsidRPr="009A1439" w:rsidRDefault="00D10741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0E372190" w:rsidR="00C675F5" w:rsidRPr="009A1439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7910A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May</w:t>
            </w:r>
            <w:bookmarkStart w:id="0" w:name="_GoBack"/>
            <w:bookmarkEnd w:id="0"/>
            <w:r w:rsidR="00D075E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7910A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May</w:t>
            </w:r>
            <w:r w:rsidR="002C2B81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C7E5E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3857C010" w:rsidR="00C675F5" w:rsidRPr="009A1439" w:rsidRDefault="001030A8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14</w:t>
            </w:r>
            <w:r w:rsidR="00D075E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50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7562615C" w:rsidR="00550E4A" w:rsidRPr="009A1439" w:rsidRDefault="001030A8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0A25A4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8142F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4D34A1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B6598D" w:rsidRPr="009A1439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261B7836" w14:textId="77777777" w:rsidR="00CA3CED" w:rsidRPr="009A1439" w:rsidRDefault="00CA3CED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2BF520ED" w14:textId="0FCCB834" w:rsidR="007209F5" w:rsidRPr="009A1439" w:rsidRDefault="005214BE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1030A8" w:rsidRPr="00274E7A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274E7A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4D34A1" w:rsidRPr="00274E7A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May</w:t>
            </w:r>
            <w:r w:rsidRPr="00274E7A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17D63" w:rsidRPr="00274E7A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274E7A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274E7A" w:rsidRPr="00274E7A">
              <w:rPr>
                <w:rFonts w:ascii="Tahoma" w:hAnsi="Tahoma" w:cs="Tahoma"/>
                <w:sz w:val="18"/>
                <w:szCs w:val="18"/>
                <w:lang w:val="en-GB"/>
              </w:rPr>
              <w:t>May</w:t>
            </w:r>
            <w:r w:rsidR="00D075EC" w:rsidRPr="00274E7A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274E7A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274E7A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motor vehicles and trailers, manufacture of 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coke and refined petroleum products, 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of coal and lignite, manufacture of chemicals and chemical products and manufacture of machinery and equipment, </w:t>
            </w:r>
            <w:proofErr w:type="spellStart"/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n.e.c</w:t>
            </w:r>
            <w:proofErr w:type="spellEnd"/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75FCE342" w14:textId="3A744BE8" w:rsidR="00760FA4" w:rsidRPr="009A1439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CB27EC">
              <w:rPr>
                <w:rFonts w:ascii="Tahoma" w:hAnsi="Tahoma" w:cs="Tahoma"/>
                <w:b/>
                <w:sz w:val="18"/>
                <w:szCs w:val="18"/>
                <w:lang w:val="en-GB"/>
              </w:rPr>
              <w:t>May</w:t>
            </w:r>
            <w:r w:rsidR="002C2B81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CB27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April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CA3CED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776EE0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1.7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2.7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392DADAB" w:rsidR="00760FA4" w:rsidRPr="009A1439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CB27EC">
              <w:rPr>
                <w:rFonts w:ascii="Tahoma" w:hAnsi="Tahoma" w:cs="Tahoma"/>
                <w:b/>
                <w:sz w:val="18"/>
                <w:szCs w:val="18"/>
                <w:lang w:val="en-GB"/>
              </w:rPr>
              <w:t>May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CB27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1.5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4.0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0F66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295CDC83" w:rsidR="00B54E87" w:rsidRPr="009A1439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</w:t>
            </w:r>
            <w:r w:rsidRPr="00CB27EC">
              <w:rPr>
                <w:rFonts w:ascii="Tahoma" w:hAnsi="Tahoma" w:cs="Tahoma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production</w:t>
            </w:r>
            <w:r w:rsidRPr="00CB27EC">
              <w:rPr>
                <w:rFonts w:ascii="Tahoma" w:hAnsi="Tahoma" w:cs="Tahoma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of</w:t>
            </w:r>
            <w:r w:rsidRPr="00CB27EC">
              <w:rPr>
                <w:rFonts w:ascii="Tahoma" w:hAnsi="Tahoma" w:cs="Tahoma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small</w:t>
            </w:r>
            <w:r w:rsidRPr="00CB27EC">
              <w:rPr>
                <w:rFonts w:ascii="Tahoma" w:hAnsi="Tahoma" w:cs="Tahoma"/>
                <w:b/>
                <w:bCs/>
                <w:sz w:val="18"/>
                <w:szCs w:val="18"/>
                <w:lang w:val="sr-Cyrl-CS"/>
              </w:rPr>
              <w:t>-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size</w:t>
            </w:r>
            <w:r w:rsidRPr="00CB27EC">
              <w:rPr>
                <w:rFonts w:ascii="Tahoma" w:hAnsi="Tahoma" w:cs="Tahoma"/>
                <w:b/>
                <w:bCs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enterprises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(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the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number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of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employees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less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than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50)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that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were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not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included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regular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statistical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surveys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is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followed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on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a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sample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of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the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selected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units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of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the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section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of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manufacturing</w:t>
            </w:r>
            <w:r w:rsidRPr="00CB27E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.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When the assessment of the industrial production of small-size enterprises of the sample is included, the overall industrial production in </w:t>
            </w:r>
            <w:r w:rsidR="00CB27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May</w:t>
            </w:r>
            <w:r w:rsidR="00F20FA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CB27EC">
              <w:rPr>
                <w:rFonts w:ascii="Tahoma" w:hAnsi="Tahoma" w:cs="Tahoma"/>
                <w:sz w:val="18"/>
                <w:szCs w:val="18"/>
                <w:lang w:val="en-GB"/>
              </w:rPr>
              <w:t>5.1</w:t>
            </w:r>
            <w:r w:rsidR="00217D09" w:rsidRPr="009A1439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17F8FBBE" w:rsidR="00CB5A51" w:rsidRPr="009A1439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A1439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9A1439">
              <w:rPr>
                <w:rFonts w:ascii="Tahoma" w:hAnsi="Tahoma" w:cs="Tahoma"/>
                <w:sz w:val="18"/>
                <w:szCs w:val="18"/>
              </w:rPr>
              <w:t>2</w:t>
            </w:r>
            <w:r w:rsidR="002716C3" w:rsidRPr="009A1439">
              <w:rPr>
                <w:rFonts w:ascii="Tahoma" w:hAnsi="Tahoma" w:cs="Tahoma"/>
                <w:sz w:val="18"/>
                <w:szCs w:val="18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9A1439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7199379B" w:rsidR="00F61F1E" w:rsidRPr="009A1439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A1439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9A1439">
              <w:rPr>
                <w:rFonts w:ascii="Tahoma" w:hAnsi="Tahoma" w:cs="Tahoma"/>
                <w:sz w:val="18"/>
                <w:szCs w:val="18"/>
              </w:rPr>
              <w:t>j</w:t>
            </w:r>
            <w:r w:rsidRPr="009A1439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9A1439" w:rsidRDefault="003F7AD5" w:rsidP="006F3664"/>
    <w:sectPr w:rsidR="003F7AD5" w:rsidRPr="009A1439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940E" w14:textId="77777777" w:rsidR="00B744ED" w:rsidRPr="003357B7" w:rsidRDefault="00B744ED">
      <w:r w:rsidRPr="003357B7">
        <w:separator/>
      </w:r>
    </w:p>
  </w:endnote>
  <w:endnote w:type="continuationSeparator" w:id="0">
    <w:p w14:paraId="1AD2781E" w14:textId="77777777" w:rsidR="00B744ED" w:rsidRPr="003357B7" w:rsidRDefault="00B744ED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37"/>
      <w:gridCol w:w="5343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28C15E86" w:rsidR="005F743F" w:rsidRPr="00E5267E" w:rsidRDefault="009E6724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Short-term business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 statistics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r w:rsidR="00EE0164">
            <w:rPr>
              <w:rFonts w:ascii="Tahoma" w:hAnsi="Tahoma" w:cs="Tahoma"/>
              <w:sz w:val="18"/>
              <w:szCs w:val="18"/>
            </w:rPr>
            <w:t>Unit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B744ED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="005F743F"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06715" w14:textId="77777777" w:rsidR="00B744ED" w:rsidRPr="003357B7" w:rsidRDefault="00B744ED">
      <w:r w:rsidRPr="003357B7">
        <w:separator/>
      </w:r>
    </w:p>
  </w:footnote>
  <w:footnote w:type="continuationSeparator" w:id="0">
    <w:p w14:paraId="6FEE5FC3" w14:textId="77777777" w:rsidR="00B744ED" w:rsidRPr="003357B7" w:rsidRDefault="00B744ED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  <w:lang w:val="en-US"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 xml:space="preserve">, </w:t>
          </w:r>
          <w:proofErr w:type="spellStart"/>
          <w:r w:rsidRPr="003357B7">
            <w:rPr>
              <w:rFonts w:ascii="Tahoma" w:hAnsi="Tahoma" w:cs="Tahoma"/>
              <w:sz w:val="20"/>
              <w:szCs w:val="20"/>
            </w:rPr>
            <w:t>Milana</w:t>
          </w:r>
          <w:proofErr w:type="spellEnd"/>
          <w:r w:rsidRPr="003357B7">
            <w:rPr>
              <w:rFonts w:ascii="Tahoma" w:hAnsi="Tahoma" w:cs="Tahoma"/>
              <w:sz w:val="20"/>
              <w:szCs w:val="20"/>
            </w:rPr>
            <w:t xml:space="preserve"> </w:t>
          </w:r>
          <w:proofErr w:type="spellStart"/>
          <w:r w:rsidRPr="003357B7">
            <w:rPr>
              <w:rFonts w:ascii="Tahoma" w:hAnsi="Tahoma" w:cs="Tahoma"/>
              <w:sz w:val="20"/>
              <w:szCs w:val="20"/>
            </w:rPr>
            <w:t>Rakica</w:t>
          </w:r>
          <w:proofErr w:type="spellEnd"/>
          <w:r w:rsidRPr="003357B7">
            <w:rPr>
              <w:rFonts w:ascii="Tahoma" w:hAnsi="Tahoma" w:cs="Tahoma"/>
              <w:sz w:val="20"/>
              <w:szCs w:val="20"/>
            </w:rPr>
            <w:t xml:space="preserve">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6"/>
  </w:num>
  <w:num w:numId="15">
    <w:abstractNumId w:val="6"/>
  </w:num>
  <w:num w:numId="16">
    <w:abstractNumId w:val="6"/>
  </w:num>
  <w:num w:numId="17">
    <w:abstractNumId w:val="17"/>
  </w:num>
  <w:num w:numId="18">
    <w:abstractNumId w:val="18"/>
  </w:num>
  <w:num w:numId="19">
    <w:abstractNumId w:val="7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17D63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30A8"/>
    <w:rsid w:val="00106907"/>
    <w:rsid w:val="00113DDF"/>
    <w:rsid w:val="00114826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8B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8565B"/>
    <w:rsid w:val="00197EA4"/>
    <w:rsid w:val="001A01A6"/>
    <w:rsid w:val="001A07E0"/>
    <w:rsid w:val="001A09FC"/>
    <w:rsid w:val="001A0CFA"/>
    <w:rsid w:val="001A0DD5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0098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5CD3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6C3"/>
    <w:rsid w:val="00271B88"/>
    <w:rsid w:val="002728EC"/>
    <w:rsid w:val="00274E7A"/>
    <w:rsid w:val="00275AB5"/>
    <w:rsid w:val="0027682D"/>
    <w:rsid w:val="002802D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390"/>
    <w:rsid w:val="00367521"/>
    <w:rsid w:val="00367ADD"/>
    <w:rsid w:val="00367F5E"/>
    <w:rsid w:val="00371D2A"/>
    <w:rsid w:val="00374A2F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50CB"/>
    <w:rsid w:val="004478FE"/>
    <w:rsid w:val="00462E66"/>
    <w:rsid w:val="00463FA4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A5EBC"/>
    <w:rsid w:val="004B0DA9"/>
    <w:rsid w:val="004B3704"/>
    <w:rsid w:val="004B4366"/>
    <w:rsid w:val="004C4976"/>
    <w:rsid w:val="004C50C0"/>
    <w:rsid w:val="004D2FF3"/>
    <w:rsid w:val="004D34A1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0EFF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5394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8382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14EEE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12A6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6F3664"/>
    <w:rsid w:val="00703560"/>
    <w:rsid w:val="0070450E"/>
    <w:rsid w:val="00704646"/>
    <w:rsid w:val="007059A7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10A3"/>
    <w:rsid w:val="0079425F"/>
    <w:rsid w:val="007A3CAD"/>
    <w:rsid w:val="007A5274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6C06"/>
    <w:rsid w:val="009275EB"/>
    <w:rsid w:val="00930992"/>
    <w:rsid w:val="00931D08"/>
    <w:rsid w:val="00932789"/>
    <w:rsid w:val="00932C33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19AC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1439"/>
    <w:rsid w:val="009A6955"/>
    <w:rsid w:val="009A72FE"/>
    <w:rsid w:val="009B4055"/>
    <w:rsid w:val="009B7D86"/>
    <w:rsid w:val="009C14A6"/>
    <w:rsid w:val="009C61E1"/>
    <w:rsid w:val="009C782A"/>
    <w:rsid w:val="009D013D"/>
    <w:rsid w:val="009D0E0E"/>
    <w:rsid w:val="009D23C0"/>
    <w:rsid w:val="009E518C"/>
    <w:rsid w:val="009E6724"/>
    <w:rsid w:val="009F25DC"/>
    <w:rsid w:val="009F34A0"/>
    <w:rsid w:val="009F5BF7"/>
    <w:rsid w:val="00A07611"/>
    <w:rsid w:val="00A11B54"/>
    <w:rsid w:val="00A1719A"/>
    <w:rsid w:val="00A22275"/>
    <w:rsid w:val="00A24068"/>
    <w:rsid w:val="00A24125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42F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44ED"/>
    <w:rsid w:val="00B75CAF"/>
    <w:rsid w:val="00B77334"/>
    <w:rsid w:val="00B811A6"/>
    <w:rsid w:val="00B84B0C"/>
    <w:rsid w:val="00B85D26"/>
    <w:rsid w:val="00B85FDF"/>
    <w:rsid w:val="00B90B25"/>
    <w:rsid w:val="00B91FFF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05CE"/>
    <w:rsid w:val="00BC1465"/>
    <w:rsid w:val="00BC2423"/>
    <w:rsid w:val="00BC495E"/>
    <w:rsid w:val="00BC57D4"/>
    <w:rsid w:val="00BC63FD"/>
    <w:rsid w:val="00BC7E5E"/>
    <w:rsid w:val="00BD160E"/>
    <w:rsid w:val="00BD1825"/>
    <w:rsid w:val="00BD1DD6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BF3248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4DC"/>
    <w:rsid w:val="00C92DBB"/>
    <w:rsid w:val="00C94A1F"/>
    <w:rsid w:val="00C94A83"/>
    <w:rsid w:val="00CA3CED"/>
    <w:rsid w:val="00CA6766"/>
    <w:rsid w:val="00CA6C22"/>
    <w:rsid w:val="00CA6CA8"/>
    <w:rsid w:val="00CB1BF6"/>
    <w:rsid w:val="00CB21AD"/>
    <w:rsid w:val="00CB256D"/>
    <w:rsid w:val="00CB27EC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0741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1DF"/>
    <w:rsid w:val="00E21CCD"/>
    <w:rsid w:val="00E24A11"/>
    <w:rsid w:val="00E25362"/>
    <w:rsid w:val="00E25CBB"/>
    <w:rsid w:val="00E275A5"/>
    <w:rsid w:val="00E36137"/>
    <w:rsid w:val="00E403C3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B7B1E"/>
    <w:rsid w:val="00EC2763"/>
    <w:rsid w:val="00EC51F7"/>
    <w:rsid w:val="00EC7A6C"/>
    <w:rsid w:val="00ED69B6"/>
    <w:rsid w:val="00ED77AD"/>
    <w:rsid w:val="00EE0164"/>
    <w:rsid w:val="00EE5500"/>
    <w:rsid w:val="00EE5962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4E4E"/>
    <w:rsid w:val="00F27173"/>
    <w:rsid w:val="00F30AF5"/>
    <w:rsid w:val="00F31BF9"/>
    <w:rsid w:val="00F33339"/>
    <w:rsid w:val="00F36B1D"/>
    <w:rsid w:val="00F37AE9"/>
    <w:rsid w:val="00F37D3B"/>
    <w:rsid w:val="00F40000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8107-2E1F-48CA-87EF-3F9D46A6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Katarina Zivojinovic</cp:lastModifiedBy>
  <cp:revision>6</cp:revision>
  <cp:lastPrinted>2011-05-30T08:31:00Z</cp:lastPrinted>
  <dcterms:created xsi:type="dcterms:W3CDTF">2026-06-29T07:06:00Z</dcterms:created>
  <dcterms:modified xsi:type="dcterms:W3CDTF">2026-06-29T07:54:00Z</dcterms:modified>
</cp:coreProperties>
</file>