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252"/>
      </w:tblGrid>
      <w:tr w:rsidR="002064CD" w:rsidRPr="00E3260D" w14:paraId="7B2C1E58" w14:textId="77777777" w:rsidTr="00A850FC">
        <w:tc>
          <w:tcPr>
            <w:tcW w:w="10188" w:type="dxa"/>
          </w:tcPr>
          <w:p w14:paraId="4F90B14D" w14:textId="01588019" w:rsidR="00025B86" w:rsidRPr="00E3260D" w:rsidRDefault="00025B86" w:rsidP="00F260EC">
            <w:pPr>
              <w:jc w:val="right"/>
              <w:rPr>
                <w:rFonts w:ascii="Tahoma" w:hAnsi="Tahoma" w:cs="Tahoma"/>
                <w:sz w:val="22"/>
                <w:szCs w:val="22"/>
              </w:rPr>
            </w:pPr>
          </w:p>
          <w:p w14:paraId="7CEEBA8D" w14:textId="55F7E596" w:rsidR="002064CD" w:rsidRPr="00E3260D" w:rsidRDefault="005007A3" w:rsidP="00F260EC">
            <w:pPr>
              <w:jc w:val="right"/>
              <w:rPr>
                <w:rFonts w:ascii="Tahoma" w:hAnsi="Tahoma" w:cs="Tahoma"/>
                <w:sz w:val="22"/>
                <w:szCs w:val="22"/>
              </w:rPr>
            </w:pPr>
            <w:r>
              <w:rPr>
                <w:rFonts w:ascii="Tahoma" w:hAnsi="Tahoma" w:cs="Tahoma"/>
                <w:sz w:val="22"/>
                <w:szCs w:val="22"/>
              </w:rPr>
              <w:t>June</w:t>
            </w:r>
            <w:r w:rsidR="00AE7F01" w:rsidRPr="00E3260D">
              <w:rPr>
                <w:rFonts w:ascii="Tahoma" w:hAnsi="Tahoma" w:cs="Tahoma"/>
                <w:sz w:val="22"/>
                <w:szCs w:val="22"/>
              </w:rPr>
              <w:t xml:space="preserve"> </w:t>
            </w:r>
            <w:r>
              <w:rPr>
                <w:rFonts w:ascii="Tahoma" w:hAnsi="Tahoma" w:cs="Tahoma"/>
                <w:sz w:val="22"/>
                <w:szCs w:val="22"/>
              </w:rPr>
              <w:t>30</w:t>
            </w:r>
            <w:r w:rsidR="002064CD" w:rsidRPr="00E3260D">
              <w:rPr>
                <w:rFonts w:ascii="Tahoma" w:hAnsi="Tahoma" w:cs="Tahoma"/>
                <w:sz w:val="22"/>
                <w:szCs w:val="22"/>
              </w:rPr>
              <w:t>, 20</w:t>
            </w:r>
            <w:r w:rsidR="00321D8B" w:rsidRPr="00E3260D">
              <w:rPr>
                <w:rFonts w:ascii="Tahoma" w:hAnsi="Tahoma" w:cs="Tahoma"/>
                <w:sz w:val="22"/>
                <w:szCs w:val="22"/>
              </w:rPr>
              <w:t>2</w:t>
            </w:r>
            <w:r w:rsidR="0001411D" w:rsidRPr="00E3260D">
              <w:rPr>
                <w:rFonts w:ascii="Tahoma" w:hAnsi="Tahoma" w:cs="Tahoma"/>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064CD" w:rsidRPr="00E3260D" w14:paraId="20B8B5FA" w14:textId="77777777" w:rsidTr="00F260EC">
              <w:tc>
                <w:tcPr>
                  <w:tcW w:w="10065" w:type="dxa"/>
                  <w:tcBorders>
                    <w:top w:val="nil"/>
                    <w:left w:val="nil"/>
                    <w:bottom w:val="nil"/>
                    <w:right w:val="nil"/>
                  </w:tcBorders>
                </w:tcPr>
                <w:p w14:paraId="6D779C6B" w14:textId="77777777" w:rsidR="002064CD" w:rsidRPr="00E3260D" w:rsidRDefault="002064CD" w:rsidP="00F260EC">
                  <w:pPr>
                    <w:jc w:val="center"/>
                    <w:rPr>
                      <w:rFonts w:ascii="Tahoma" w:hAnsi="Tahoma" w:cs="Tahoma"/>
                      <w:color w:val="333333"/>
                    </w:rPr>
                  </w:pPr>
                </w:p>
              </w:tc>
            </w:tr>
          </w:tbl>
          <w:p w14:paraId="6929EA18" w14:textId="69322C74" w:rsidR="002064CD" w:rsidRPr="00E3260D" w:rsidRDefault="002064CD" w:rsidP="00B5335E">
            <w:pPr>
              <w:rPr>
                <w:rFonts w:ascii="Tahoma" w:hAnsi="Tahoma" w:cs="Tahoma"/>
                <w:b/>
                <w:bCs/>
                <w:sz w:val="22"/>
                <w:szCs w:val="22"/>
              </w:rPr>
            </w:pPr>
            <w:r w:rsidRPr="00E3260D">
              <w:rPr>
                <w:rFonts w:ascii="Tahoma" w:hAnsi="Tahoma" w:cs="Tahoma"/>
                <w:b/>
                <w:sz w:val="22"/>
                <w:szCs w:val="22"/>
              </w:rPr>
              <w:t>EXTERNAL TRADE</w:t>
            </w:r>
            <w:r w:rsidRPr="00E3260D">
              <w:rPr>
                <w:rFonts w:ascii="Tahoma" w:hAnsi="Tahoma" w:cs="Tahoma"/>
                <w:b/>
                <w:bCs/>
                <w:sz w:val="22"/>
                <w:szCs w:val="22"/>
              </w:rPr>
              <w:t xml:space="preserve">, </w:t>
            </w:r>
            <w:r w:rsidR="005007A3">
              <w:rPr>
                <w:rFonts w:ascii="Tahoma" w:hAnsi="Tahoma" w:cs="Tahoma"/>
                <w:b/>
                <w:bCs/>
                <w:sz w:val="22"/>
                <w:szCs w:val="22"/>
              </w:rPr>
              <w:t>MAY</w:t>
            </w:r>
            <w:r w:rsidR="00AE7F01" w:rsidRPr="00E3260D">
              <w:rPr>
                <w:rFonts w:ascii="Tahoma" w:hAnsi="Tahoma" w:cs="Tahoma"/>
                <w:b/>
                <w:bCs/>
                <w:sz w:val="22"/>
                <w:szCs w:val="22"/>
              </w:rPr>
              <w:t xml:space="preserve"> </w:t>
            </w:r>
            <w:r w:rsidR="006901E2" w:rsidRPr="00E3260D">
              <w:rPr>
                <w:rFonts w:ascii="Tahoma" w:hAnsi="Tahoma" w:cs="Tahoma"/>
                <w:b/>
                <w:bCs/>
                <w:sz w:val="22"/>
                <w:szCs w:val="22"/>
              </w:rPr>
              <w:t>20</w:t>
            </w:r>
            <w:r w:rsidR="00BE3D9D" w:rsidRPr="00E3260D">
              <w:rPr>
                <w:rFonts w:ascii="Tahoma" w:hAnsi="Tahoma" w:cs="Tahoma"/>
                <w:b/>
                <w:bCs/>
                <w:sz w:val="22"/>
                <w:szCs w:val="22"/>
              </w:rPr>
              <w:t>2</w:t>
            </w:r>
            <w:r w:rsidR="0001411D" w:rsidRPr="00E3260D">
              <w:rPr>
                <w:rFonts w:ascii="Tahoma" w:hAnsi="Tahoma" w:cs="Tahoma"/>
                <w:b/>
                <w:bCs/>
                <w:sz w:val="22"/>
                <w:szCs w:val="22"/>
              </w:rPr>
              <w:t>6</w:t>
            </w:r>
          </w:p>
          <w:p w14:paraId="7FC2C94B" w14:textId="77777777" w:rsidR="004B5DFA" w:rsidRPr="00E3260D" w:rsidRDefault="004B5DFA" w:rsidP="004B5DFA">
            <w:pPr>
              <w:jc w:val="both"/>
              <w:rPr>
                <w:rFonts w:ascii="Tahoma" w:hAnsi="Tahoma" w:cs="Tahoma"/>
                <w:b/>
                <w:color w:val="000000"/>
                <w:sz w:val="18"/>
                <w:szCs w:val="18"/>
              </w:rPr>
            </w:pPr>
          </w:p>
          <w:p w14:paraId="6EB130D6" w14:textId="22FFF3ED" w:rsidR="002064CD" w:rsidRPr="00E3260D" w:rsidRDefault="002064CD" w:rsidP="002064CD">
            <w:pPr>
              <w:pStyle w:val="BodyText3"/>
              <w:rPr>
                <w:rFonts w:ascii="Tahoma" w:hAnsi="Tahoma" w:cs="Tahoma"/>
                <w:b/>
                <w:bCs/>
                <w:color w:val="000000"/>
                <w:sz w:val="18"/>
                <w:szCs w:val="18"/>
              </w:rPr>
            </w:pPr>
            <w:r w:rsidRPr="00E3260D">
              <w:rPr>
                <w:rFonts w:ascii="Tahoma" w:hAnsi="Tahoma" w:cs="Tahoma"/>
                <w:b/>
                <w:bCs/>
                <w:sz w:val="18"/>
                <w:szCs w:val="18"/>
              </w:rPr>
              <w:t>The overall external trade in the Republic of Serbia for</w:t>
            </w:r>
            <w:r w:rsidR="00AE7F01" w:rsidRPr="00E3260D">
              <w:rPr>
                <w:rFonts w:ascii="Tahoma" w:hAnsi="Tahoma" w:cs="Tahoma"/>
                <w:b/>
                <w:bCs/>
                <w:sz w:val="18"/>
                <w:szCs w:val="18"/>
              </w:rPr>
              <w:t xml:space="preserve"> </w:t>
            </w:r>
            <w:r w:rsidR="004E7571" w:rsidRPr="00E3260D">
              <w:rPr>
                <w:rFonts w:ascii="Tahoma" w:hAnsi="Tahoma" w:cs="Tahoma"/>
                <w:b/>
                <w:bCs/>
                <w:sz w:val="18"/>
                <w:szCs w:val="18"/>
              </w:rPr>
              <w:t xml:space="preserve">January - </w:t>
            </w:r>
            <w:r w:rsidR="005007A3">
              <w:rPr>
                <w:rFonts w:ascii="Tahoma" w:hAnsi="Tahoma" w:cs="Tahoma"/>
                <w:b/>
                <w:bCs/>
                <w:sz w:val="18"/>
                <w:szCs w:val="18"/>
              </w:rPr>
              <w:t>May</w:t>
            </w:r>
            <w:r w:rsidR="004F52CB" w:rsidRPr="00E3260D">
              <w:rPr>
                <w:rFonts w:ascii="Tahoma" w:hAnsi="Tahoma" w:cs="Tahoma"/>
                <w:b/>
                <w:bCs/>
                <w:sz w:val="18"/>
                <w:szCs w:val="18"/>
              </w:rPr>
              <w:t xml:space="preserve"> </w:t>
            </w:r>
            <w:r w:rsidRPr="00E3260D">
              <w:rPr>
                <w:rFonts w:ascii="Tahoma" w:hAnsi="Tahoma" w:cs="Tahoma"/>
                <w:b/>
                <w:bCs/>
                <w:sz w:val="18"/>
                <w:szCs w:val="18"/>
              </w:rPr>
              <w:t>20</w:t>
            </w:r>
            <w:r w:rsidR="00BE3D9D" w:rsidRPr="00E3260D">
              <w:rPr>
                <w:rFonts w:ascii="Tahoma" w:hAnsi="Tahoma" w:cs="Tahoma"/>
                <w:b/>
                <w:bCs/>
                <w:sz w:val="18"/>
                <w:szCs w:val="18"/>
              </w:rPr>
              <w:t>2</w:t>
            </w:r>
            <w:r w:rsidR="0001411D" w:rsidRPr="00E3260D">
              <w:rPr>
                <w:rFonts w:ascii="Tahoma" w:hAnsi="Tahoma" w:cs="Tahoma"/>
                <w:b/>
                <w:bCs/>
                <w:sz w:val="18"/>
                <w:szCs w:val="18"/>
              </w:rPr>
              <w:t>6</w:t>
            </w:r>
            <w:r w:rsidRPr="00E3260D">
              <w:rPr>
                <w:rFonts w:ascii="Tahoma" w:hAnsi="Tahoma" w:cs="Tahoma"/>
                <w:b/>
                <w:bCs/>
                <w:sz w:val="18"/>
                <w:szCs w:val="18"/>
              </w:rPr>
              <w:t xml:space="preserve"> amounted to: </w:t>
            </w:r>
          </w:p>
          <w:p w14:paraId="1EAB85D8" w14:textId="7C60F277" w:rsidR="002064CD" w:rsidRPr="00E3260D" w:rsidRDefault="002064CD" w:rsidP="00F260EC">
            <w:pPr>
              <w:jc w:val="both"/>
              <w:rPr>
                <w:rFonts w:ascii="Tahoma" w:hAnsi="Tahoma" w:cs="Tahoma"/>
                <w:b/>
                <w:bCs/>
                <w:sz w:val="18"/>
                <w:szCs w:val="18"/>
              </w:rPr>
            </w:pPr>
            <w:r w:rsidRPr="00E3260D">
              <w:rPr>
                <w:rFonts w:ascii="Tahoma" w:hAnsi="Tahoma" w:cs="Tahoma"/>
                <w:sz w:val="18"/>
                <w:szCs w:val="18"/>
              </w:rPr>
              <w:t xml:space="preserve">      - </w:t>
            </w:r>
            <w:r w:rsidRPr="00E3260D">
              <w:rPr>
                <w:rFonts w:ascii="Tahoma" w:hAnsi="Tahoma" w:cs="Tahoma"/>
                <w:b/>
                <w:sz w:val="18"/>
                <w:szCs w:val="18"/>
              </w:rPr>
              <w:t xml:space="preserve">USD </w:t>
            </w:r>
            <w:r w:rsidR="005007A3">
              <w:rPr>
                <w:rFonts w:ascii="Tahoma" w:hAnsi="Tahoma" w:cs="Tahoma"/>
                <w:b/>
                <w:sz w:val="18"/>
                <w:szCs w:val="18"/>
              </w:rPr>
              <w:t>37836.5</w:t>
            </w:r>
            <w:r w:rsidR="00C50290" w:rsidRPr="00E3260D">
              <w:rPr>
                <w:rFonts w:ascii="Tahoma" w:hAnsi="Tahoma" w:cs="Tahoma"/>
                <w:b/>
                <w:sz w:val="18"/>
                <w:szCs w:val="18"/>
              </w:rPr>
              <w:t xml:space="preserve"> </w:t>
            </w:r>
            <w:r w:rsidRPr="00E3260D">
              <w:rPr>
                <w:rFonts w:ascii="Tahoma" w:hAnsi="Tahoma" w:cs="Tahoma"/>
                <w:b/>
                <w:sz w:val="18"/>
                <w:szCs w:val="18"/>
              </w:rPr>
              <w:t xml:space="preserve">million - </w:t>
            </w:r>
            <w:r w:rsidRPr="00E3260D">
              <w:rPr>
                <w:rFonts w:ascii="Tahoma" w:hAnsi="Tahoma" w:cs="Tahoma"/>
                <w:b/>
                <w:bCs/>
                <w:sz w:val="18"/>
                <w:szCs w:val="18"/>
              </w:rPr>
              <w:t xml:space="preserve">which was </w:t>
            </w:r>
            <w:r w:rsidR="00C06F65" w:rsidRPr="00E3260D">
              <w:rPr>
                <w:rFonts w:ascii="Tahoma" w:hAnsi="Tahoma" w:cs="Tahoma"/>
                <w:b/>
                <w:bCs/>
                <w:sz w:val="18"/>
                <w:szCs w:val="18"/>
              </w:rPr>
              <w:t>a</w:t>
            </w:r>
            <w:r w:rsidR="003B4440" w:rsidRPr="00E3260D">
              <w:rPr>
                <w:rFonts w:ascii="Tahoma" w:hAnsi="Tahoma" w:cs="Tahoma"/>
                <w:b/>
                <w:bCs/>
                <w:sz w:val="18"/>
                <w:szCs w:val="18"/>
              </w:rPr>
              <w:t>n</w:t>
            </w:r>
            <w:r w:rsidR="00AE7F01" w:rsidRPr="00E3260D">
              <w:rPr>
                <w:rFonts w:ascii="Tahoma" w:hAnsi="Tahoma" w:cs="Tahoma"/>
                <w:b/>
                <w:bCs/>
                <w:sz w:val="18"/>
                <w:szCs w:val="18"/>
              </w:rPr>
              <w:t xml:space="preserve"> </w:t>
            </w:r>
            <w:r w:rsidR="003B4440" w:rsidRPr="00E3260D">
              <w:rPr>
                <w:rFonts w:ascii="Tahoma" w:hAnsi="Tahoma" w:cs="Tahoma"/>
                <w:b/>
                <w:bCs/>
                <w:sz w:val="18"/>
                <w:szCs w:val="18"/>
              </w:rPr>
              <w:t>in</w:t>
            </w:r>
            <w:r w:rsidR="00A65062" w:rsidRPr="00E3260D">
              <w:rPr>
                <w:rFonts w:ascii="Tahoma" w:hAnsi="Tahoma" w:cs="Tahoma"/>
                <w:b/>
                <w:bCs/>
                <w:sz w:val="18"/>
                <w:szCs w:val="18"/>
              </w:rPr>
              <w:t xml:space="preserve">crease of </w:t>
            </w:r>
            <w:r w:rsidR="005007A3">
              <w:rPr>
                <w:rFonts w:ascii="Tahoma" w:hAnsi="Tahoma" w:cs="Tahoma"/>
                <w:b/>
                <w:bCs/>
                <w:sz w:val="18"/>
                <w:szCs w:val="18"/>
              </w:rPr>
              <w:t>12.5</w:t>
            </w:r>
            <w:r w:rsidRPr="00E3260D">
              <w:rPr>
                <w:rFonts w:ascii="Tahoma" w:hAnsi="Tahoma" w:cs="Tahoma"/>
                <w:b/>
                <w:bCs/>
                <w:sz w:val="18"/>
                <w:szCs w:val="18"/>
              </w:rPr>
              <w:t xml:space="preserve">% compared to the same period </w:t>
            </w:r>
            <w:r w:rsidR="0014558A" w:rsidRPr="00E3260D">
              <w:rPr>
                <w:rFonts w:ascii="Tahoma" w:hAnsi="Tahoma" w:cs="Tahoma"/>
                <w:b/>
                <w:bCs/>
                <w:sz w:val="18"/>
                <w:szCs w:val="18"/>
              </w:rPr>
              <w:t>last year</w:t>
            </w:r>
            <w:r w:rsidRPr="00E3260D">
              <w:rPr>
                <w:rFonts w:ascii="Tahoma" w:hAnsi="Tahoma" w:cs="Tahoma"/>
                <w:b/>
                <w:bCs/>
                <w:sz w:val="18"/>
                <w:szCs w:val="18"/>
              </w:rPr>
              <w:t>;</w:t>
            </w:r>
          </w:p>
          <w:p w14:paraId="353A6BF0" w14:textId="4FBE6A0D" w:rsidR="002064CD" w:rsidRPr="00E3260D" w:rsidRDefault="002064CD" w:rsidP="00F260EC">
            <w:pPr>
              <w:jc w:val="both"/>
              <w:rPr>
                <w:rFonts w:ascii="Tahoma" w:hAnsi="Tahoma" w:cs="Tahoma"/>
                <w:b/>
                <w:bCs/>
                <w:sz w:val="18"/>
                <w:szCs w:val="18"/>
              </w:rPr>
            </w:pPr>
            <w:r w:rsidRPr="00E3260D">
              <w:rPr>
                <w:rFonts w:ascii="Tahoma" w:hAnsi="Tahoma" w:cs="Tahoma"/>
                <w:color w:val="000000"/>
                <w:sz w:val="18"/>
                <w:szCs w:val="18"/>
              </w:rPr>
              <w:t xml:space="preserve">      - </w:t>
            </w:r>
            <w:r w:rsidRPr="00E3260D">
              <w:rPr>
                <w:rFonts w:ascii="Tahoma" w:hAnsi="Tahoma" w:cs="Tahoma"/>
                <w:b/>
                <w:color w:val="000000"/>
                <w:sz w:val="18"/>
                <w:szCs w:val="18"/>
              </w:rPr>
              <w:t xml:space="preserve">EUR </w:t>
            </w:r>
            <w:r w:rsidR="005007A3">
              <w:rPr>
                <w:rFonts w:ascii="Tahoma" w:hAnsi="Tahoma" w:cs="Tahoma"/>
                <w:b/>
                <w:color w:val="000000"/>
                <w:sz w:val="18"/>
                <w:szCs w:val="18"/>
              </w:rPr>
              <w:t>32376.3</w:t>
            </w:r>
            <w:r w:rsidR="0035541E" w:rsidRPr="00E3260D">
              <w:rPr>
                <w:rFonts w:ascii="Tahoma" w:hAnsi="Tahoma" w:cs="Tahoma"/>
                <w:b/>
                <w:sz w:val="18"/>
                <w:szCs w:val="18"/>
              </w:rPr>
              <w:t xml:space="preserve"> </w:t>
            </w:r>
            <w:r w:rsidRPr="00E3260D">
              <w:rPr>
                <w:rFonts w:ascii="Tahoma" w:hAnsi="Tahoma" w:cs="Tahoma"/>
                <w:b/>
                <w:color w:val="000000"/>
                <w:sz w:val="18"/>
                <w:szCs w:val="18"/>
              </w:rPr>
              <w:t xml:space="preserve">million - </w:t>
            </w:r>
            <w:r w:rsidRPr="00E3260D">
              <w:rPr>
                <w:rFonts w:ascii="Tahoma" w:hAnsi="Tahoma" w:cs="Tahoma"/>
                <w:b/>
                <w:bCs/>
                <w:sz w:val="18"/>
                <w:szCs w:val="18"/>
              </w:rPr>
              <w:t>which was</w:t>
            </w:r>
            <w:r w:rsidR="00AE7F01" w:rsidRPr="00E3260D">
              <w:rPr>
                <w:rFonts w:ascii="Tahoma" w:hAnsi="Tahoma" w:cs="Tahoma"/>
                <w:b/>
                <w:bCs/>
                <w:sz w:val="18"/>
                <w:szCs w:val="18"/>
              </w:rPr>
              <w:t xml:space="preserve"> </w:t>
            </w:r>
            <w:r w:rsidR="004737CA" w:rsidRPr="00E3260D">
              <w:rPr>
                <w:rFonts w:ascii="Tahoma" w:hAnsi="Tahoma" w:cs="Tahoma"/>
                <w:b/>
                <w:bCs/>
                <w:sz w:val="18"/>
                <w:szCs w:val="18"/>
              </w:rPr>
              <w:t>a</w:t>
            </w:r>
            <w:r w:rsidR="004E7571" w:rsidRPr="00E3260D">
              <w:rPr>
                <w:rFonts w:ascii="Tahoma" w:hAnsi="Tahoma" w:cs="Tahoma"/>
                <w:b/>
                <w:bCs/>
                <w:sz w:val="18"/>
                <w:szCs w:val="18"/>
              </w:rPr>
              <w:t>n</w:t>
            </w:r>
            <w:r w:rsidR="00AE7F01" w:rsidRPr="00E3260D">
              <w:rPr>
                <w:rFonts w:ascii="Tahoma" w:hAnsi="Tahoma" w:cs="Tahoma"/>
                <w:b/>
                <w:bCs/>
                <w:sz w:val="18"/>
                <w:szCs w:val="18"/>
              </w:rPr>
              <w:t xml:space="preserve"> </w:t>
            </w:r>
            <w:r w:rsidR="004E7571" w:rsidRPr="00E3260D">
              <w:rPr>
                <w:rFonts w:ascii="Tahoma" w:hAnsi="Tahoma" w:cs="Tahoma"/>
                <w:b/>
                <w:bCs/>
                <w:sz w:val="18"/>
                <w:szCs w:val="18"/>
              </w:rPr>
              <w:t>in</w:t>
            </w:r>
            <w:r w:rsidR="008877EC" w:rsidRPr="00E3260D">
              <w:rPr>
                <w:rFonts w:ascii="Tahoma" w:hAnsi="Tahoma" w:cs="Tahoma"/>
                <w:b/>
                <w:bCs/>
                <w:sz w:val="18"/>
                <w:szCs w:val="18"/>
              </w:rPr>
              <w:t xml:space="preserve">crease of </w:t>
            </w:r>
            <w:r w:rsidR="004E7571" w:rsidRPr="00E3260D">
              <w:rPr>
                <w:rFonts w:ascii="Tahoma" w:hAnsi="Tahoma" w:cs="Tahoma"/>
                <w:b/>
                <w:bCs/>
                <w:sz w:val="18"/>
                <w:szCs w:val="18"/>
              </w:rPr>
              <w:t>3</w:t>
            </w:r>
            <w:r w:rsidR="00932C48" w:rsidRPr="00E3260D">
              <w:rPr>
                <w:rFonts w:ascii="Tahoma" w:hAnsi="Tahoma" w:cs="Tahoma"/>
                <w:b/>
                <w:bCs/>
                <w:sz w:val="18"/>
                <w:szCs w:val="18"/>
              </w:rPr>
              <w:t>.</w:t>
            </w:r>
            <w:r w:rsidR="0099561B" w:rsidRPr="00E3260D">
              <w:rPr>
                <w:rFonts w:ascii="Tahoma" w:hAnsi="Tahoma" w:cs="Tahoma"/>
                <w:b/>
                <w:bCs/>
                <w:sz w:val="18"/>
                <w:szCs w:val="18"/>
              </w:rPr>
              <w:t>9</w:t>
            </w:r>
            <w:r w:rsidRPr="00E3260D">
              <w:rPr>
                <w:rFonts w:ascii="Tahoma" w:hAnsi="Tahoma" w:cs="Tahoma"/>
                <w:b/>
                <w:bCs/>
                <w:sz w:val="18"/>
                <w:szCs w:val="18"/>
              </w:rPr>
              <w:t xml:space="preserve">% compared to the same period </w:t>
            </w:r>
            <w:r w:rsidR="0014558A" w:rsidRPr="00E3260D">
              <w:rPr>
                <w:rFonts w:ascii="Tahoma" w:hAnsi="Tahoma" w:cs="Tahoma"/>
                <w:b/>
                <w:bCs/>
                <w:sz w:val="18"/>
                <w:szCs w:val="18"/>
              </w:rPr>
              <w:t>last year</w:t>
            </w:r>
            <w:r w:rsidRPr="00E3260D">
              <w:rPr>
                <w:rFonts w:ascii="Tahoma" w:hAnsi="Tahoma" w:cs="Tahoma"/>
                <w:b/>
                <w:bCs/>
                <w:sz w:val="18"/>
                <w:szCs w:val="18"/>
              </w:rPr>
              <w:t xml:space="preserve">. </w:t>
            </w:r>
          </w:p>
          <w:p w14:paraId="1D4BA012" w14:textId="77777777" w:rsidR="007558E6" w:rsidRPr="00E3260D" w:rsidRDefault="007558E6" w:rsidP="00937EAC">
            <w:pPr>
              <w:ind w:firstLine="360"/>
              <w:jc w:val="both"/>
              <w:rPr>
                <w:rFonts w:ascii="Arial" w:hAnsi="Arial" w:cs="Arial"/>
                <w:b/>
                <w:color w:val="000000"/>
                <w:sz w:val="18"/>
                <w:szCs w:val="18"/>
              </w:rPr>
            </w:pPr>
          </w:p>
          <w:p w14:paraId="794889C2" w14:textId="2CAFDAEF" w:rsidR="002064CD" w:rsidRPr="00E3260D" w:rsidRDefault="002064CD" w:rsidP="002857EE">
            <w:pPr>
              <w:jc w:val="both"/>
              <w:rPr>
                <w:rFonts w:ascii="Tahoma" w:hAnsi="Tahoma" w:cs="Tahoma"/>
                <w:color w:val="FF0000"/>
                <w:sz w:val="18"/>
                <w:szCs w:val="18"/>
              </w:rPr>
            </w:pPr>
            <w:r w:rsidRPr="00E3260D">
              <w:rPr>
                <w:rFonts w:ascii="Tahoma" w:hAnsi="Tahoma" w:cs="Tahoma"/>
                <w:sz w:val="18"/>
                <w:szCs w:val="18"/>
              </w:rPr>
              <w:t xml:space="preserve">The value of </w:t>
            </w:r>
            <w:r w:rsidRPr="00E3260D">
              <w:rPr>
                <w:rFonts w:ascii="Tahoma" w:hAnsi="Tahoma" w:cs="Tahoma"/>
                <w:b/>
                <w:bCs/>
                <w:sz w:val="18"/>
                <w:szCs w:val="18"/>
              </w:rPr>
              <w:t>exports</w:t>
            </w:r>
            <w:r w:rsidRPr="00E3260D">
              <w:rPr>
                <w:rFonts w:ascii="Tahoma" w:hAnsi="Tahoma" w:cs="Tahoma"/>
                <w:sz w:val="18"/>
                <w:szCs w:val="18"/>
              </w:rPr>
              <w:t xml:space="preserve"> amounted to </w:t>
            </w:r>
            <w:r w:rsidRPr="00E3260D">
              <w:rPr>
                <w:rFonts w:ascii="Tahoma" w:hAnsi="Tahoma" w:cs="Tahoma"/>
                <w:b/>
                <w:bCs/>
                <w:sz w:val="18"/>
                <w:szCs w:val="18"/>
              </w:rPr>
              <w:t xml:space="preserve">USD </w:t>
            </w:r>
            <w:r w:rsidR="005007A3">
              <w:rPr>
                <w:rFonts w:ascii="Tahoma" w:hAnsi="Tahoma" w:cs="Tahoma"/>
                <w:b/>
                <w:bCs/>
                <w:sz w:val="18"/>
                <w:szCs w:val="18"/>
              </w:rPr>
              <w:t>17174.1</w:t>
            </w:r>
            <w:r w:rsidRPr="00E3260D">
              <w:rPr>
                <w:rFonts w:ascii="Tahoma" w:hAnsi="Tahoma" w:cs="Tahoma"/>
                <w:b/>
                <w:bCs/>
                <w:sz w:val="18"/>
                <w:szCs w:val="18"/>
              </w:rPr>
              <w:t xml:space="preserve"> million</w:t>
            </w:r>
            <w:r w:rsidRPr="00E3260D">
              <w:rPr>
                <w:rFonts w:ascii="Tahoma" w:hAnsi="Tahoma" w:cs="Tahoma"/>
                <w:sz w:val="18"/>
                <w:szCs w:val="18"/>
              </w:rPr>
              <w:t xml:space="preserve">, which was </w:t>
            </w:r>
            <w:r w:rsidR="005007A3">
              <w:rPr>
                <w:rFonts w:ascii="Tahoma" w:hAnsi="Tahoma" w:cs="Tahoma"/>
                <w:sz w:val="18"/>
                <w:szCs w:val="18"/>
              </w:rPr>
              <w:t>16.6</w:t>
            </w:r>
            <w:r w:rsidRPr="00E3260D">
              <w:rPr>
                <w:rFonts w:ascii="Tahoma" w:hAnsi="Tahoma" w:cs="Tahoma"/>
                <w:sz w:val="18"/>
                <w:szCs w:val="18"/>
              </w:rPr>
              <w:t xml:space="preserve">% </w:t>
            </w:r>
            <w:r w:rsidR="00975BA4" w:rsidRPr="00E3260D">
              <w:rPr>
                <w:rFonts w:ascii="Tahoma" w:hAnsi="Tahoma" w:cs="Tahoma"/>
                <w:sz w:val="18"/>
                <w:szCs w:val="18"/>
              </w:rPr>
              <w:t>in</w:t>
            </w:r>
            <w:r w:rsidRPr="00E3260D">
              <w:rPr>
                <w:rFonts w:ascii="Tahoma" w:hAnsi="Tahoma" w:cs="Tahoma"/>
                <w:sz w:val="18"/>
                <w:szCs w:val="18"/>
              </w:rPr>
              <w:t xml:space="preserve">crease when compared to the same period last year, while the value of </w:t>
            </w:r>
            <w:r w:rsidRPr="00E3260D">
              <w:rPr>
                <w:rFonts w:ascii="Tahoma" w:hAnsi="Tahoma" w:cs="Tahoma"/>
                <w:b/>
                <w:bCs/>
                <w:sz w:val="18"/>
                <w:szCs w:val="18"/>
              </w:rPr>
              <w:t>imports</w:t>
            </w:r>
            <w:r w:rsidRPr="00E3260D">
              <w:rPr>
                <w:rFonts w:ascii="Tahoma" w:hAnsi="Tahoma" w:cs="Tahoma"/>
                <w:sz w:val="18"/>
                <w:szCs w:val="18"/>
              </w:rPr>
              <w:t xml:space="preserve"> amounted to </w:t>
            </w:r>
            <w:r w:rsidRPr="00E3260D">
              <w:rPr>
                <w:rFonts w:ascii="Tahoma" w:hAnsi="Tahoma" w:cs="Tahoma"/>
                <w:b/>
                <w:sz w:val="18"/>
                <w:szCs w:val="18"/>
              </w:rPr>
              <w:t>USD</w:t>
            </w:r>
            <w:r w:rsidR="00AE7F01" w:rsidRPr="00E3260D">
              <w:rPr>
                <w:rFonts w:ascii="Tahoma" w:hAnsi="Tahoma" w:cs="Tahoma"/>
                <w:b/>
                <w:sz w:val="18"/>
                <w:szCs w:val="18"/>
              </w:rPr>
              <w:t xml:space="preserve"> </w:t>
            </w:r>
            <w:r w:rsidR="005007A3">
              <w:rPr>
                <w:rFonts w:ascii="Tahoma" w:hAnsi="Tahoma" w:cs="Tahoma"/>
                <w:b/>
                <w:sz w:val="18"/>
                <w:szCs w:val="18"/>
              </w:rPr>
              <w:t>20662.4</w:t>
            </w:r>
            <w:r w:rsidR="00E31ECD" w:rsidRPr="00E3260D">
              <w:rPr>
                <w:rFonts w:ascii="Tahoma" w:hAnsi="Tahoma" w:cs="Tahoma"/>
                <w:b/>
                <w:bCs/>
                <w:sz w:val="18"/>
                <w:szCs w:val="18"/>
              </w:rPr>
              <w:t xml:space="preserve"> </w:t>
            </w:r>
            <w:r w:rsidRPr="00E3260D">
              <w:rPr>
                <w:rFonts w:ascii="Tahoma" w:hAnsi="Tahoma" w:cs="Tahoma"/>
                <w:b/>
                <w:bCs/>
                <w:sz w:val="18"/>
                <w:szCs w:val="18"/>
              </w:rPr>
              <w:t>million</w:t>
            </w:r>
            <w:r w:rsidR="008C1F36" w:rsidRPr="00E3260D">
              <w:rPr>
                <w:rFonts w:ascii="Tahoma" w:hAnsi="Tahoma" w:cs="Tahoma"/>
                <w:sz w:val="18"/>
                <w:szCs w:val="18"/>
              </w:rPr>
              <w:t>, which was</w:t>
            </w:r>
            <w:r w:rsidR="00E31ECD" w:rsidRPr="00E3260D">
              <w:rPr>
                <w:rFonts w:ascii="Tahoma" w:hAnsi="Tahoma" w:cs="Tahoma"/>
                <w:sz w:val="18"/>
                <w:szCs w:val="18"/>
              </w:rPr>
              <w:t xml:space="preserve"> </w:t>
            </w:r>
            <w:r w:rsidR="005007A3">
              <w:rPr>
                <w:rFonts w:ascii="Tahoma" w:hAnsi="Tahoma" w:cs="Tahoma"/>
                <w:sz w:val="18"/>
                <w:szCs w:val="18"/>
              </w:rPr>
              <w:t>9.3</w:t>
            </w:r>
            <w:r w:rsidR="00BA07F9" w:rsidRPr="00E3260D">
              <w:rPr>
                <w:rFonts w:ascii="Tahoma" w:hAnsi="Tahoma" w:cs="Tahoma"/>
                <w:sz w:val="18"/>
                <w:szCs w:val="18"/>
              </w:rPr>
              <w:t>%</w:t>
            </w:r>
            <w:r w:rsidRPr="00E3260D">
              <w:rPr>
                <w:rFonts w:ascii="Tahoma" w:hAnsi="Tahoma" w:cs="Tahoma"/>
                <w:sz w:val="18"/>
                <w:szCs w:val="18"/>
              </w:rPr>
              <w:t xml:space="preserve"> </w:t>
            </w:r>
            <w:r w:rsidR="004E54E9" w:rsidRPr="00E3260D">
              <w:rPr>
                <w:rFonts w:ascii="Tahoma" w:hAnsi="Tahoma" w:cs="Tahoma"/>
                <w:sz w:val="18"/>
                <w:szCs w:val="18"/>
              </w:rPr>
              <w:t>in</w:t>
            </w:r>
            <w:r w:rsidRPr="00E3260D">
              <w:rPr>
                <w:rFonts w:ascii="Tahoma" w:hAnsi="Tahoma" w:cs="Tahoma"/>
                <w:sz w:val="18"/>
                <w:szCs w:val="18"/>
              </w:rPr>
              <w:t>crease relative to the same period last year.</w:t>
            </w:r>
          </w:p>
          <w:p w14:paraId="6ED9D2A8" w14:textId="77777777" w:rsidR="005D0BEF" w:rsidRPr="00E3260D" w:rsidRDefault="005D0BEF" w:rsidP="00F260EC">
            <w:pPr>
              <w:jc w:val="both"/>
              <w:rPr>
                <w:rFonts w:ascii="Tahoma" w:hAnsi="Tahoma" w:cs="Tahoma"/>
                <w:sz w:val="18"/>
                <w:szCs w:val="18"/>
              </w:rPr>
            </w:pPr>
          </w:p>
          <w:p w14:paraId="3573688C" w14:textId="4D03C6DE" w:rsidR="002064CD" w:rsidRPr="00E3260D" w:rsidRDefault="002064CD" w:rsidP="00F260EC">
            <w:pPr>
              <w:jc w:val="both"/>
              <w:rPr>
                <w:rFonts w:ascii="Tahoma" w:hAnsi="Tahoma" w:cs="Tahoma"/>
                <w:sz w:val="18"/>
                <w:szCs w:val="18"/>
              </w:rPr>
            </w:pPr>
            <w:r w:rsidRPr="00E3260D">
              <w:rPr>
                <w:rFonts w:ascii="Tahoma" w:hAnsi="Tahoma" w:cs="Tahoma"/>
                <w:sz w:val="18"/>
                <w:szCs w:val="18"/>
              </w:rPr>
              <w:t>Expressed</w:t>
            </w:r>
            <w:r w:rsidRPr="005007A3">
              <w:rPr>
                <w:rFonts w:ascii="Tahoma" w:hAnsi="Tahoma" w:cs="Tahoma"/>
                <w:sz w:val="18"/>
                <w:szCs w:val="18"/>
                <w:lang w:val="ru-RU"/>
              </w:rPr>
              <w:t xml:space="preserve"> </w:t>
            </w:r>
            <w:r w:rsidRPr="00E3260D">
              <w:rPr>
                <w:rFonts w:ascii="Tahoma" w:hAnsi="Tahoma" w:cs="Tahoma"/>
                <w:sz w:val="18"/>
                <w:szCs w:val="18"/>
              </w:rPr>
              <w:t>in</w:t>
            </w:r>
            <w:r w:rsidRPr="005007A3">
              <w:rPr>
                <w:rFonts w:ascii="Tahoma" w:hAnsi="Tahoma" w:cs="Tahoma"/>
                <w:sz w:val="18"/>
                <w:szCs w:val="18"/>
                <w:lang w:val="ru-RU"/>
              </w:rPr>
              <w:t xml:space="preserve"> </w:t>
            </w:r>
            <w:r w:rsidRPr="00E3260D">
              <w:rPr>
                <w:rFonts w:ascii="Tahoma" w:hAnsi="Tahoma" w:cs="Tahoma"/>
                <w:b/>
                <w:bCs/>
                <w:sz w:val="18"/>
                <w:szCs w:val="18"/>
              </w:rPr>
              <w:t>Euros</w:t>
            </w:r>
            <w:r w:rsidRPr="005007A3">
              <w:rPr>
                <w:rFonts w:ascii="Tahoma" w:hAnsi="Tahoma" w:cs="Tahoma"/>
                <w:sz w:val="18"/>
                <w:szCs w:val="18"/>
                <w:lang w:val="ru-RU"/>
              </w:rPr>
              <w:t xml:space="preserve">, </w:t>
            </w:r>
            <w:r w:rsidRPr="00E3260D">
              <w:rPr>
                <w:rFonts w:ascii="Tahoma" w:hAnsi="Tahoma" w:cs="Tahoma"/>
                <w:sz w:val="18"/>
                <w:szCs w:val="18"/>
              </w:rPr>
              <w:t>the</w:t>
            </w:r>
            <w:r w:rsidRPr="005007A3">
              <w:rPr>
                <w:rFonts w:ascii="Tahoma" w:hAnsi="Tahoma" w:cs="Tahoma"/>
                <w:sz w:val="18"/>
                <w:szCs w:val="18"/>
                <w:lang w:val="ru-RU"/>
              </w:rPr>
              <w:t xml:space="preserve"> </w:t>
            </w:r>
            <w:r w:rsidRPr="00E3260D">
              <w:rPr>
                <w:rFonts w:ascii="Tahoma" w:hAnsi="Tahoma" w:cs="Tahoma"/>
                <w:sz w:val="18"/>
                <w:szCs w:val="18"/>
              </w:rPr>
              <w:t>value</w:t>
            </w:r>
            <w:r w:rsidRPr="005007A3">
              <w:rPr>
                <w:rFonts w:ascii="Tahoma" w:hAnsi="Tahoma" w:cs="Tahoma"/>
                <w:sz w:val="18"/>
                <w:szCs w:val="18"/>
                <w:lang w:val="ru-RU"/>
              </w:rPr>
              <w:t xml:space="preserve"> </w:t>
            </w:r>
            <w:r w:rsidRPr="00E3260D">
              <w:rPr>
                <w:rFonts w:ascii="Tahoma" w:hAnsi="Tahoma" w:cs="Tahoma"/>
                <w:sz w:val="18"/>
                <w:szCs w:val="18"/>
              </w:rPr>
              <w:t>of</w:t>
            </w:r>
            <w:r w:rsidRPr="005007A3">
              <w:rPr>
                <w:rFonts w:ascii="Tahoma" w:hAnsi="Tahoma" w:cs="Tahoma"/>
                <w:sz w:val="18"/>
                <w:szCs w:val="18"/>
                <w:lang w:val="ru-RU"/>
              </w:rPr>
              <w:t xml:space="preserve"> </w:t>
            </w:r>
            <w:r w:rsidRPr="00E3260D">
              <w:rPr>
                <w:rFonts w:ascii="Tahoma" w:hAnsi="Tahoma" w:cs="Tahoma"/>
                <w:b/>
                <w:bCs/>
                <w:sz w:val="18"/>
                <w:szCs w:val="18"/>
              </w:rPr>
              <w:t>exports</w:t>
            </w:r>
            <w:r w:rsidRPr="005007A3">
              <w:rPr>
                <w:rFonts w:ascii="Tahoma" w:hAnsi="Tahoma" w:cs="Tahoma"/>
                <w:sz w:val="18"/>
                <w:szCs w:val="18"/>
                <w:lang w:val="ru-RU"/>
              </w:rPr>
              <w:t xml:space="preserve"> </w:t>
            </w:r>
            <w:r w:rsidRPr="00E3260D">
              <w:rPr>
                <w:rFonts w:ascii="Tahoma" w:hAnsi="Tahoma" w:cs="Tahoma"/>
                <w:sz w:val="18"/>
                <w:szCs w:val="18"/>
              </w:rPr>
              <w:t>amounted</w:t>
            </w:r>
            <w:r w:rsidRPr="005007A3">
              <w:rPr>
                <w:rFonts w:ascii="Tahoma" w:hAnsi="Tahoma" w:cs="Tahoma"/>
                <w:sz w:val="18"/>
                <w:szCs w:val="18"/>
                <w:lang w:val="ru-RU"/>
              </w:rPr>
              <w:t xml:space="preserve"> </w:t>
            </w:r>
            <w:r w:rsidRPr="00E3260D">
              <w:rPr>
                <w:rFonts w:ascii="Tahoma" w:hAnsi="Tahoma" w:cs="Tahoma"/>
                <w:sz w:val="18"/>
                <w:szCs w:val="18"/>
              </w:rPr>
              <w:t>to</w:t>
            </w:r>
            <w:r w:rsidRPr="005007A3">
              <w:rPr>
                <w:rFonts w:ascii="Tahoma" w:hAnsi="Tahoma" w:cs="Tahoma"/>
                <w:sz w:val="18"/>
                <w:szCs w:val="18"/>
                <w:lang w:val="ru-RU"/>
              </w:rPr>
              <w:t xml:space="preserve"> </w:t>
            </w:r>
            <w:r w:rsidRPr="00E3260D">
              <w:rPr>
                <w:rFonts w:ascii="Tahoma" w:hAnsi="Tahoma" w:cs="Tahoma"/>
                <w:b/>
                <w:bCs/>
                <w:sz w:val="18"/>
                <w:szCs w:val="18"/>
              </w:rPr>
              <w:t>EUR</w:t>
            </w:r>
            <w:r w:rsidRPr="005007A3">
              <w:rPr>
                <w:rFonts w:ascii="Tahoma" w:hAnsi="Tahoma" w:cs="Tahoma"/>
                <w:b/>
                <w:bCs/>
                <w:sz w:val="18"/>
                <w:szCs w:val="18"/>
                <w:lang w:val="ru-RU"/>
              </w:rPr>
              <w:t xml:space="preserve"> </w:t>
            </w:r>
            <w:r w:rsidR="005007A3">
              <w:rPr>
                <w:rFonts w:ascii="Tahoma" w:hAnsi="Tahoma" w:cs="Tahoma"/>
                <w:b/>
                <w:bCs/>
                <w:sz w:val="18"/>
                <w:szCs w:val="18"/>
                <w:lang w:val="en-US"/>
              </w:rPr>
              <w:t>14698.5</w:t>
            </w:r>
            <w:r w:rsidRPr="005007A3">
              <w:rPr>
                <w:rFonts w:ascii="Tahoma" w:hAnsi="Tahoma" w:cs="Tahoma"/>
                <w:b/>
                <w:bCs/>
                <w:sz w:val="18"/>
                <w:szCs w:val="18"/>
                <w:lang w:val="ru-RU"/>
              </w:rPr>
              <w:t xml:space="preserve"> </w:t>
            </w:r>
            <w:r w:rsidRPr="00E3260D">
              <w:rPr>
                <w:rFonts w:ascii="Tahoma" w:hAnsi="Tahoma" w:cs="Tahoma"/>
                <w:b/>
                <w:bCs/>
                <w:sz w:val="18"/>
                <w:szCs w:val="18"/>
              </w:rPr>
              <w:t>million</w:t>
            </w:r>
            <w:r w:rsidRPr="005007A3">
              <w:rPr>
                <w:rFonts w:ascii="Tahoma" w:hAnsi="Tahoma" w:cs="Tahoma"/>
                <w:sz w:val="18"/>
                <w:szCs w:val="18"/>
                <w:lang w:val="ru-RU"/>
              </w:rPr>
              <w:t xml:space="preserve">, </w:t>
            </w:r>
            <w:r w:rsidRPr="00E3260D">
              <w:rPr>
                <w:rFonts w:ascii="Tahoma" w:hAnsi="Tahoma" w:cs="Tahoma"/>
                <w:sz w:val="18"/>
                <w:szCs w:val="18"/>
              </w:rPr>
              <w:t>which</w:t>
            </w:r>
            <w:r w:rsidRPr="005007A3">
              <w:rPr>
                <w:rFonts w:ascii="Tahoma" w:hAnsi="Tahoma" w:cs="Tahoma"/>
                <w:sz w:val="18"/>
                <w:szCs w:val="18"/>
                <w:lang w:val="ru-RU"/>
              </w:rPr>
              <w:t xml:space="preserve"> </w:t>
            </w:r>
            <w:r w:rsidRPr="00E3260D">
              <w:rPr>
                <w:rFonts w:ascii="Tahoma" w:hAnsi="Tahoma" w:cs="Tahoma"/>
                <w:sz w:val="18"/>
                <w:szCs w:val="18"/>
              </w:rPr>
              <w:t>was</w:t>
            </w:r>
            <w:r w:rsidRPr="005007A3">
              <w:rPr>
                <w:rFonts w:ascii="Tahoma" w:hAnsi="Tahoma" w:cs="Tahoma"/>
                <w:sz w:val="18"/>
                <w:szCs w:val="18"/>
                <w:lang w:val="ru-RU"/>
              </w:rPr>
              <w:t xml:space="preserve"> </w:t>
            </w:r>
            <w:r w:rsidR="005007A3">
              <w:rPr>
                <w:rFonts w:ascii="Tahoma" w:hAnsi="Tahoma" w:cs="Tahoma"/>
                <w:sz w:val="18"/>
                <w:szCs w:val="18"/>
                <w:lang w:val="en-US"/>
              </w:rPr>
              <w:t>7.7</w:t>
            </w:r>
            <w:r w:rsidR="005D0BEF" w:rsidRPr="005007A3">
              <w:rPr>
                <w:rFonts w:ascii="Tahoma" w:hAnsi="Tahoma" w:cs="Tahoma"/>
                <w:sz w:val="18"/>
                <w:szCs w:val="18"/>
                <w:lang w:val="ru-RU"/>
              </w:rPr>
              <w:t xml:space="preserve">% </w:t>
            </w:r>
            <w:r w:rsidR="004E54E9" w:rsidRPr="00E3260D">
              <w:rPr>
                <w:rFonts w:ascii="Tahoma" w:hAnsi="Tahoma" w:cs="Tahoma"/>
                <w:sz w:val="18"/>
                <w:szCs w:val="18"/>
              </w:rPr>
              <w:t>in</w:t>
            </w:r>
            <w:r w:rsidR="005D0BEF" w:rsidRPr="00E3260D">
              <w:rPr>
                <w:rFonts w:ascii="Tahoma" w:hAnsi="Tahoma" w:cs="Tahoma"/>
                <w:sz w:val="18"/>
                <w:szCs w:val="18"/>
              </w:rPr>
              <w:t>crease</w:t>
            </w:r>
            <w:r w:rsidRPr="005007A3">
              <w:rPr>
                <w:rFonts w:ascii="Tahoma" w:hAnsi="Tahoma" w:cs="Tahoma"/>
                <w:sz w:val="18"/>
                <w:szCs w:val="18"/>
                <w:lang w:val="ru-RU"/>
              </w:rPr>
              <w:t xml:space="preserve">, </w:t>
            </w:r>
            <w:r w:rsidRPr="00E3260D">
              <w:rPr>
                <w:rFonts w:ascii="Tahoma" w:hAnsi="Tahoma" w:cs="Tahoma"/>
                <w:sz w:val="18"/>
                <w:szCs w:val="18"/>
              </w:rPr>
              <w:t>compared</w:t>
            </w:r>
            <w:r w:rsidRPr="005007A3">
              <w:rPr>
                <w:rFonts w:ascii="Tahoma" w:hAnsi="Tahoma" w:cs="Tahoma"/>
                <w:sz w:val="18"/>
                <w:szCs w:val="18"/>
                <w:lang w:val="ru-RU"/>
              </w:rPr>
              <w:t xml:space="preserve"> </w:t>
            </w:r>
            <w:r w:rsidRPr="00E3260D">
              <w:rPr>
                <w:rFonts w:ascii="Tahoma" w:hAnsi="Tahoma" w:cs="Tahoma"/>
                <w:sz w:val="18"/>
                <w:szCs w:val="18"/>
              </w:rPr>
              <w:t>to</w:t>
            </w:r>
            <w:r w:rsidRPr="005007A3">
              <w:rPr>
                <w:rFonts w:ascii="Tahoma" w:hAnsi="Tahoma" w:cs="Tahoma"/>
                <w:sz w:val="18"/>
                <w:szCs w:val="18"/>
                <w:lang w:val="ru-RU"/>
              </w:rPr>
              <w:t xml:space="preserve"> </w:t>
            </w:r>
            <w:r w:rsidRPr="00E3260D">
              <w:rPr>
                <w:rFonts w:ascii="Tahoma" w:hAnsi="Tahoma" w:cs="Tahoma"/>
                <w:sz w:val="18"/>
                <w:szCs w:val="18"/>
              </w:rPr>
              <w:t>the</w:t>
            </w:r>
            <w:r w:rsidRPr="005007A3">
              <w:rPr>
                <w:rFonts w:ascii="Tahoma" w:hAnsi="Tahoma" w:cs="Tahoma"/>
                <w:sz w:val="18"/>
                <w:szCs w:val="18"/>
                <w:lang w:val="ru-RU"/>
              </w:rPr>
              <w:t xml:space="preserve"> </w:t>
            </w:r>
            <w:r w:rsidRPr="00E3260D">
              <w:rPr>
                <w:rFonts w:ascii="Tahoma" w:hAnsi="Tahoma" w:cs="Tahoma"/>
                <w:sz w:val="18"/>
                <w:szCs w:val="18"/>
              </w:rPr>
              <w:t>same</w:t>
            </w:r>
            <w:r w:rsidRPr="005007A3">
              <w:rPr>
                <w:rFonts w:ascii="Tahoma" w:hAnsi="Tahoma" w:cs="Tahoma"/>
                <w:sz w:val="18"/>
                <w:szCs w:val="18"/>
                <w:lang w:val="ru-RU"/>
              </w:rPr>
              <w:t xml:space="preserve"> </w:t>
            </w:r>
            <w:r w:rsidRPr="00E3260D">
              <w:rPr>
                <w:rFonts w:ascii="Tahoma" w:hAnsi="Tahoma" w:cs="Tahoma"/>
                <w:sz w:val="18"/>
                <w:szCs w:val="18"/>
              </w:rPr>
              <w:t>period</w:t>
            </w:r>
            <w:r w:rsidRPr="005007A3">
              <w:rPr>
                <w:rFonts w:ascii="Tahoma" w:hAnsi="Tahoma" w:cs="Tahoma"/>
                <w:sz w:val="18"/>
                <w:szCs w:val="18"/>
                <w:lang w:val="ru-RU"/>
              </w:rPr>
              <w:t xml:space="preserve"> </w:t>
            </w:r>
            <w:r w:rsidRPr="00E3260D">
              <w:rPr>
                <w:rFonts w:ascii="Tahoma" w:hAnsi="Tahoma" w:cs="Tahoma"/>
                <w:sz w:val="18"/>
                <w:szCs w:val="18"/>
              </w:rPr>
              <w:t>last</w:t>
            </w:r>
            <w:r w:rsidRPr="005007A3">
              <w:rPr>
                <w:rFonts w:ascii="Tahoma" w:hAnsi="Tahoma" w:cs="Tahoma"/>
                <w:sz w:val="18"/>
                <w:szCs w:val="18"/>
                <w:lang w:val="ru-RU"/>
              </w:rPr>
              <w:t xml:space="preserve"> </w:t>
            </w:r>
            <w:r w:rsidRPr="00E3260D">
              <w:rPr>
                <w:rFonts w:ascii="Tahoma" w:hAnsi="Tahoma" w:cs="Tahoma"/>
                <w:sz w:val="18"/>
                <w:szCs w:val="18"/>
              </w:rPr>
              <w:t>year</w:t>
            </w:r>
            <w:r w:rsidRPr="005007A3">
              <w:rPr>
                <w:rFonts w:ascii="Tahoma" w:hAnsi="Tahoma" w:cs="Tahoma"/>
                <w:sz w:val="18"/>
                <w:szCs w:val="18"/>
                <w:lang w:val="ru-RU"/>
              </w:rPr>
              <w:t xml:space="preserve">. </w:t>
            </w:r>
            <w:r w:rsidRPr="00E3260D">
              <w:rPr>
                <w:rFonts w:ascii="Tahoma" w:hAnsi="Tahoma" w:cs="Tahoma"/>
                <w:sz w:val="18"/>
                <w:szCs w:val="18"/>
              </w:rPr>
              <w:t xml:space="preserve">The value of </w:t>
            </w:r>
            <w:r w:rsidRPr="00E3260D">
              <w:rPr>
                <w:rFonts w:ascii="Tahoma" w:hAnsi="Tahoma" w:cs="Tahoma"/>
                <w:b/>
                <w:bCs/>
                <w:sz w:val="18"/>
                <w:szCs w:val="18"/>
              </w:rPr>
              <w:t>imports</w:t>
            </w:r>
            <w:r w:rsidRPr="00E3260D">
              <w:rPr>
                <w:rFonts w:ascii="Tahoma" w:hAnsi="Tahoma" w:cs="Tahoma"/>
                <w:sz w:val="18"/>
                <w:szCs w:val="18"/>
              </w:rPr>
              <w:t xml:space="preserve"> amounted to </w:t>
            </w:r>
            <w:r w:rsidRPr="00E3260D">
              <w:rPr>
                <w:rFonts w:ascii="Tahoma" w:hAnsi="Tahoma" w:cs="Tahoma"/>
                <w:b/>
                <w:bCs/>
                <w:sz w:val="18"/>
                <w:szCs w:val="18"/>
              </w:rPr>
              <w:t xml:space="preserve">EUR </w:t>
            </w:r>
            <w:r w:rsidR="005007A3">
              <w:rPr>
                <w:rFonts w:ascii="Tahoma" w:hAnsi="Tahoma" w:cs="Tahoma"/>
                <w:b/>
                <w:bCs/>
                <w:sz w:val="18"/>
                <w:szCs w:val="18"/>
              </w:rPr>
              <w:t>17677.8</w:t>
            </w:r>
            <w:r w:rsidR="003B4440" w:rsidRPr="00E3260D">
              <w:rPr>
                <w:rFonts w:ascii="Tahoma" w:hAnsi="Tahoma" w:cs="Tahoma"/>
                <w:b/>
                <w:bCs/>
                <w:sz w:val="18"/>
                <w:szCs w:val="18"/>
              </w:rPr>
              <w:t xml:space="preserve"> </w:t>
            </w:r>
            <w:r w:rsidRPr="00E3260D">
              <w:rPr>
                <w:rFonts w:ascii="Tahoma" w:hAnsi="Tahoma" w:cs="Tahoma"/>
                <w:b/>
                <w:bCs/>
                <w:sz w:val="18"/>
                <w:szCs w:val="18"/>
              </w:rPr>
              <w:t>million</w:t>
            </w:r>
            <w:r w:rsidRPr="00E3260D">
              <w:rPr>
                <w:rFonts w:ascii="Tahoma" w:hAnsi="Tahoma" w:cs="Tahoma"/>
                <w:sz w:val="18"/>
                <w:szCs w:val="18"/>
              </w:rPr>
              <w:t>, which was</w:t>
            </w:r>
            <w:r w:rsidR="00E31ECD" w:rsidRPr="00E3260D">
              <w:rPr>
                <w:rFonts w:ascii="Tahoma" w:hAnsi="Tahoma" w:cs="Tahoma"/>
                <w:sz w:val="18"/>
                <w:szCs w:val="18"/>
              </w:rPr>
              <w:t xml:space="preserve"> </w:t>
            </w:r>
            <w:r w:rsidR="005007A3">
              <w:rPr>
                <w:rFonts w:ascii="Tahoma" w:hAnsi="Tahoma" w:cs="Tahoma"/>
                <w:sz w:val="18"/>
                <w:szCs w:val="18"/>
              </w:rPr>
              <w:t>1.0</w:t>
            </w:r>
            <w:r w:rsidR="0037188B" w:rsidRPr="00E3260D">
              <w:rPr>
                <w:rFonts w:ascii="Tahoma" w:hAnsi="Tahoma" w:cs="Tahoma"/>
                <w:sz w:val="18"/>
                <w:szCs w:val="18"/>
              </w:rPr>
              <w:t xml:space="preserve">% </w:t>
            </w:r>
            <w:r w:rsidR="004E7571" w:rsidRPr="00E3260D">
              <w:rPr>
                <w:rFonts w:ascii="Tahoma" w:hAnsi="Tahoma" w:cs="Tahoma"/>
                <w:sz w:val="18"/>
                <w:szCs w:val="18"/>
              </w:rPr>
              <w:t>in</w:t>
            </w:r>
            <w:r w:rsidRPr="00E3260D">
              <w:rPr>
                <w:rFonts w:ascii="Tahoma" w:hAnsi="Tahoma" w:cs="Tahoma"/>
                <w:sz w:val="18"/>
                <w:szCs w:val="18"/>
              </w:rPr>
              <w:t xml:space="preserve">crease when compared to the same period last year. </w:t>
            </w:r>
          </w:p>
          <w:p w14:paraId="277EA3E5" w14:textId="77777777" w:rsidR="00DE5DDD" w:rsidRPr="00E3260D" w:rsidRDefault="00DE5DDD" w:rsidP="00F260EC">
            <w:pPr>
              <w:jc w:val="both"/>
              <w:rPr>
                <w:rFonts w:ascii="Tahoma" w:hAnsi="Tahoma" w:cs="Tahoma"/>
                <w:b/>
                <w:bCs/>
                <w:sz w:val="18"/>
                <w:szCs w:val="18"/>
              </w:rPr>
            </w:pPr>
          </w:p>
          <w:p w14:paraId="40624449" w14:textId="3F8D91E9" w:rsidR="002064CD" w:rsidRPr="00E3260D" w:rsidRDefault="002064CD" w:rsidP="00F260EC">
            <w:pPr>
              <w:jc w:val="both"/>
              <w:rPr>
                <w:rFonts w:ascii="Tahoma" w:hAnsi="Tahoma" w:cs="Tahoma"/>
                <w:sz w:val="18"/>
                <w:szCs w:val="18"/>
              </w:rPr>
            </w:pPr>
            <w:r w:rsidRPr="00E3260D">
              <w:rPr>
                <w:rFonts w:ascii="Tahoma" w:hAnsi="Tahoma" w:cs="Tahoma"/>
                <w:b/>
                <w:bCs/>
                <w:sz w:val="18"/>
                <w:szCs w:val="18"/>
              </w:rPr>
              <w:t>The</w:t>
            </w:r>
            <w:r w:rsidRPr="005007A3">
              <w:rPr>
                <w:rFonts w:ascii="Tahoma" w:hAnsi="Tahoma" w:cs="Tahoma"/>
                <w:b/>
                <w:bCs/>
                <w:sz w:val="18"/>
                <w:szCs w:val="18"/>
                <w:lang w:val="sr-Cyrl-CS"/>
              </w:rPr>
              <w:t xml:space="preserve"> </w:t>
            </w:r>
            <w:r w:rsidRPr="00E3260D">
              <w:rPr>
                <w:rFonts w:ascii="Tahoma" w:hAnsi="Tahoma" w:cs="Tahoma"/>
                <w:b/>
                <w:bCs/>
                <w:sz w:val="18"/>
                <w:szCs w:val="18"/>
              </w:rPr>
              <w:t>deficit</w:t>
            </w:r>
            <w:r w:rsidRPr="005007A3">
              <w:rPr>
                <w:rFonts w:ascii="Tahoma" w:hAnsi="Tahoma" w:cs="Tahoma"/>
                <w:sz w:val="18"/>
                <w:szCs w:val="18"/>
                <w:lang w:val="sr-Cyrl-CS"/>
              </w:rPr>
              <w:t xml:space="preserve"> </w:t>
            </w:r>
            <w:r w:rsidRPr="00E3260D">
              <w:rPr>
                <w:rFonts w:ascii="Tahoma" w:hAnsi="Tahoma" w:cs="Tahoma"/>
                <w:sz w:val="18"/>
                <w:szCs w:val="18"/>
              </w:rPr>
              <w:t>amounted</w:t>
            </w:r>
            <w:r w:rsidRPr="005007A3">
              <w:rPr>
                <w:rFonts w:ascii="Tahoma" w:hAnsi="Tahoma" w:cs="Tahoma"/>
                <w:sz w:val="18"/>
                <w:szCs w:val="18"/>
                <w:lang w:val="sr-Cyrl-CS"/>
              </w:rPr>
              <w:t xml:space="preserve"> </w:t>
            </w:r>
            <w:r w:rsidRPr="00E3260D">
              <w:rPr>
                <w:rFonts w:ascii="Tahoma" w:hAnsi="Tahoma" w:cs="Tahoma"/>
                <w:sz w:val="18"/>
                <w:szCs w:val="18"/>
              </w:rPr>
              <w:t>to</w:t>
            </w:r>
            <w:r w:rsidRPr="005007A3">
              <w:rPr>
                <w:rFonts w:ascii="Tahoma" w:hAnsi="Tahoma" w:cs="Tahoma"/>
                <w:sz w:val="18"/>
                <w:szCs w:val="18"/>
                <w:lang w:val="sr-Cyrl-CS"/>
              </w:rPr>
              <w:t xml:space="preserve"> </w:t>
            </w:r>
            <w:r w:rsidR="00704021" w:rsidRPr="00E3260D">
              <w:rPr>
                <w:rFonts w:ascii="Tahoma" w:hAnsi="Tahoma" w:cs="Tahoma"/>
                <w:b/>
                <w:bCs/>
                <w:sz w:val="18"/>
                <w:szCs w:val="18"/>
              </w:rPr>
              <w:t>USD</w:t>
            </w:r>
            <w:r w:rsidR="00E31ECD" w:rsidRPr="005007A3">
              <w:rPr>
                <w:rFonts w:ascii="Tahoma" w:hAnsi="Tahoma" w:cs="Tahoma"/>
                <w:b/>
                <w:bCs/>
                <w:sz w:val="18"/>
                <w:szCs w:val="18"/>
                <w:lang w:val="sr-Cyrl-CS"/>
              </w:rPr>
              <w:t xml:space="preserve"> </w:t>
            </w:r>
            <w:r w:rsidR="005007A3">
              <w:rPr>
                <w:rFonts w:ascii="Tahoma" w:hAnsi="Tahoma" w:cs="Tahoma"/>
                <w:b/>
                <w:bCs/>
                <w:sz w:val="18"/>
                <w:szCs w:val="18"/>
                <w:lang w:val="en-US"/>
              </w:rPr>
              <w:t>3488.2</w:t>
            </w:r>
            <w:r w:rsidRPr="005007A3">
              <w:rPr>
                <w:rFonts w:ascii="Tahoma" w:hAnsi="Tahoma" w:cs="Tahoma"/>
                <w:b/>
                <w:bCs/>
                <w:sz w:val="18"/>
                <w:szCs w:val="18"/>
                <w:lang w:val="sr-Cyrl-CS"/>
              </w:rPr>
              <w:t xml:space="preserve"> </w:t>
            </w:r>
            <w:r w:rsidRPr="00E3260D">
              <w:rPr>
                <w:rFonts w:ascii="Tahoma" w:hAnsi="Tahoma" w:cs="Tahoma"/>
                <w:b/>
                <w:bCs/>
                <w:sz w:val="18"/>
                <w:szCs w:val="18"/>
              </w:rPr>
              <w:t>million</w:t>
            </w:r>
            <w:r w:rsidRPr="005007A3">
              <w:rPr>
                <w:rFonts w:ascii="Tahoma" w:hAnsi="Tahoma" w:cs="Tahoma"/>
                <w:sz w:val="18"/>
                <w:szCs w:val="18"/>
                <w:lang w:val="sr-Cyrl-CS"/>
              </w:rPr>
              <w:t xml:space="preserve">, </w:t>
            </w:r>
            <w:r w:rsidRPr="00E3260D">
              <w:rPr>
                <w:rFonts w:ascii="Tahoma" w:hAnsi="Tahoma" w:cs="Tahoma"/>
                <w:sz w:val="18"/>
                <w:szCs w:val="18"/>
              </w:rPr>
              <w:t>which</w:t>
            </w:r>
            <w:r w:rsidRPr="005007A3">
              <w:rPr>
                <w:rFonts w:ascii="Tahoma" w:hAnsi="Tahoma" w:cs="Tahoma"/>
                <w:sz w:val="18"/>
                <w:szCs w:val="18"/>
                <w:lang w:val="sr-Cyrl-CS"/>
              </w:rPr>
              <w:t xml:space="preserve"> </w:t>
            </w:r>
            <w:r w:rsidRPr="00E3260D">
              <w:rPr>
                <w:rFonts w:ascii="Tahoma" w:hAnsi="Tahoma" w:cs="Tahoma"/>
                <w:sz w:val="18"/>
                <w:szCs w:val="18"/>
              </w:rPr>
              <w:t>was</w:t>
            </w:r>
            <w:r w:rsidRPr="005007A3">
              <w:rPr>
                <w:rFonts w:ascii="Tahoma" w:hAnsi="Tahoma" w:cs="Tahoma"/>
                <w:sz w:val="18"/>
                <w:szCs w:val="18"/>
                <w:lang w:val="sr-Cyrl-CS"/>
              </w:rPr>
              <w:t xml:space="preserve"> </w:t>
            </w:r>
            <w:r w:rsidRPr="00E3260D">
              <w:rPr>
                <w:rFonts w:ascii="Tahoma" w:hAnsi="Tahoma" w:cs="Tahoma"/>
                <w:sz w:val="18"/>
                <w:szCs w:val="18"/>
              </w:rPr>
              <w:t>a</w:t>
            </w:r>
            <w:r w:rsidR="00E31ECD" w:rsidRPr="005007A3">
              <w:rPr>
                <w:rFonts w:ascii="Tahoma" w:hAnsi="Tahoma" w:cs="Tahoma"/>
                <w:sz w:val="18"/>
                <w:szCs w:val="18"/>
                <w:lang w:val="sr-Cyrl-CS"/>
              </w:rPr>
              <w:t xml:space="preserve"> </w:t>
            </w:r>
            <w:r w:rsidR="0001411D" w:rsidRPr="00E3260D">
              <w:rPr>
                <w:rFonts w:ascii="Tahoma" w:hAnsi="Tahoma" w:cs="Tahoma"/>
                <w:b/>
                <w:bCs/>
                <w:sz w:val="18"/>
                <w:szCs w:val="18"/>
              </w:rPr>
              <w:t>de</w:t>
            </w:r>
            <w:r w:rsidRPr="00E3260D">
              <w:rPr>
                <w:rFonts w:ascii="Tahoma" w:hAnsi="Tahoma" w:cs="Tahoma"/>
                <w:b/>
                <w:bCs/>
                <w:sz w:val="18"/>
                <w:szCs w:val="18"/>
              </w:rPr>
              <w:t>crease</w:t>
            </w:r>
            <w:r w:rsidR="00E31ECD" w:rsidRPr="005007A3">
              <w:rPr>
                <w:rFonts w:ascii="Tahoma" w:hAnsi="Tahoma" w:cs="Tahoma"/>
                <w:b/>
                <w:bCs/>
                <w:sz w:val="18"/>
                <w:szCs w:val="18"/>
                <w:lang w:val="sr-Cyrl-CS"/>
              </w:rPr>
              <w:t xml:space="preserve"> </w:t>
            </w:r>
            <w:r w:rsidRPr="00E3260D">
              <w:rPr>
                <w:rFonts w:ascii="Tahoma" w:hAnsi="Tahoma" w:cs="Tahoma"/>
                <w:b/>
                <w:bCs/>
                <w:sz w:val="18"/>
                <w:szCs w:val="18"/>
              </w:rPr>
              <w:t>of</w:t>
            </w:r>
            <w:r w:rsidRPr="005007A3">
              <w:rPr>
                <w:rFonts w:ascii="Tahoma" w:hAnsi="Tahoma" w:cs="Tahoma"/>
                <w:b/>
                <w:bCs/>
                <w:sz w:val="18"/>
                <w:szCs w:val="18"/>
                <w:lang w:val="sr-Cyrl-CS"/>
              </w:rPr>
              <w:t xml:space="preserve"> </w:t>
            </w:r>
            <w:r w:rsidR="005007A3">
              <w:rPr>
                <w:rFonts w:ascii="Tahoma" w:hAnsi="Tahoma" w:cs="Tahoma"/>
                <w:b/>
                <w:bCs/>
                <w:sz w:val="18"/>
                <w:szCs w:val="18"/>
                <w:lang w:val="en-US"/>
              </w:rPr>
              <w:t>16.5</w:t>
            </w:r>
            <w:r w:rsidR="00576C77" w:rsidRPr="005007A3">
              <w:rPr>
                <w:rFonts w:ascii="Tahoma" w:hAnsi="Tahoma" w:cs="Tahoma"/>
                <w:b/>
                <w:bCs/>
                <w:sz w:val="18"/>
                <w:szCs w:val="18"/>
                <w:lang w:val="sr-Cyrl-CS"/>
              </w:rPr>
              <w:t>%</w:t>
            </w:r>
            <w:r w:rsidR="00C1578C" w:rsidRPr="005007A3">
              <w:rPr>
                <w:rFonts w:ascii="Tahoma" w:hAnsi="Tahoma" w:cs="Tahoma"/>
                <w:b/>
                <w:bCs/>
                <w:sz w:val="18"/>
                <w:szCs w:val="18"/>
                <w:lang w:val="sr-Cyrl-CS"/>
              </w:rPr>
              <w:t xml:space="preserve"> </w:t>
            </w:r>
            <w:r w:rsidRPr="00E3260D">
              <w:rPr>
                <w:rFonts w:ascii="Tahoma" w:hAnsi="Tahoma" w:cs="Tahoma"/>
                <w:sz w:val="18"/>
                <w:szCs w:val="18"/>
              </w:rPr>
              <w:t>in</w:t>
            </w:r>
            <w:r w:rsidRPr="005007A3">
              <w:rPr>
                <w:rFonts w:ascii="Tahoma" w:hAnsi="Tahoma" w:cs="Tahoma"/>
                <w:sz w:val="18"/>
                <w:szCs w:val="18"/>
                <w:lang w:val="sr-Cyrl-CS"/>
              </w:rPr>
              <w:t xml:space="preserve"> </w:t>
            </w:r>
            <w:r w:rsidRPr="00E3260D">
              <w:rPr>
                <w:rFonts w:ascii="Tahoma" w:hAnsi="Tahoma" w:cs="Tahoma"/>
                <w:sz w:val="18"/>
                <w:szCs w:val="18"/>
              </w:rPr>
              <w:t>relation</w:t>
            </w:r>
            <w:r w:rsidRPr="005007A3">
              <w:rPr>
                <w:rFonts w:ascii="Tahoma" w:hAnsi="Tahoma" w:cs="Tahoma"/>
                <w:sz w:val="18"/>
                <w:szCs w:val="18"/>
                <w:lang w:val="sr-Cyrl-CS"/>
              </w:rPr>
              <w:t xml:space="preserve"> </w:t>
            </w:r>
            <w:r w:rsidRPr="00E3260D">
              <w:rPr>
                <w:rFonts w:ascii="Tahoma" w:hAnsi="Tahoma" w:cs="Tahoma"/>
                <w:sz w:val="18"/>
                <w:szCs w:val="18"/>
              </w:rPr>
              <w:t>to</w:t>
            </w:r>
            <w:r w:rsidRPr="005007A3">
              <w:rPr>
                <w:rFonts w:ascii="Tahoma" w:hAnsi="Tahoma" w:cs="Tahoma"/>
                <w:sz w:val="18"/>
                <w:szCs w:val="18"/>
                <w:lang w:val="sr-Cyrl-CS"/>
              </w:rPr>
              <w:t xml:space="preserve"> </w:t>
            </w:r>
            <w:r w:rsidRPr="00E3260D">
              <w:rPr>
                <w:rFonts w:ascii="Tahoma" w:hAnsi="Tahoma" w:cs="Tahoma"/>
                <w:sz w:val="18"/>
                <w:szCs w:val="18"/>
              </w:rPr>
              <w:t>the</w:t>
            </w:r>
            <w:r w:rsidRPr="005007A3">
              <w:rPr>
                <w:rFonts w:ascii="Tahoma" w:hAnsi="Tahoma" w:cs="Tahoma"/>
                <w:sz w:val="18"/>
                <w:szCs w:val="18"/>
                <w:lang w:val="sr-Cyrl-CS"/>
              </w:rPr>
              <w:t xml:space="preserve"> </w:t>
            </w:r>
            <w:r w:rsidRPr="00E3260D">
              <w:rPr>
                <w:rFonts w:ascii="Tahoma" w:hAnsi="Tahoma" w:cs="Tahoma"/>
                <w:sz w:val="18"/>
                <w:szCs w:val="18"/>
              </w:rPr>
              <w:t>same</w:t>
            </w:r>
            <w:r w:rsidRPr="005007A3">
              <w:rPr>
                <w:rFonts w:ascii="Tahoma" w:hAnsi="Tahoma" w:cs="Tahoma"/>
                <w:sz w:val="18"/>
                <w:szCs w:val="18"/>
                <w:lang w:val="sr-Cyrl-CS"/>
              </w:rPr>
              <w:t xml:space="preserve"> </w:t>
            </w:r>
            <w:r w:rsidRPr="00E3260D">
              <w:rPr>
                <w:rFonts w:ascii="Tahoma" w:hAnsi="Tahoma" w:cs="Tahoma"/>
                <w:sz w:val="18"/>
                <w:szCs w:val="18"/>
              </w:rPr>
              <w:t>period</w:t>
            </w:r>
            <w:r w:rsidRPr="005007A3">
              <w:rPr>
                <w:rFonts w:ascii="Tahoma" w:hAnsi="Tahoma" w:cs="Tahoma"/>
                <w:sz w:val="18"/>
                <w:szCs w:val="18"/>
                <w:lang w:val="sr-Cyrl-CS"/>
              </w:rPr>
              <w:t xml:space="preserve"> </w:t>
            </w:r>
            <w:r w:rsidRPr="00E3260D">
              <w:rPr>
                <w:rFonts w:ascii="Tahoma" w:hAnsi="Tahoma" w:cs="Tahoma"/>
                <w:sz w:val="18"/>
                <w:szCs w:val="18"/>
              </w:rPr>
              <w:t>last</w:t>
            </w:r>
            <w:r w:rsidRPr="005007A3">
              <w:rPr>
                <w:rFonts w:ascii="Tahoma" w:hAnsi="Tahoma" w:cs="Tahoma"/>
                <w:sz w:val="18"/>
                <w:szCs w:val="18"/>
                <w:lang w:val="sr-Cyrl-CS"/>
              </w:rPr>
              <w:t xml:space="preserve"> </w:t>
            </w:r>
            <w:r w:rsidRPr="00E3260D">
              <w:rPr>
                <w:rFonts w:ascii="Tahoma" w:hAnsi="Tahoma" w:cs="Tahoma"/>
                <w:sz w:val="18"/>
                <w:szCs w:val="18"/>
              </w:rPr>
              <w:t>year</w:t>
            </w:r>
            <w:r w:rsidRPr="005007A3">
              <w:rPr>
                <w:rFonts w:ascii="Tahoma" w:hAnsi="Tahoma" w:cs="Tahoma"/>
                <w:sz w:val="18"/>
                <w:szCs w:val="18"/>
                <w:lang w:val="sr-Cyrl-CS"/>
              </w:rPr>
              <w:t xml:space="preserve">. </w:t>
            </w:r>
            <w:r w:rsidRPr="00E3260D">
              <w:rPr>
                <w:rFonts w:ascii="Tahoma" w:hAnsi="Tahoma" w:cs="Tahoma"/>
                <w:sz w:val="18"/>
                <w:szCs w:val="18"/>
              </w:rPr>
              <w:t>The deficit expre</w:t>
            </w:r>
            <w:r w:rsidR="00F01D32" w:rsidRPr="00E3260D">
              <w:rPr>
                <w:rFonts w:ascii="Tahoma" w:hAnsi="Tahoma" w:cs="Tahoma"/>
                <w:sz w:val="18"/>
                <w:szCs w:val="18"/>
              </w:rPr>
              <w:t xml:space="preserve">ssed in </w:t>
            </w:r>
            <w:r w:rsidR="00F01D32" w:rsidRPr="009C4D95">
              <w:rPr>
                <w:rFonts w:ascii="Tahoma" w:hAnsi="Tahoma" w:cs="Tahoma"/>
                <w:b/>
                <w:bCs/>
                <w:sz w:val="18"/>
                <w:szCs w:val="18"/>
              </w:rPr>
              <w:t>Euros</w:t>
            </w:r>
            <w:r w:rsidR="00F01D32" w:rsidRPr="00E3260D">
              <w:rPr>
                <w:rFonts w:ascii="Tahoma" w:hAnsi="Tahoma" w:cs="Tahoma"/>
                <w:sz w:val="18"/>
                <w:szCs w:val="18"/>
              </w:rPr>
              <w:t xml:space="preserve"> amounted to </w:t>
            </w:r>
            <w:r w:rsidR="00F407D0" w:rsidRPr="00F407D0">
              <w:rPr>
                <w:rFonts w:ascii="Tahoma" w:hAnsi="Tahoma" w:cs="Tahoma"/>
                <w:b/>
                <w:bCs/>
                <w:sz w:val="18"/>
                <w:szCs w:val="18"/>
              </w:rPr>
              <w:t xml:space="preserve">EUR </w:t>
            </w:r>
            <w:r w:rsidR="005007A3">
              <w:rPr>
                <w:rFonts w:ascii="Tahoma" w:hAnsi="Tahoma" w:cs="Tahoma"/>
                <w:b/>
                <w:bCs/>
                <w:sz w:val="18"/>
                <w:szCs w:val="18"/>
              </w:rPr>
              <w:t>2979.3</w:t>
            </w:r>
            <w:r w:rsidRPr="00F407D0">
              <w:rPr>
                <w:rFonts w:ascii="Tahoma" w:hAnsi="Tahoma" w:cs="Tahoma"/>
                <w:b/>
                <w:bCs/>
                <w:sz w:val="18"/>
                <w:szCs w:val="18"/>
              </w:rPr>
              <w:t xml:space="preserve"> million</w:t>
            </w:r>
            <w:r w:rsidRPr="00E3260D">
              <w:rPr>
                <w:rFonts w:ascii="Tahoma" w:hAnsi="Tahoma" w:cs="Tahoma"/>
                <w:sz w:val="18"/>
                <w:szCs w:val="18"/>
              </w:rPr>
              <w:t>, which was a</w:t>
            </w:r>
            <w:r w:rsidR="00E31ECD" w:rsidRPr="00E3260D">
              <w:rPr>
                <w:rFonts w:ascii="Tahoma" w:hAnsi="Tahoma" w:cs="Tahoma"/>
                <w:sz w:val="18"/>
                <w:szCs w:val="18"/>
              </w:rPr>
              <w:t xml:space="preserve"> </w:t>
            </w:r>
            <w:r w:rsidR="0001411D" w:rsidRPr="00E3260D">
              <w:rPr>
                <w:rFonts w:ascii="Tahoma" w:hAnsi="Tahoma" w:cs="Tahoma"/>
                <w:b/>
                <w:sz w:val="18"/>
                <w:szCs w:val="18"/>
              </w:rPr>
              <w:t>de</w:t>
            </w:r>
            <w:r w:rsidRPr="00E3260D">
              <w:rPr>
                <w:rFonts w:ascii="Tahoma" w:hAnsi="Tahoma" w:cs="Tahoma"/>
                <w:b/>
                <w:sz w:val="18"/>
                <w:szCs w:val="18"/>
              </w:rPr>
              <w:t xml:space="preserve">crease of </w:t>
            </w:r>
            <w:r w:rsidR="005007A3">
              <w:rPr>
                <w:rFonts w:ascii="Tahoma" w:hAnsi="Tahoma" w:cs="Tahoma"/>
                <w:b/>
                <w:sz w:val="18"/>
                <w:szCs w:val="18"/>
              </w:rPr>
              <w:t>22.9</w:t>
            </w:r>
            <w:r w:rsidRPr="00E3260D">
              <w:rPr>
                <w:rFonts w:ascii="Tahoma" w:hAnsi="Tahoma" w:cs="Tahoma"/>
                <w:b/>
                <w:sz w:val="18"/>
                <w:szCs w:val="18"/>
              </w:rPr>
              <w:t>%</w:t>
            </w:r>
            <w:r w:rsidRPr="00E3260D">
              <w:rPr>
                <w:rFonts w:ascii="Tahoma" w:hAnsi="Tahoma" w:cs="Tahoma"/>
                <w:sz w:val="18"/>
                <w:szCs w:val="18"/>
              </w:rPr>
              <w:t xml:space="preserve"> compared to the same period last year.</w:t>
            </w:r>
          </w:p>
          <w:p w14:paraId="4D08BD58" w14:textId="77777777" w:rsidR="00C1578C" w:rsidRPr="00E3260D" w:rsidRDefault="00C1578C" w:rsidP="00F260EC">
            <w:pPr>
              <w:jc w:val="both"/>
              <w:rPr>
                <w:rFonts w:ascii="Tahoma" w:hAnsi="Tahoma" w:cs="Tahoma"/>
                <w:b/>
                <w:bCs/>
                <w:sz w:val="18"/>
                <w:szCs w:val="18"/>
              </w:rPr>
            </w:pPr>
          </w:p>
          <w:p w14:paraId="4E393690" w14:textId="16AA5F6C" w:rsidR="00866C86" w:rsidRPr="00E3260D" w:rsidRDefault="007B7C13" w:rsidP="00F260EC">
            <w:pPr>
              <w:jc w:val="both"/>
              <w:rPr>
                <w:rFonts w:ascii="Arial" w:hAnsi="Arial" w:cs="Arial"/>
                <w:sz w:val="22"/>
                <w:szCs w:val="22"/>
              </w:rPr>
            </w:pPr>
            <w:r w:rsidRPr="00E3260D">
              <w:rPr>
                <w:rFonts w:ascii="Tahoma" w:hAnsi="Tahoma" w:cs="Tahoma"/>
                <w:b/>
                <w:bCs/>
                <w:sz w:val="18"/>
                <w:szCs w:val="18"/>
              </w:rPr>
              <w:t>T</w:t>
            </w:r>
            <w:r w:rsidR="002064CD" w:rsidRPr="00E3260D">
              <w:rPr>
                <w:rFonts w:ascii="Tahoma" w:hAnsi="Tahoma" w:cs="Tahoma"/>
                <w:b/>
                <w:bCs/>
                <w:sz w:val="18"/>
                <w:szCs w:val="18"/>
              </w:rPr>
              <w:t>he export - import ratio</w:t>
            </w:r>
            <w:r w:rsidR="00E31ECD" w:rsidRPr="00E3260D">
              <w:rPr>
                <w:rFonts w:ascii="Tahoma" w:hAnsi="Tahoma" w:cs="Tahoma"/>
                <w:b/>
                <w:bCs/>
                <w:sz w:val="18"/>
                <w:szCs w:val="18"/>
              </w:rPr>
              <w:t xml:space="preserve"> </w:t>
            </w:r>
            <w:r w:rsidR="00527A8C" w:rsidRPr="00E3260D">
              <w:rPr>
                <w:rFonts w:ascii="Tahoma" w:hAnsi="Tahoma" w:cs="Tahoma"/>
                <w:sz w:val="18"/>
                <w:szCs w:val="18"/>
              </w:rPr>
              <w:t>equalled</w:t>
            </w:r>
            <w:r w:rsidR="00E31ECD" w:rsidRPr="00E3260D">
              <w:rPr>
                <w:rFonts w:ascii="Tahoma" w:hAnsi="Tahoma" w:cs="Tahoma"/>
                <w:sz w:val="18"/>
                <w:szCs w:val="18"/>
              </w:rPr>
              <w:t xml:space="preserve"> </w:t>
            </w:r>
            <w:r w:rsidR="0099561B" w:rsidRPr="00E3260D">
              <w:rPr>
                <w:rFonts w:ascii="Tahoma" w:hAnsi="Tahoma" w:cs="Tahoma"/>
                <w:b/>
                <w:sz w:val="18"/>
                <w:szCs w:val="18"/>
              </w:rPr>
              <w:t>83</w:t>
            </w:r>
            <w:r w:rsidR="00F01D32" w:rsidRPr="00E3260D">
              <w:rPr>
                <w:rFonts w:ascii="Tahoma" w:hAnsi="Tahoma" w:cs="Tahoma"/>
                <w:b/>
                <w:sz w:val="18"/>
                <w:szCs w:val="18"/>
              </w:rPr>
              <w:t>.</w:t>
            </w:r>
            <w:r w:rsidR="005007A3">
              <w:rPr>
                <w:rFonts w:ascii="Tahoma" w:hAnsi="Tahoma" w:cs="Tahoma"/>
                <w:b/>
                <w:sz w:val="18"/>
                <w:szCs w:val="18"/>
              </w:rPr>
              <w:t>1</w:t>
            </w:r>
            <w:r w:rsidR="002064CD" w:rsidRPr="00E3260D">
              <w:rPr>
                <w:rFonts w:ascii="Tahoma" w:hAnsi="Tahoma" w:cs="Tahoma"/>
                <w:b/>
                <w:bCs/>
                <w:sz w:val="18"/>
                <w:szCs w:val="18"/>
              </w:rPr>
              <w:t>%</w:t>
            </w:r>
            <w:r w:rsidR="002064CD" w:rsidRPr="00E3260D">
              <w:rPr>
                <w:rFonts w:ascii="Tahoma" w:hAnsi="Tahoma" w:cs="Tahoma"/>
                <w:sz w:val="18"/>
                <w:szCs w:val="18"/>
              </w:rPr>
              <w:t xml:space="preserve"> and </w:t>
            </w:r>
            <w:r w:rsidR="00866C86" w:rsidRPr="00E3260D">
              <w:rPr>
                <w:rFonts w:ascii="Tahoma" w:hAnsi="Tahoma" w:cs="Tahoma"/>
                <w:sz w:val="18"/>
                <w:szCs w:val="18"/>
              </w:rPr>
              <w:t>wa</w:t>
            </w:r>
            <w:r w:rsidR="00F01D32" w:rsidRPr="00E3260D">
              <w:rPr>
                <w:rFonts w:ascii="Tahoma" w:hAnsi="Tahoma" w:cs="Tahoma"/>
                <w:sz w:val="18"/>
                <w:szCs w:val="18"/>
              </w:rPr>
              <w:t xml:space="preserve">s </w:t>
            </w:r>
            <w:r w:rsidR="00EB60AB" w:rsidRPr="00E3260D">
              <w:rPr>
                <w:rFonts w:ascii="Tahoma" w:hAnsi="Tahoma" w:cs="Tahoma"/>
                <w:sz w:val="18"/>
                <w:szCs w:val="18"/>
              </w:rPr>
              <w:t>high</w:t>
            </w:r>
            <w:r w:rsidR="00701880" w:rsidRPr="00E3260D">
              <w:rPr>
                <w:rFonts w:ascii="Tahoma" w:hAnsi="Tahoma" w:cs="Tahoma"/>
                <w:sz w:val="18"/>
                <w:szCs w:val="18"/>
              </w:rPr>
              <w:t>er</w:t>
            </w:r>
            <w:r w:rsidR="002064CD" w:rsidRPr="00E3260D">
              <w:rPr>
                <w:rFonts w:ascii="Tahoma" w:hAnsi="Tahoma" w:cs="Tahoma"/>
                <w:sz w:val="18"/>
                <w:szCs w:val="18"/>
              </w:rPr>
              <w:t xml:space="preserve"> if compared to the same period last year</w:t>
            </w:r>
            <w:r w:rsidR="00701880" w:rsidRPr="00E3260D">
              <w:rPr>
                <w:rFonts w:ascii="Tahoma" w:hAnsi="Tahoma" w:cs="Tahoma"/>
                <w:sz w:val="18"/>
                <w:szCs w:val="18"/>
              </w:rPr>
              <w:t xml:space="preserve"> when it </w:t>
            </w:r>
            <w:r w:rsidR="00866C86" w:rsidRPr="00E3260D">
              <w:rPr>
                <w:rFonts w:ascii="Tahoma" w:hAnsi="Tahoma" w:cs="Tahoma"/>
                <w:sz w:val="18"/>
                <w:szCs w:val="18"/>
              </w:rPr>
              <w:t>was</w:t>
            </w:r>
            <w:r w:rsidR="00E31ECD" w:rsidRPr="00E3260D">
              <w:rPr>
                <w:rFonts w:ascii="Tahoma" w:hAnsi="Tahoma" w:cs="Tahoma"/>
                <w:sz w:val="18"/>
                <w:szCs w:val="18"/>
              </w:rPr>
              <w:t xml:space="preserve"> </w:t>
            </w:r>
            <w:r w:rsidR="004E7571" w:rsidRPr="00E3260D">
              <w:rPr>
                <w:rFonts w:ascii="Tahoma" w:hAnsi="Tahoma" w:cs="Tahoma"/>
                <w:sz w:val="18"/>
                <w:szCs w:val="18"/>
              </w:rPr>
              <w:t>7</w:t>
            </w:r>
            <w:r w:rsidR="0099561B" w:rsidRPr="00E3260D">
              <w:rPr>
                <w:rFonts w:ascii="Tahoma" w:hAnsi="Tahoma" w:cs="Tahoma"/>
                <w:sz w:val="18"/>
                <w:szCs w:val="18"/>
              </w:rPr>
              <w:t>7</w:t>
            </w:r>
            <w:r w:rsidR="00701880" w:rsidRPr="00E3260D">
              <w:rPr>
                <w:rFonts w:ascii="Tahoma" w:hAnsi="Tahoma" w:cs="Tahoma"/>
                <w:sz w:val="18"/>
                <w:szCs w:val="18"/>
              </w:rPr>
              <w:t>.</w:t>
            </w:r>
            <w:r w:rsidR="005007A3">
              <w:rPr>
                <w:rFonts w:ascii="Tahoma" w:hAnsi="Tahoma" w:cs="Tahoma"/>
                <w:sz w:val="18"/>
                <w:szCs w:val="18"/>
              </w:rPr>
              <w:t>9</w:t>
            </w:r>
            <w:r w:rsidR="00701880" w:rsidRPr="00E3260D">
              <w:rPr>
                <w:rFonts w:ascii="Tahoma" w:hAnsi="Tahoma" w:cs="Tahoma"/>
                <w:sz w:val="18"/>
                <w:szCs w:val="18"/>
              </w:rPr>
              <w:t>%</w:t>
            </w:r>
            <w:r w:rsidR="00F01D32" w:rsidRPr="00E3260D">
              <w:rPr>
                <w:rFonts w:ascii="Tahoma" w:hAnsi="Tahoma" w:cs="Tahoma"/>
                <w:sz w:val="18"/>
                <w:szCs w:val="18"/>
              </w:rPr>
              <w:t>.</w:t>
            </w:r>
          </w:p>
          <w:p w14:paraId="03EF0543" w14:textId="77777777" w:rsidR="008D6610" w:rsidRPr="00E3260D" w:rsidRDefault="008D6610" w:rsidP="00F260EC">
            <w:pPr>
              <w:jc w:val="both"/>
              <w:rPr>
                <w:rFonts w:ascii="Arial" w:hAnsi="Arial" w:cs="Arial"/>
                <w:b/>
                <w:bCs/>
                <w:color w:val="000000"/>
                <w:sz w:val="18"/>
                <w:szCs w:val="18"/>
              </w:rPr>
            </w:pPr>
          </w:p>
          <w:p w14:paraId="03A991BE" w14:textId="2F1A3FD8" w:rsidR="00015B1B" w:rsidRPr="00E3260D" w:rsidRDefault="00015B1B" w:rsidP="00F260EC">
            <w:pPr>
              <w:pStyle w:val="BodyText2"/>
              <w:spacing w:line="240" w:lineRule="auto"/>
              <w:jc w:val="both"/>
              <w:rPr>
                <w:rFonts w:ascii="Tahoma" w:hAnsi="Tahoma" w:cs="Tahoma"/>
                <w:sz w:val="18"/>
                <w:szCs w:val="18"/>
              </w:rPr>
            </w:pPr>
            <w:r w:rsidRPr="00E3260D">
              <w:rPr>
                <w:rFonts w:ascii="Tahoma" w:hAnsi="Tahoma" w:cs="Tahoma"/>
                <w:sz w:val="18"/>
                <w:szCs w:val="18"/>
              </w:rPr>
              <w:t xml:space="preserve">Observed by regions, the largest share in export of Serbia was noted in </w:t>
            </w:r>
            <w:r w:rsidR="0051705A" w:rsidRPr="00E3260D">
              <w:rPr>
                <w:rFonts w:ascii="Tahoma" w:hAnsi="Tahoma" w:cs="Tahoma"/>
                <w:sz w:val="18"/>
                <w:szCs w:val="18"/>
              </w:rPr>
              <w:t>Region Vojvodine (</w:t>
            </w:r>
            <w:r w:rsidR="0001411D" w:rsidRPr="00E3260D">
              <w:rPr>
                <w:rFonts w:ascii="Tahoma" w:hAnsi="Tahoma" w:cs="Tahoma"/>
                <w:sz w:val="18"/>
                <w:szCs w:val="18"/>
              </w:rPr>
              <w:t>2</w:t>
            </w:r>
            <w:r w:rsidR="004E54E9" w:rsidRPr="00E3260D">
              <w:rPr>
                <w:rFonts w:ascii="Tahoma" w:hAnsi="Tahoma" w:cs="Tahoma"/>
                <w:sz w:val="18"/>
                <w:szCs w:val="18"/>
              </w:rPr>
              <w:t>9</w:t>
            </w:r>
            <w:r w:rsidR="0051705A" w:rsidRPr="00E3260D">
              <w:rPr>
                <w:rFonts w:ascii="Tahoma" w:hAnsi="Tahoma" w:cs="Tahoma"/>
                <w:sz w:val="18"/>
                <w:szCs w:val="18"/>
              </w:rPr>
              <w:t>.</w:t>
            </w:r>
            <w:r w:rsidR="0099561B" w:rsidRPr="00E3260D">
              <w:rPr>
                <w:rFonts w:ascii="Tahoma" w:hAnsi="Tahoma" w:cs="Tahoma"/>
                <w:sz w:val="18"/>
                <w:szCs w:val="18"/>
              </w:rPr>
              <w:t>7</w:t>
            </w:r>
            <w:r w:rsidR="0051705A" w:rsidRPr="00E3260D">
              <w:rPr>
                <w:rFonts w:ascii="Tahoma" w:hAnsi="Tahoma" w:cs="Tahoma"/>
                <w:sz w:val="18"/>
                <w:szCs w:val="18"/>
              </w:rPr>
              <w:t>), followed by</w:t>
            </w:r>
            <w:r w:rsidR="00970B94" w:rsidRPr="00E3260D">
              <w:rPr>
                <w:rFonts w:ascii="Tahoma" w:hAnsi="Tahoma" w:cs="Tahoma"/>
                <w:sz w:val="18"/>
                <w:szCs w:val="18"/>
              </w:rPr>
              <w:t xml:space="preserve"> </w:t>
            </w:r>
            <w:r w:rsidR="0001411D" w:rsidRPr="00E3260D">
              <w:rPr>
                <w:rFonts w:ascii="Tahoma" w:hAnsi="Tahoma" w:cs="Tahoma"/>
                <w:sz w:val="18"/>
                <w:szCs w:val="18"/>
              </w:rPr>
              <w:t>Region Šumadije i Zapadne Srbije (25.</w:t>
            </w:r>
            <w:r w:rsidR="005007A3">
              <w:rPr>
                <w:rFonts w:ascii="Tahoma" w:hAnsi="Tahoma" w:cs="Tahoma"/>
                <w:sz w:val="18"/>
                <w:szCs w:val="18"/>
              </w:rPr>
              <w:t>1</w:t>
            </w:r>
            <w:r w:rsidR="0001411D" w:rsidRPr="00E3260D">
              <w:rPr>
                <w:rFonts w:ascii="Tahoma" w:hAnsi="Tahoma" w:cs="Tahoma"/>
                <w:sz w:val="18"/>
                <w:szCs w:val="18"/>
              </w:rPr>
              <w:t xml:space="preserve">%), </w:t>
            </w:r>
            <w:r w:rsidR="000B1380" w:rsidRPr="00E3260D">
              <w:rPr>
                <w:rFonts w:ascii="Tahoma" w:hAnsi="Tahoma" w:cs="Tahoma"/>
                <w:sz w:val="18"/>
                <w:szCs w:val="18"/>
              </w:rPr>
              <w:t>Region Južne i Istočne Srbije (2</w:t>
            </w:r>
            <w:r w:rsidR="004E7571" w:rsidRPr="00E3260D">
              <w:rPr>
                <w:rFonts w:ascii="Tahoma" w:hAnsi="Tahoma" w:cs="Tahoma"/>
                <w:sz w:val="18"/>
                <w:szCs w:val="18"/>
              </w:rPr>
              <w:t>3</w:t>
            </w:r>
            <w:r w:rsidR="000B1380" w:rsidRPr="00E3260D">
              <w:rPr>
                <w:rFonts w:ascii="Tahoma" w:hAnsi="Tahoma" w:cs="Tahoma"/>
                <w:sz w:val="18"/>
                <w:szCs w:val="18"/>
              </w:rPr>
              <w:t>.</w:t>
            </w:r>
            <w:r w:rsidR="005007A3">
              <w:rPr>
                <w:rFonts w:ascii="Tahoma" w:hAnsi="Tahoma" w:cs="Tahoma"/>
                <w:sz w:val="18"/>
                <w:szCs w:val="18"/>
              </w:rPr>
              <w:t>4</w:t>
            </w:r>
            <w:r w:rsidR="000B1380" w:rsidRPr="00E3260D">
              <w:rPr>
                <w:rFonts w:ascii="Tahoma" w:hAnsi="Tahoma" w:cs="Tahoma"/>
                <w:sz w:val="18"/>
                <w:szCs w:val="18"/>
              </w:rPr>
              <w:t xml:space="preserve">%), </w:t>
            </w:r>
            <w:r w:rsidR="00970B94" w:rsidRPr="00E3260D">
              <w:rPr>
                <w:rFonts w:ascii="Tahoma" w:hAnsi="Tahoma" w:cs="Tahoma"/>
                <w:sz w:val="18"/>
                <w:szCs w:val="18"/>
              </w:rPr>
              <w:t>Beogradski region (</w:t>
            </w:r>
            <w:r w:rsidR="004E7571" w:rsidRPr="00E3260D">
              <w:rPr>
                <w:rFonts w:ascii="Tahoma" w:hAnsi="Tahoma" w:cs="Tahoma"/>
                <w:sz w:val="18"/>
                <w:szCs w:val="18"/>
              </w:rPr>
              <w:t>20</w:t>
            </w:r>
            <w:r w:rsidR="00970B94" w:rsidRPr="00E3260D">
              <w:rPr>
                <w:rFonts w:ascii="Tahoma" w:hAnsi="Tahoma" w:cs="Tahoma"/>
                <w:sz w:val="18"/>
                <w:szCs w:val="18"/>
              </w:rPr>
              <w:t>.</w:t>
            </w:r>
            <w:r w:rsidR="005007A3">
              <w:rPr>
                <w:rFonts w:ascii="Tahoma" w:hAnsi="Tahoma" w:cs="Tahoma"/>
                <w:sz w:val="18"/>
                <w:szCs w:val="18"/>
              </w:rPr>
              <w:t>8</w:t>
            </w:r>
            <w:r w:rsidR="00970B94" w:rsidRPr="00E3260D">
              <w:rPr>
                <w:rFonts w:ascii="Tahoma" w:hAnsi="Tahoma" w:cs="Tahoma"/>
                <w:sz w:val="18"/>
                <w:szCs w:val="18"/>
              </w:rPr>
              <w:t>%),</w:t>
            </w:r>
            <w:r w:rsidR="00E31ECD" w:rsidRPr="00E3260D">
              <w:rPr>
                <w:rFonts w:ascii="Tahoma" w:hAnsi="Tahoma" w:cs="Tahoma"/>
                <w:sz w:val="18"/>
                <w:szCs w:val="18"/>
              </w:rPr>
              <w:t xml:space="preserve"> </w:t>
            </w:r>
            <w:r w:rsidRPr="00E3260D">
              <w:rPr>
                <w:rFonts w:ascii="Tahoma" w:hAnsi="Tahoma" w:cs="Tahoma"/>
                <w:sz w:val="18"/>
                <w:szCs w:val="18"/>
              </w:rPr>
              <w:t xml:space="preserve">and approximately </w:t>
            </w:r>
            <w:r w:rsidR="00CD5BEE" w:rsidRPr="00E3260D">
              <w:rPr>
                <w:rFonts w:ascii="Tahoma" w:hAnsi="Tahoma" w:cs="Tahoma"/>
                <w:sz w:val="18"/>
                <w:szCs w:val="18"/>
              </w:rPr>
              <w:t>1</w:t>
            </w:r>
            <w:r w:rsidRPr="00E3260D">
              <w:rPr>
                <w:rFonts w:ascii="Tahoma" w:hAnsi="Tahoma" w:cs="Tahoma"/>
                <w:sz w:val="18"/>
                <w:szCs w:val="18"/>
              </w:rPr>
              <w:t>.</w:t>
            </w:r>
            <w:r w:rsidR="005007A3">
              <w:rPr>
                <w:rFonts w:ascii="Tahoma" w:hAnsi="Tahoma" w:cs="Tahoma"/>
                <w:sz w:val="18"/>
                <w:szCs w:val="18"/>
              </w:rPr>
              <w:t>0</w:t>
            </w:r>
            <w:r w:rsidRPr="00E3260D">
              <w:rPr>
                <w:rFonts w:ascii="Tahoma" w:hAnsi="Tahoma" w:cs="Tahoma"/>
                <w:sz w:val="18"/>
                <w:szCs w:val="18"/>
              </w:rPr>
              <w:t xml:space="preserve">% of total exports is not classified by territories. </w:t>
            </w:r>
          </w:p>
          <w:p w14:paraId="1B48D48E" w14:textId="533329B1" w:rsidR="00015B1B" w:rsidRPr="00E3260D" w:rsidRDefault="00015B1B" w:rsidP="00F260EC">
            <w:pPr>
              <w:jc w:val="both"/>
              <w:rPr>
                <w:rFonts w:ascii="Tahoma" w:hAnsi="Tahoma" w:cs="Tahoma"/>
                <w:bCs/>
                <w:color w:val="000000"/>
                <w:sz w:val="18"/>
                <w:szCs w:val="18"/>
              </w:rPr>
            </w:pPr>
            <w:r w:rsidRPr="00E3260D">
              <w:rPr>
                <w:rFonts w:ascii="Tahoma" w:hAnsi="Tahoma" w:cs="Tahoma"/>
                <w:color w:val="000000"/>
                <w:sz w:val="18"/>
                <w:szCs w:val="18"/>
              </w:rPr>
              <w:t xml:space="preserve">The greatest share in import of Serbia was noted in </w:t>
            </w:r>
            <w:r w:rsidR="00611607" w:rsidRPr="00E3260D">
              <w:rPr>
                <w:rFonts w:ascii="Tahoma" w:hAnsi="Tahoma" w:cs="Tahoma"/>
                <w:sz w:val="18"/>
                <w:szCs w:val="18"/>
              </w:rPr>
              <w:t xml:space="preserve">Beogradski region </w:t>
            </w:r>
            <w:r w:rsidRPr="00E3260D">
              <w:rPr>
                <w:rFonts w:ascii="Tahoma" w:hAnsi="Tahoma" w:cs="Tahoma"/>
                <w:color w:val="000000"/>
                <w:sz w:val="18"/>
                <w:szCs w:val="18"/>
              </w:rPr>
              <w:t>(</w:t>
            </w:r>
            <w:r w:rsidR="00EC314E" w:rsidRPr="00E3260D">
              <w:rPr>
                <w:rFonts w:ascii="Tahoma" w:hAnsi="Tahoma" w:cs="Tahoma"/>
                <w:color w:val="000000"/>
                <w:sz w:val="18"/>
                <w:szCs w:val="18"/>
              </w:rPr>
              <w:t>4</w:t>
            </w:r>
            <w:r w:rsidR="0099561B" w:rsidRPr="00E3260D">
              <w:rPr>
                <w:rFonts w:ascii="Tahoma" w:hAnsi="Tahoma" w:cs="Tahoma"/>
                <w:color w:val="000000"/>
                <w:sz w:val="18"/>
                <w:szCs w:val="18"/>
              </w:rPr>
              <w:t>3</w:t>
            </w:r>
            <w:r w:rsidRPr="00E3260D">
              <w:rPr>
                <w:rFonts w:ascii="Tahoma" w:hAnsi="Tahoma" w:cs="Tahoma"/>
                <w:color w:val="000000"/>
                <w:sz w:val="18"/>
                <w:szCs w:val="18"/>
              </w:rPr>
              <w:t>.</w:t>
            </w:r>
            <w:r w:rsidR="005007A3">
              <w:rPr>
                <w:rFonts w:ascii="Tahoma" w:hAnsi="Tahoma" w:cs="Tahoma"/>
                <w:color w:val="000000"/>
                <w:sz w:val="18"/>
                <w:szCs w:val="18"/>
              </w:rPr>
              <w:t>5</w:t>
            </w:r>
            <w:r w:rsidRPr="00E3260D">
              <w:rPr>
                <w:rFonts w:ascii="Tahoma" w:hAnsi="Tahoma" w:cs="Tahoma"/>
                <w:color w:val="000000"/>
                <w:sz w:val="18"/>
                <w:szCs w:val="18"/>
              </w:rPr>
              <w:t xml:space="preserve">%), followed by </w:t>
            </w:r>
            <w:r w:rsidRPr="00E3260D">
              <w:rPr>
                <w:rFonts w:ascii="Tahoma" w:hAnsi="Tahoma" w:cs="Tahoma"/>
                <w:sz w:val="18"/>
                <w:szCs w:val="18"/>
              </w:rPr>
              <w:t>Region Vojvodin</w:t>
            </w:r>
            <w:r w:rsidR="00611607" w:rsidRPr="00E3260D">
              <w:rPr>
                <w:rFonts w:ascii="Tahoma" w:hAnsi="Tahoma" w:cs="Tahoma"/>
                <w:sz w:val="18"/>
                <w:szCs w:val="18"/>
              </w:rPr>
              <w:t>e</w:t>
            </w:r>
            <w:r w:rsidR="0069747C" w:rsidRPr="00E3260D">
              <w:rPr>
                <w:rFonts w:ascii="Tahoma" w:hAnsi="Tahoma" w:cs="Tahoma"/>
                <w:sz w:val="18"/>
                <w:szCs w:val="18"/>
              </w:rPr>
              <w:t xml:space="preserve"> </w:t>
            </w:r>
            <w:r w:rsidRPr="00E3260D">
              <w:rPr>
                <w:rFonts w:ascii="Tahoma" w:hAnsi="Tahoma" w:cs="Tahoma"/>
                <w:color w:val="000000"/>
                <w:sz w:val="18"/>
                <w:szCs w:val="18"/>
              </w:rPr>
              <w:t>(</w:t>
            </w:r>
            <w:r w:rsidR="004E7571" w:rsidRPr="00E3260D">
              <w:rPr>
                <w:rFonts w:ascii="Tahoma" w:hAnsi="Tahoma" w:cs="Tahoma"/>
                <w:color w:val="000000"/>
                <w:sz w:val="18"/>
                <w:szCs w:val="18"/>
              </w:rPr>
              <w:t>30</w:t>
            </w:r>
            <w:r w:rsidRPr="00E3260D">
              <w:rPr>
                <w:rFonts w:ascii="Tahoma" w:hAnsi="Tahoma" w:cs="Tahoma"/>
                <w:color w:val="000000"/>
                <w:sz w:val="18"/>
                <w:szCs w:val="18"/>
              </w:rPr>
              <w:t>.</w:t>
            </w:r>
            <w:r w:rsidR="005007A3">
              <w:rPr>
                <w:rFonts w:ascii="Tahoma" w:hAnsi="Tahoma" w:cs="Tahoma"/>
                <w:color w:val="000000"/>
                <w:sz w:val="18"/>
                <w:szCs w:val="18"/>
              </w:rPr>
              <w:t>8</w:t>
            </w:r>
            <w:r w:rsidRPr="00E3260D">
              <w:rPr>
                <w:rFonts w:ascii="Tahoma" w:hAnsi="Tahoma" w:cs="Tahoma"/>
                <w:color w:val="000000"/>
                <w:sz w:val="18"/>
                <w:szCs w:val="18"/>
              </w:rPr>
              <w:t xml:space="preserve">%), </w:t>
            </w:r>
            <w:r w:rsidRPr="00E3260D">
              <w:rPr>
                <w:rFonts w:ascii="Tahoma" w:hAnsi="Tahoma" w:cs="Tahoma"/>
                <w:sz w:val="18"/>
                <w:szCs w:val="18"/>
              </w:rPr>
              <w:t xml:space="preserve">Region </w:t>
            </w:r>
            <w:r w:rsidR="00611607" w:rsidRPr="00E3260D">
              <w:rPr>
                <w:rFonts w:ascii="Tahoma" w:hAnsi="Tahoma" w:cs="Tahoma"/>
                <w:sz w:val="18"/>
                <w:szCs w:val="18"/>
              </w:rPr>
              <w:t>Šumadije i Zapadne</w:t>
            </w:r>
            <w:r w:rsidR="00AD1229" w:rsidRPr="00E3260D">
              <w:rPr>
                <w:rFonts w:ascii="Tahoma" w:hAnsi="Tahoma" w:cs="Tahoma"/>
                <w:sz w:val="18"/>
                <w:szCs w:val="18"/>
              </w:rPr>
              <w:t xml:space="preserve"> </w:t>
            </w:r>
            <w:r w:rsidR="00611607" w:rsidRPr="00E3260D">
              <w:rPr>
                <w:rFonts w:ascii="Tahoma" w:hAnsi="Tahoma" w:cs="Tahoma"/>
                <w:sz w:val="18"/>
                <w:szCs w:val="18"/>
              </w:rPr>
              <w:t>Srbije</w:t>
            </w:r>
            <w:r w:rsidR="0069747C" w:rsidRPr="00E3260D">
              <w:rPr>
                <w:rFonts w:ascii="Tahoma" w:hAnsi="Tahoma" w:cs="Tahoma"/>
                <w:sz w:val="18"/>
                <w:szCs w:val="18"/>
              </w:rPr>
              <w:t xml:space="preserve"> </w:t>
            </w:r>
            <w:r w:rsidRPr="00E3260D">
              <w:rPr>
                <w:rFonts w:ascii="Tahoma" w:hAnsi="Tahoma" w:cs="Tahoma"/>
                <w:bCs/>
                <w:color w:val="000000"/>
                <w:sz w:val="18"/>
                <w:szCs w:val="18"/>
              </w:rPr>
              <w:t>(</w:t>
            </w:r>
            <w:r w:rsidR="00206D7C" w:rsidRPr="00E3260D">
              <w:rPr>
                <w:rFonts w:ascii="Tahoma" w:hAnsi="Tahoma" w:cs="Tahoma"/>
                <w:bCs/>
                <w:color w:val="000000"/>
                <w:sz w:val="18"/>
                <w:szCs w:val="18"/>
              </w:rPr>
              <w:t>1</w:t>
            </w:r>
            <w:r w:rsidR="004E7571" w:rsidRPr="00E3260D">
              <w:rPr>
                <w:rFonts w:ascii="Tahoma" w:hAnsi="Tahoma" w:cs="Tahoma"/>
                <w:bCs/>
                <w:color w:val="000000"/>
                <w:sz w:val="18"/>
                <w:szCs w:val="18"/>
              </w:rPr>
              <w:t>5</w:t>
            </w:r>
            <w:r w:rsidRPr="00E3260D">
              <w:rPr>
                <w:rFonts w:ascii="Tahoma" w:hAnsi="Tahoma" w:cs="Tahoma"/>
                <w:bCs/>
                <w:color w:val="000000"/>
                <w:sz w:val="18"/>
                <w:szCs w:val="18"/>
              </w:rPr>
              <w:t>.</w:t>
            </w:r>
            <w:r w:rsidR="005007A3">
              <w:rPr>
                <w:rFonts w:ascii="Tahoma" w:hAnsi="Tahoma" w:cs="Tahoma"/>
                <w:bCs/>
                <w:color w:val="000000"/>
                <w:sz w:val="18"/>
                <w:szCs w:val="18"/>
              </w:rPr>
              <w:t>4</w:t>
            </w:r>
            <w:r w:rsidRPr="00E3260D">
              <w:rPr>
                <w:rFonts w:ascii="Tahoma" w:hAnsi="Tahoma" w:cs="Tahoma"/>
                <w:bCs/>
                <w:color w:val="000000"/>
                <w:sz w:val="18"/>
                <w:szCs w:val="18"/>
              </w:rPr>
              <w:t xml:space="preserve">%), </w:t>
            </w:r>
            <w:r w:rsidRPr="00E3260D">
              <w:rPr>
                <w:rFonts w:ascii="Tahoma" w:hAnsi="Tahoma" w:cs="Tahoma"/>
                <w:sz w:val="18"/>
                <w:szCs w:val="18"/>
              </w:rPr>
              <w:t xml:space="preserve">Region </w:t>
            </w:r>
            <w:r w:rsidR="00611607" w:rsidRPr="00E3260D">
              <w:rPr>
                <w:rFonts w:ascii="Tahoma" w:hAnsi="Tahoma" w:cs="Tahoma"/>
                <w:sz w:val="18"/>
                <w:szCs w:val="18"/>
              </w:rPr>
              <w:t>Južne i Istočne</w:t>
            </w:r>
            <w:r w:rsidR="0069747C" w:rsidRPr="00E3260D">
              <w:rPr>
                <w:rFonts w:ascii="Tahoma" w:hAnsi="Tahoma" w:cs="Tahoma"/>
                <w:sz w:val="18"/>
                <w:szCs w:val="18"/>
              </w:rPr>
              <w:t xml:space="preserve"> </w:t>
            </w:r>
            <w:r w:rsidR="00611607" w:rsidRPr="00E3260D">
              <w:rPr>
                <w:rFonts w:ascii="Tahoma" w:hAnsi="Tahoma" w:cs="Tahoma"/>
                <w:sz w:val="18"/>
                <w:szCs w:val="18"/>
              </w:rPr>
              <w:t>Srbije</w:t>
            </w:r>
            <w:r w:rsidR="0069747C" w:rsidRPr="00E3260D">
              <w:rPr>
                <w:rFonts w:ascii="Tahoma" w:hAnsi="Tahoma" w:cs="Tahoma"/>
                <w:sz w:val="18"/>
                <w:szCs w:val="18"/>
              </w:rPr>
              <w:t xml:space="preserve"> </w:t>
            </w:r>
            <w:r w:rsidRPr="00E3260D">
              <w:rPr>
                <w:rFonts w:ascii="Tahoma" w:hAnsi="Tahoma" w:cs="Tahoma"/>
                <w:color w:val="000000"/>
                <w:sz w:val="18"/>
                <w:szCs w:val="18"/>
              </w:rPr>
              <w:t>(</w:t>
            </w:r>
            <w:r w:rsidR="000B1380" w:rsidRPr="00E3260D">
              <w:rPr>
                <w:rFonts w:ascii="Tahoma" w:hAnsi="Tahoma" w:cs="Tahoma"/>
                <w:color w:val="000000"/>
                <w:sz w:val="18"/>
                <w:szCs w:val="18"/>
              </w:rPr>
              <w:t>8</w:t>
            </w:r>
            <w:r w:rsidR="00BD2B26" w:rsidRPr="00E3260D">
              <w:rPr>
                <w:rFonts w:ascii="Tahoma" w:hAnsi="Tahoma" w:cs="Tahoma"/>
                <w:color w:val="000000"/>
                <w:sz w:val="18"/>
                <w:szCs w:val="18"/>
              </w:rPr>
              <w:t>.</w:t>
            </w:r>
            <w:r w:rsidR="005007A3">
              <w:rPr>
                <w:rFonts w:ascii="Tahoma" w:hAnsi="Tahoma" w:cs="Tahoma"/>
                <w:color w:val="000000"/>
                <w:sz w:val="18"/>
                <w:szCs w:val="18"/>
              </w:rPr>
              <w:t>5</w:t>
            </w:r>
            <w:r w:rsidRPr="00E3260D">
              <w:rPr>
                <w:rFonts w:ascii="Tahoma" w:hAnsi="Tahoma" w:cs="Tahoma"/>
                <w:color w:val="000000"/>
                <w:sz w:val="18"/>
                <w:szCs w:val="18"/>
              </w:rPr>
              <w:t xml:space="preserve">%), </w:t>
            </w:r>
            <w:r w:rsidRPr="00E3260D">
              <w:rPr>
                <w:rFonts w:ascii="Tahoma" w:hAnsi="Tahoma" w:cs="Tahoma"/>
                <w:sz w:val="18"/>
                <w:szCs w:val="18"/>
              </w:rPr>
              <w:t xml:space="preserve">and approximately </w:t>
            </w:r>
            <w:r w:rsidR="0099561B" w:rsidRPr="00E3260D">
              <w:rPr>
                <w:rFonts w:ascii="Tahoma" w:hAnsi="Tahoma" w:cs="Tahoma"/>
                <w:sz w:val="18"/>
                <w:szCs w:val="18"/>
              </w:rPr>
              <w:t>1</w:t>
            </w:r>
            <w:r w:rsidRPr="00E3260D">
              <w:rPr>
                <w:rFonts w:ascii="Tahoma" w:hAnsi="Tahoma" w:cs="Tahoma"/>
                <w:sz w:val="18"/>
                <w:szCs w:val="18"/>
              </w:rPr>
              <w:t>.</w:t>
            </w:r>
            <w:r w:rsidR="0099561B" w:rsidRPr="00E3260D">
              <w:rPr>
                <w:rFonts w:ascii="Tahoma" w:hAnsi="Tahoma" w:cs="Tahoma"/>
                <w:sz w:val="18"/>
                <w:szCs w:val="18"/>
              </w:rPr>
              <w:t>8</w:t>
            </w:r>
            <w:r w:rsidRPr="00E3260D">
              <w:rPr>
                <w:rFonts w:ascii="Tahoma" w:hAnsi="Tahoma" w:cs="Tahoma"/>
                <w:sz w:val="18"/>
                <w:szCs w:val="18"/>
              </w:rPr>
              <w:t>% of total imports is not classified by territories</w:t>
            </w:r>
            <w:r w:rsidRPr="00E3260D">
              <w:rPr>
                <w:rFonts w:ascii="Tahoma" w:hAnsi="Tahoma" w:cs="Tahoma"/>
                <w:bCs/>
                <w:color w:val="000000"/>
                <w:sz w:val="18"/>
                <w:szCs w:val="18"/>
              </w:rPr>
              <w:t xml:space="preserve">. </w:t>
            </w:r>
            <w:r w:rsidRPr="00E3260D">
              <w:rPr>
                <w:rFonts w:ascii="Tahoma" w:hAnsi="Tahoma" w:cs="Tahoma"/>
                <w:sz w:val="18"/>
                <w:szCs w:val="18"/>
              </w:rPr>
              <w:t>Data on Kosovo and Metohi</w:t>
            </w:r>
            <w:r w:rsidR="00611607" w:rsidRPr="00E3260D">
              <w:rPr>
                <w:rFonts w:ascii="Tahoma" w:hAnsi="Tahoma" w:cs="Tahoma"/>
                <w:sz w:val="18"/>
                <w:szCs w:val="18"/>
              </w:rPr>
              <w:t>j</w:t>
            </w:r>
            <w:r w:rsidRPr="00E3260D">
              <w:rPr>
                <w:rFonts w:ascii="Tahoma" w:hAnsi="Tahoma" w:cs="Tahoma"/>
                <w:sz w:val="18"/>
                <w:szCs w:val="18"/>
              </w:rPr>
              <w:t xml:space="preserve">a are not available. </w:t>
            </w:r>
          </w:p>
          <w:p w14:paraId="1C344906" w14:textId="77777777" w:rsidR="00DD04BB" w:rsidRPr="00E3260D" w:rsidRDefault="00DD04BB" w:rsidP="00F260EC">
            <w:pPr>
              <w:jc w:val="both"/>
              <w:rPr>
                <w:rFonts w:ascii="Tahoma" w:hAnsi="Tahoma" w:cs="Tahoma"/>
                <w:color w:val="000000"/>
                <w:sz w:val="18"/>
                <w:szCs w:val="18"/>
              </w:rPr>
            </w:pPr>
          </w:p>
          <w:p w14:paraId="62F38597" w14:textId="771EAB0E" w:rsidR="00015B1B" w:rsidRPr="00E3260D" w:rsidRDefault="00015B1B" w:rsidP="00F260EC">
            <w:pPr>
              <w:jc w:val="both"/>
              <w:rPr>
                <w:rFonts w:ascii="Tahoma" w:hAnsi="Tahoma" w:cs="Tahoma"/>
                <w:color w:val="000000"/>
                <w:sz w:val="18"/>
                <w:szCs w:val="18"/>
              </w:rPr>
            </w:pPr>
            <w:r w:rsidRPr="00E3260D">
              <w:rPr>
                <w:rFonts w:ascii="Tahoma" w:hAnsi="Tahoma" w:cs="Tahoma"/>
                <w:color w:val="000000"/>
                <w:sz w:val="18"/>
                <w:szCs w:val="18"/>
              </w:rPr>
              <w:t>Export</w:t>
            </w:r>
            <w:r w:rsidRPr="005007A3">
              <w:rPr>
                <w:rFonts w:ascii="Tahoma" w:hAnsi="Tahoma" w:cs="Tahoma"/>
                <w:color w:val="000000"/>
                <w:sz w:val="18"/>
                <w:szCs w:val="18"/>
                <w:lang w:val="sr-Cyrl-CS"/>
              </w:rPr>
              <w:t xml:space="preserve"> </w:t>
            </w:r>
            <w:r w:rsidRPr="00E3260D">
              <w:rPr>
                <w:rFonts w:ascii="Tahoma" w:hAnsi="Tahoma" w:cs="Tahoma"/>
                <w:color w:val="000000"/>
                <w:sz w:val="18"/>
                <w:szCs w:val="18"/>
              </w:rPr>
              <w:t>and</w:t>
            </w:r>
            <w:r w:rsidRPr="005007A3">
              <w:rPr>
                <w:rFonts w:ascii="Tahoma" w:hAnsi="Tahoma" w:cs="Tahoma"/>
                <w:color w:val="000000"/>
                <w:sz w:val="18"/>
                <w:szCs w:val="18"/>
                <w:lang w:val="sr-Cyrl-CS"/>
              </w:rPr>
              <w:t xml:space="preserve"> </w:t>
            </w:r>
            <w:r w:rsidRPr="00E3260D">
              <w:rPr>
                <w:rFonts w:ascii="Tahoma" w:hAnsi="Tahoma" w:cs="Tahoma"/>
                <w:color w:val="000000"/>
                <w:sz w:val="18"/>
                <w:szCs w:val="18"/>
              </w:rPr>
              <w:t>import</w:t>
            </w:r>
            <w:r w:rsidRPr="005007A3">
              <w:rPr>
                <w:rFonts w:ascii="Tahoma" w:hAnsi="Tahoma" w:cs="Tahoma"/>
                <w:color w:val="000000"/>
                <w:sz w:val="18"/>
                <w:szCs w:val="18"/>
                <w:lang w:val="sr-Cyrl-CS"/>
              </w:rPr>
              <w:t xml:space="preserve"> </w:t>
            </w:r>
            <w:r w:rsidRPr="00E3260D">
              <w:rPr>
                <w:rFonts w:ascii="Tahoma" w:hAnsi="Tahoma" w:cs="Tahoma"/>
                <w:color w:val="000000"/>
                <w:sz w:val="18"/>
                <w:szCs w:val="18"/>
              </w:rPr>
              <w:t>by</w:t>
            </w:r>
            <w:r w:rsidRPr="005007A3">
              <w:rPr>
                <w:rFonts w:ascii="Tahoma" w:hAnsi="Tahoma" w:cs="Tahoma"/>
                <w:color w:val="000000"/>
                <w:sz w:val="18"/>
                <w:szCs w:val="18"/>
                <w:lang w:val="sr-Cyrl-CS"/>
              </w:rPr>
              <w:t xml:space="preserve"> </w:t>
            </w:r>
            <w:r w:rsidRPr="00E3260D">
              <w:rPr>
                <w:rFonts w:ascii="Tahoma" w:hAnsi="Tahoma" w:cs="Tahoma"/>
                <w:color w:val="000000"/>
                <w:sz w:val="18"/>
                <w:szCs w:val="18"/>
              </w:rPr>
              <w:t>regions</w:t>
            </w:r>
            <w:r w:rsidRPr="005007A3">
              <w:rPr>
                <w:rFonts w:ascii="Tahoma" w:hAnsi="Tahoma" w:cs="Tahoma"/>
                <w:color w:val="000000"/>
                <w:sz w:val="18"/>
                <w:szCs w:val="18"/>
                <w:lang w:val="sr-Cyrl-CS"/>
              </w:rPr>
              <w:t xml:space="preserve"> </w:t>
            </w:r>
            <w:r w:rsidRPr="00E3260D">
              <w:rPr>
                <w:rFonts w:ascii="Tahoma" w:hAnsi="Tahoma" w:cs="Tahoma"/>
                <w:color w:val="000000"/>
                <w:sz w:val="18"/>
                <w:szCs w:val="18"/>
              </w:rPr>
              <w:t>is</w:t>
            </w:r>
            <w:r w:rsidRPr="005007A3">
              <w:rPr>
                <w:rFonts w:ascii="Tahoma" w:hAnsi="Tahoma" w:cs="Tahoma"/>
                <w:color w:val="000000"/>
                <w:sz w:val="18"/>
                <w:szCs w:val="18"/>
                <w:lang w:val="sr-Cyrl-CS"/>
              </w:rPr>
              <w:t xml:space="preserve"> </w:t>
            </w:r>
            <w:r w:rsidRPr="00E3260D">
              <w:rPr>
                <w:rFonts w:ascii="Tahoma" w:hAnsi="Tahoma" w:cs="Tahoma"/>
                <w:color w:val="000000"/>
                <w:sz w:val="18"/>
                <w:szCs w:val="18"/>
              </w:rPr>
              <w:t>presented</w:t>
            </w:r>
            <w:r w:rsidRPr="005007A3">
              <w:rPr>
                <w:rFonts w:ascii="Tahoma" w:hAnsi="Tahoma" w:cs="Tahoma"/>
                <w:color w:val="000000"/>
                <w:sz w:val="18"/>
                <w:szCs w:val="18"/>
                <w:lang w:val="sr-Cyrl-CS"/>
              </w:rPr>
              <w:t xml:space="preserve"> </w:t>
            </w:r>
            <w:r w:rsidRPr="00E3260D">
              <w:rPr>
                <w:rFonts w:ascii="Tahoma" w:hAnsi="Tahoma" w:cs="Tahoma"/>
                <w:b/>
                <w:color w:val="000000"/>
                <w:sz w:val="18"/>
                <w:szCs w:val="18"/>
              </w:rPr>
              <w:t>according</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to</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the</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headquarters</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of</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goods</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owners</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at</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the</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moment</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of</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customs</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declaration</w:t>
            </w:r>
            <w:r w:rsidRPr="005007A3">
              <w:rPr>
                <w:rFonts w:ascii="Tahoma" w:hAnsi="Tahoma" w:cs="Tahoma"/>
                <w:b/>
                <w:color w:val="000000"/>
                <w:sz w:val="18"/>
                <w:szCs w:val="18"/>
                <w:lang w:val="sr-Cyrl-CS"/>
              </w:rPr>
              <w:t xml:space="preserve"> </w:t>
            </w:r>
            <w:r w:rsidRPr="00E3260D">
              <w:rPr>
                <w:rFonts w:ascii="Tahoma" w:hAnsi="Tahoma" w:cs="Tahoma"/>
                <w:b/>
                <w:color w:val="000000"/>
                <w:sz w:val="18"/>
                <w:szCs w:val="18"/>
              </w:rPr>
              <w:t>delivery</w:t>
            </w:r>
            <w:r w:rsidRPr="005007A3">
              <w:rPr>
                <w:rFonts w:ascii="Tahoma" w:hAnsi="Tahoma" w:cs="Tahoma"/>
                <w:color w:val="000000"/>
                <w:sz w:val="18"/>
                <w:szCs w:val="18"/>
                <w:lang w:val="sr-Cyrl-CS"/>
              </w:rPr>
              <w:t xml:space="preserve">. </w:t>
            </w:r>
            <w:r w:rsidRPr="00E3260D">
              <w:rPr>
                <w:rFonts w:ascii="Tahoma" w:hAnsi="Tahoma" w:cs="Tahoma"/>
                <w:color w:val="000000"/>
                <w:sz w:val="18"/>
                <w:szCs w:val="18"/>
              </w:rPr>
              <w:t xml:space="preserve">It means that owners of goods, according to customs law, may be producers, users, </w:t>
            </w:r>
            <w:r w:rsidR="003E03FD" w:rsidRPr="00E3260D">
              <w:rPr>
                <w:rFonts w:ascii="Tahoma" w:hAnsi="Tahoma" w:cs="Tahoma"/>
                <w:color w:val="000000"/>
                <w:sz w:val="18"/>
                <w:szCs w:val="18"/>
              </w:rPr>
              <w:t>exporters,</w:t>
            </w:r>
            <w:r w:rsidRPr="00E3260D">
              <w:rPr>
                <w:rFonts w:ascii="Tahoma" w:hAnsi="Tahoma" w:cs="Tahoma"/>
                <w:color w:val="000000"/>
                <w:sz w:val="18"/>
                <w:szCs w:val="18"/>
              </w:rPr>
              <w:t xml:space="preserve"> or importers of goods. This fact is to be noted while observing the data by regions. For example, imports of oil and gas mostly refer to the region of Vojvodina and Belgrade and the mentioned are the energy commodities for the whole territory of Serbia.</w:t>
            </w:r>
          </w:p>
          <w:p w14:paraId="3358CDB8" w14:textId="77777777" w:rsidR="009A3561" w:rsidRPr="00E3260D" w:rsidRDefault="009A3561" w:rsidP="00F260EC">
            <w:pPr>
              <w:jc w:val="both"/>
              <w:rPr>
                <w:rFonts w:ascii="Tahoma" w:hAnsi="Tahoma" w:cs="Tahoma"/>
                <w:color w:val="000000"/>
                <w:sz w:val="18"/>
                <w:szCs w:val="18"/>
              </w:rPr>
            </w:pPr>
          </w:p>
          <w:p w14:paraId="70D8D9D7" w14:textId="64215E05" w:rsidR="00015B1B" w:rsidRPr="00E3260D" w:rsidRDefault="00015B1B" w:rsidP="00F260EC">
            <w:pPr>
              <w:pStyle w:val="BodyTextIndent"/>
              <w:ind w:left="0"/>
              <w:jc w:val="both"/>
              <w:rPr>
                <w:rFonts w:ascii="Tahoma" w:hAnsi="Tahoma" w:cs="Tahoma"/>
                <w:sz w:val="18"/>
                <w:szCs w:val="18"/>
              </w:rPr>
            </w:pPr>
            <w:r w:rsidRPr="00E3260D">
              <w:rPr>
                <w:rFonts w:ascii="Tahoma" w:hAnsi="Tahoma" w:cs="Tahoma"/>
                <w:sz w:val="18"/>
                <w:szCs w:val="18"/>
              </w:rPr>
              <w:t xml:space="preserve">Regarding </w:t>
            </w:r>
            <w:r w:rsidRPr="00E3260D">
              <w:rPr>
                <w:rFonts w:ascii="Tahoma" w:hAnsi="Tahoma" w:cs="Tahoma"/>
                <w:b/>
                <w:bCs/>
                <w:sz w:val="18"/>
                <w:szCs w:val="18"/>
              </w:rPr>
              <w:t>the structure of exports according to products’ destination</w:t>
            </w:r>
            <w:r w:rsidRPr="00E3260D">
              <w:rPr>
                <w:rFonts w:ascii="Tahoma" w:hAnsi="Tahoma" w:cs="Tahoma"/>
                <w:sz w:val="18"/>
                <w:szCs w:val="18"/>
              </w:rPr>
              <w:t xml:space="preserve"> (the principle of prevalence), the most notable were: reproduction products </w:t>
            </w:r>
            <w:r w:rsidR="005007A3">
              <w:rPr>
                <w:rFonts w:ascii="Tahoma" w:hAnsi="Tahoma" w:cs="Tahoma"/>
                <w:sz w:val="18"/>
                <w:szCs w:val="18"/>
              </w:rPr>
              <w:t>59.9</w:t>
            </w:r>
            <w:r w:rsidRPr="00E3260D">
              <w:rPr>
                <w:rFonts w:ascii="Tahoma" w:hAnsi="Tahoma" w:cs="Tahoma"/>
                <w:sz w:val="18"/>
                <w:szCs w:val="18"/>
              </w:rPr>
              <w:t xml:space="preserve">% (USD </w:t>
            </w:r>
            <w:r w:rsidR="005007A3">
              <w:rPr>
                <w:rFonts w:ascii="Tahoma" w:hAnsi="Tahoma" w:cs="Tahoma"/>
                <w:sz w:val="18"/>
                <w:szCs w:val="18"/>
              </w:rPr>
              <w:t>10285.2</w:t>
            </w:r>
            <w:r w:rsidRPr="00E3260D">
              <w:rPr>
                <w:rFonts w:ascii="Tahoma" w:hAnsi="Tahoma" w:cs="Tahoma"/>
                <w:sz w:val="18"/>
                <w:szCs w:val="18"/>
              </w:rPr>
              <w:t xml:space="preserve"> million), then consumer goods </w:t>
            </w:r>
            <w:r w:rsidR="005007A3">
              <w:rPr>
                <w:rFonts w:ascii="Tahoma" w:hAnsi="Tahoma" w:cs="Tahoma"/>
                <w:sz w:val="18"/>
                <w:szCs w:val="18"/>
              </w:rPr>
              <w:t>27.9</w:t>
            </w:r>
            <w:r w:rsidRPr="00E3260D">
              <w:rPr>
                <w:rFonts w:ascii="Tahoma" w:hAnsi="Tahoma" w:cs="Tahoma"/>
                <w:sz w:val="18"/>
                <w:szCs w:val="18"/>
              </w:rPr>
              <w:t xml:space="preserve">% (USD </w:t>
            </w:r>
            <w:r w:rsidR="00780EAB">
              <w:rPr>
                <w:rFonts w:ascii="Tahoma" w:hAnsi="Tahoma" w:cs="Tahoma"/>
                <w:sz w:val="18"/>
                <w:szCs w:val="18"/>
              </w:rPr>
              <w:t>4790.9</w:t>
            </w:r>
            <w:r w:rsidRPr="00E3260D">
              <w:rPr>
                <w:rFonts w:ascii="Tahoma" w:hAnsi="Tahoma" w:cs="Tahoma"/>
                <w:sz w:val="18"/>
                <w:szCs w:val="18"/>
              </w:rPr>
              <w:t xml:space="preserve"> million) and equipment </w:t>
            </w:r>
            <w:r w:rsidR="00780EAB">
              <w:rPr>
                <w:rFonts w:ascii="Tahoma" w:hAnsi="Tahoma" w:cs="Tahoma"/>
                <w:sz w:val="18"/>
                <w:szCs w:val="18"/>
              </w:rPr>
              <w:t>12.2</w:t>
            </w:r>
            <w:r w:rsidRPr="00E3260D">
              <w:rPr>
                <w:rFonts w:ascii="Tahoma" w:hAnsi="Tahoma" w:cs="Tahoma"/>
                <w:sz w:val="18"/>
                <w:szCs w:val="18"/>
              </w:rPr>
              <w:t xml:space="preserve">% (USD </w:t>
            </w:r>
            <w:r w:rsidR="00780EAB">
              <w:rPr>
                <w:rFonts w:ascii="Tahoma" w:hAnsi="Tahoma" w:cs="Tahoma"/>
                <w:sz w:val="18"/>
                <w:szCs w:val="18"/>
              </w:rPr>
              <w:t>2097.8</w:t>
            </w:r>
            <w:r w:rsidRPr="00E3260D">
              <w:rPr>
                <w:rFonts w:ascii="Tahoma" w:hAnsi="Tahoma" w:cs="Tahoma"/>
                <w:sz w:val="18"/>
                <w:szCs w:val="18"/>
              </w:rPr>
              <w:t xml:space="preserve"> million). Unclassified goods according to destination amounted to 0.</w:t>
            </w:r>
            <w:r w:rsidR="001D22A4" w:rsidRPr="00E3260D">
              <w:rPr>
                <w:rFonts w:ascii="Tahoma" w:hAnsi="Tahoma" w:cs="Tahoma"/>
                <w:sz w:val="18"/>
                <w:szCs w:val="18"/>
              </w:rPr>
              <w:t>0</w:t>
            </w:r>
            <w:r w:rsidRPr="00E3260D">
              <w:rPr>
                <w:rFonts w:ascii="Tahoma" w:hAnsi="Tahoma" w:cs="Tahoma"/>
                <w:sz w:val="18"/>
                <w:szCs w:val="18"/>
              </w:rPr>
              <w:t xml:space="preserve">% (USD </w:t>
            </w:r>
            <w:r w:rsidR="001E2108" w:rsidRPr="00E3260D">
              <w:rPr>
                <w:rFonts w:ascii="Tahoma" w:hAnsi="Tahoma" w:cs="Tahoma"/>
                <w:sz w:val="18"/>
                <w:szCs w:val="18"/>
              </w:rPr>
              <w:t>0</w:t>
            </w:r>
            <w:r w:rsidRPr="00E3260D">
              <w:rPr>
                <w:rFonts w:ascii="Tahoma" w:hAnsi="Tahoma" w:cs="Tahoma"/>
                <w:sz w:val="18"/>
                <w:szCs w:val="18"/>
              </w:rPr>
              <w:t>.</w:t>
            </w:r>
            <w:r w:rsidR="00780EAB">
              <w:rPr>
                <w:rFonts w:ascii="Tahoma" w:hAnsi="Tahoma" w:cs="Tahoma"/>
                <w:sz w:val="18"/>
                <w:szCs w:val="18"/>
              </w:rPr>
              <w:t>3</w:t>
            </w:r>
            <w:r w:rsidRPr="00E3260D">
              <w:rPr>
                <w:rFonts w:ascii="Tahoma" w:hAnsi="Tahoma" w:cs="Tahoma"/>
                <w:sz w:val="18"/>
                <w:szCs w:val="18"/>
              </w:rPr>
              <w:t xml:space="preserve"> million)</w:t>
            </w:r>
            <w:r w:rsidR="006D76C3" w:rsidRPr="00E3260D">
              <w:rPr>
                <w:rFonts w:ascii="Tahoma" w:hAnsi="Tahoma" w:cs="Tahoma"/>
                <w:sz w:val="18"/>
                <w:szCs w:val="18"/>
              </w:rPr>
              <w:t xml:space="preserve">. </w:t>
            </w:r>
          </w:p>
          <w:p w14:paraId="4A2A10AE" w14:textId="05D1BD83" w:rsidR="00015B1B" w:rsidRPr="00E3260D" w:rsidRDefault="00015B1B" w:rsidP="00F260EC">
            <w:pPr>
              <w:pStyle w:val="BodyTextIndent"/>
              <w:ind w:left="0"/>
              <w:jc w:val="both"/>
              <w:rPr>
                <w:rFonts w:ascii="Tahoma" w:hAnsi="Tahoma" w:cs="Tahoma"/>
                <w:sz w:val="18"/>
                <w:szCs w:val="18"/>
              </w:rPr>
            </w:pPr>
            <w:r w:rsidRPr="00E3260D">
              <w:rPr>
                <w:rFonts w:ascii="Tahoma" w:hAnsi="Tahoma" w:cs="Tahoma"/>
                <w:bCs/>
                <w:sz w:val="18"/>
                <w:szCs w:val="18"/>
              </w:rPr>
              <w:t>Regarding</w:t>
            </w:r>
            <w:r w:rsidR="00D87692" w:rsidRPr="00E3260D">
              <w:rPr>
                <w:rFonts w:ascii="Tahoma" w:hAnsi="Tahoma" w:cs="Tahoma"/>
                <w:bCs/>
                <w:sz w:val="18"/>
                <w:szCs w:val="18"/>
              </w:rPr>
              <w:t xml:space="preserve"> </w:t>
            </w:r>
            <w:r w:rsidRPr="00E3260D">
              <w:rPr>
                <w:rFonts w:ascii="Tahoma" w:hAnsi="Tahoma" w:cs="Tahoma"/>
                <w:b/>
                <w:bCs/>
                <w:sz w:val="18"/>
                <w:szCs w:val="18"/>
              </w:rPr>
              <w:t>the structure of</w:t>
            </w:r>
            <w:r w:rsidR="00D87692" w:rsidRPr="00E3260D">
              <w:rPr>
                <w:rFonts w:ascii="Tahoma" w:hAnsi="Tahoma" w:cs="Tahoma"/>
                <w:b/>
                <w:bCs/>
                <w:sz w:val="18"/>
                <w:szCs w:val="18"/>
              </w:rPr>
              <w:t xml:space="preserve"> </w:t>
            </w:r>
            <w:r w:rsidRPr="00E3260D">
              <w:rPr>
                <w:rFonts w:ascii="Tahoma" w:hAnsi="Tahoma" w:cs="Tahoma"/>
                <w:b/>
                <w:bCs/>
                <w:sz w:val="18"/>
                <w:szCs w:val="18"/>
              </w:rPr>
              <w:t>imports</w:t>
            </w:r>
            <w:r w:rsidR="00D87692" w:rsidRPr="00E3260D">
              <w:rPr>
                <w:rFonts w:ascii="Tahoma" w:hAnsi="Tahoma" w:cs="Tahoma"/>
                <w:b/>
                <w:bCs/>
                <w:sz w:val="18"/>
                <w:szCs w:val="18"/>
              </w:rPr>
              <w:t xml:space="preserve"> </w:t>
            </w:r>
            <w:r w:rsidRPr="00E3260D">
              <w:rPr>
                <w:rFonts w:ascii="Tahoma" w:hAnsi="Tahoma" w:cs="Tahoma"/>
                <w:b/>
                <w:bCs/>
                <w:sz w:val="18"/>
                <w:szCs w:val="18"/>
              </w:rPr>
              <w:t>according to products’ destination</w:t>
            </w:r>
            <w:r w:rsidRPr="00E3260D">
              <w:rPr>
                <w:rFonts w:ascii="Tahoma" w:hAnsi="Tahoma" w:cs="Tahoma"/>
                <w:sz w:val="18"/>
                <w:szCs w:val="18"/>
              </w:rPr>
              <w:t xml:space="preserve">, </w:t>
            </w:r>
            <w:r w:rsidRPr="00E3260D">
              <w:rPr>
                <w:rFonts w:ascii="Tahoma" w:hAnsi="Tahoma" w:cs="Tahoma"/>
                <w:bCs/>
                <w:sz w:val="18"/>
                <w:szCs w:val="18"/>
              </w:rPr>
              <w:t>the most notable were</w:t>
            </w:r>
            <w:r w:rsidRPr="009C4D95">
              <w:rPr>
                <w:rFonts w:ascii="Tahoma" w:hAnsi="Tahoma" w:cs="Tahoma"/>
                <w:bCs/>
                <w:sz w:val="18"/>
                <w:szCs w:val="18"/>
              </w:rPr>
              <w:t>:</w:t>
            </w:r>
            <w:r w:rsidR="00D87692" w:rsidRPr="00E3260D">
              <w:rPr>
                <w:rFonts w:ascii="Tahoma" w:hAnsi="Tahoma" w:cs="Tahoma"/>
                <w:b/>
                <w:sz w:val="18"/>
                <w:szCs w:val="18"/>
              </w:rPr>
              <w:t xml:space="preserve"> </w:t>
            </w:r>
            <w:r w:rsidRPr="00E3260D">
              <w:rPr>
                <w:rFonts w:ascii="Tahoma" w:hAnsi="Tahoma" w:cs="Tahoma"/>
                <w:sz w:val="18"/>
                <w:szCs w:val="18"/>
              </w:rPr>
              <w:t xml:space="preserve">reproduction products </w:t>
            </w:r>
            <w:r w:rsidR="00780EAB">
              <w:rPr>
                <w:rFonts w:ascii="Tahoma" w:hAnsi="Tahoma" w:cs="Tahoma"/>
                <w:sz w:val="18"/>
                <w:szCs w:val="18"/>
              </w:rPr>
              <w:t>55.4</w:t>
            </w:r>
            <w:r w:rsidRPr="00E3260D">
              <w:rPr>
                <w:rFonts w:ascii="Tahoma" w:hAnsi="Tahoma" w:cs="Tahoma"/>
                <w:sz w:val="18"/>
                <w:szCs w:val="18"/>
              </w:rPr>
              <w:t xml:space="preserve">% (USD </w:t>
            </w:r>
            <w:r w:rsidR="00780EAB">
              <w:rPr>
                <w:rFonts w:ascii="Tahoma" w:hAnsi="Tahoma" w:cs="Tahoma"/>
                <w:sz w:val="18"/>
                <w:szCs w:val="18"/>
              </w:rPr>
              <w:t>11454.8</w:t>
            </w:r>
            <w:r w:rsidRPr="00E3260D">
              <w:rPr>
                <w:rFonts w:ascii="Tahoma" w:hAnsi="Tahoma" w:cs="Tahoma"/>
                <w:sz w:val="18"/>
                <w:szCs w:val="18"/>
              </w:rPr>
              <w:t xml:space="preserve"> million), then consumer goods </w:t>
            </w:r>
            <w:r w:rsidR="001507E7" w:rsidRPr="00E3260D">
              <w:rPr>
                <w:rFonts w:ascii="Tahoma" w:hAnsi="Tahoma" w:cs="Tahoma"/>
                <w:sz w:val="18"/>
                <w:szCs w:val="18"/>
              </w:rPr>
              <w:t>2</w:t>
            </w:r>
            <w:r w:rsidR="00B133BD" w:rsidRPr="00E3260D">
              <w:rPr>
                <w:rFonts w:ascii="Tahoma" w:hAnsi="Tahoma" w:cs="Tahoma"/>
                <w:sz w:val="18"/>
                <w:szCs w:val="18"/>
              </w:rPr>
              <w:t>1</w:t>
            </w:r>
            <w:r w:rsidRPr="00E3260D">
              <w:rPr>
                <w:rFonts w:ascii="Tahoma" w:hAnsi="Tahoma" w:cs="Tahoma"/>
                <w:sz w:val="18"/>
                <w:szCs w:val="18"/>
              </w:rPr>
              <w:t>.</w:t>
            </w:r>
            <w:r w:rsidR="00780EAB">
              <w:rPr>
                <w:rFonts w:ascii="Tahoma" w:hAnsi="Tahoma" w:cs="Tahoma"/>
                <w:sz w:val="18"/>
                <w:szCs w:val="18"/>
              </w:rPr>
              <w:t>2</w:t>
            </w:r>
            <w:r w:rsidRPr="00E3260D">
              <w:rPr>
                <w:rFonts w:ascii="Tahoma" w:hAnsi="Tahoma" w:cs="Tahoma"/>
                <w:sz w:val="18"/>
                <w:szCs w:val="18"/>
              </w:rPr>
              <w:t xml:space="preserve">% (USD </w:t>
            </w:r>
            <w:r w:rsidR="00780EAB">
              <w:rPr>
                <w:rFonts w:ascii="Tahoma" w:hAnsi="Tahoma" w:cs="Tahoma"/>
                <w:sz w:val="18"/>
                <w:szCs w:val="18"/>
              </w:rPr>
              <w:t>4387.6</w:t>
            </w:r>
            <w:r w:rsidRPr="00E3260D">
              <w:rPr>
                <w:rFonts w:ascii="Tahoma" w:hAnsi="Tahoma" w:cs="Tahoma"/>
                <w:sz w:val="18"/>
                <w:szCs w:val="18"/>
              </w:rPr>
              <w:t xml:space="preserve"> million) and equipment </w:t>
            </w:r>
            <w:r w:rsidR="00780EAB">
              <w:rPr>
                <w:rFonts w:ascii="Tahoma" w:hAnsi="Tahoma" w:cs="Tahoma"/>
                <w:sz w:val="18"/>
                <w:szCs w:val="18"/>
              </w:rPr>
              <w:t>10.9</w:t>
            </w:r>
            <w:r w:rsidRPr="00E3260D">
              <w:rPr>
                <w:rFonts w:ascii="Tahoma" w:hAnsi="Tahoma" w:cs="Tahoma"/>
                <w:sz w:val="18"/>
                <w:szCs w:val="18"/>
              </w:rPr>
              <w:t xml:space="preserve">% (USD </w:t>
            </w:r>
            <w:r w:rsidR="00780EAB">
              <w:rPr>
                <w:rFonts w:ascii="Tahoma" w:hAnsi="Tahoma" w:cs="Tahoma"/>
                <w:sz w:val="18"/>
                <w:szCs w:val="18"/>
              </w:rPr>
              <w:t>2250.2</w:t>
            </w:r>
            <w:r w:rsidRPr="00E3260D">
              <w:rPr>
                <w:rFonts w:ascii="Tahoma" w:hAnsi="Tahoma" w:cs="Tahoma"/>
                <w:sz w:val="18"/>
                <w:szCs w:val="18"/>
              </w:rPr>
              <w:t xml:space="preserve"> million). Unclassified goods according to destination amounted to </w:t>
            </w:r>
            <w:r w:rsidR="000B71C9" w:rsidRPr="00E3260D">
              <w:rPr>
                <w:rFonts w:ascii="Tahoma" w:hAnsi="Tahoma" w:cs="Tahoma"/>
                <w:sz w:val="18"/>
                <w:szCs w:val="18"/>
              </w:rPr>
              <w:t>1</w:t>
            </w:r>
            <w:r w:rsidR="00B133BD" w:rsidRPr="00E3260D">
              <w:rPr>
                <w:rFonts w:ascii="Tahoma" w:hAnsi="Tahoma" w:cs="Tahoma"/>
                <w:sz w:val="18"/>
                <w:szCs w:val="18"/>
              </w:rPr>
              <w:t>2</w:t>
            </w:r>
            <w:r w:rsidR="00165196" w:rsidRPr="00E3260D">
              <w:rPr>
                <w:rFonts w:ascii="Tahoma" w:hAnsi="Tahoma" w:cs="Tahoma"/>
                <w:sz w:val="18"/>
                <w:szCs w:val="18"/>
              </w:rPr>
              <w:t>.</w:t>
            </w:r>
            <w:r w:rsidR="00780EAB">
              <w:rPr>
                <w:rFonts w:ascii="Tahoma" w:hAnsi="Tahoma" w:cs="Tahoma"/>
                <w:sz w:val="18"/>
                <w:szCs w:val="18"/>
              </w:rPr>
              <w:t>4</w:t>
            </w:r>
            <w:r w:rsidRPr="00E3260D">
              <w:rPr>
                <w:rFonts w:ascii="Tahoma" w:hAnsi="Tahoma" w:cs="Tahoma"/>
                <w:sz w:val="18"/>
                <w:szCs w:val="18"/>
              </w:rPr>
              <w:t>% (USD</w:t>
            </w:r>
            <w:r w:rsidR="005B519F" w:rsidRPr="00E3260D">
              <w:rPr>
                <w:rFonts w:ascii="Tahoma" w:hAnsi="Tahoma" w:cs="Tahoma"/>
                <w:sz w:val="18"/>
                <w:szCs w:val="18"/>
              </w:rPr>
              <w:t xml:space="preserve"> </w:t>
            </w:r>
            <w:r w:rsidR="00780EAB">
              <w:rPr>
                <w:rFonts w:ascii="Tahoma" w:hAnsi="Tahoma" w:cs="Tahoma"/>
                <w:sz w:val="18"/>
                <w:szCs w:val="18"/>
              </w:rPr>
              <w:t>2569.7</w:t>
            </w:r>
            <w:r w:rsidR="004737CA" w:rsidRPr="00E3260D">
              <w:rPr>
                <w:rFonts w:ascii="Tahoma" w:hAnsi="Tahoma" w:cs="Tahoma"/>
                <w:sz w:val="18"/>
                <w:szCs w:val="18"/>
              </w:rPr>
              <w:t xml:space="preserve"> m</w:t>
            </w:r>
            <w:r w:rsidRPr="00E3260D">
              <w:rPr>
                <w:rFonts w:ascii="Tahoma" w:hAnsi="Tahoma" w:cs="Tahoma"/>
                <w:sz w:val="18"/>
                <w:szCs w:val="18"/>
              </w:rPr>
              <w:t xml:space="preserve">illion). </w:t>
            </w:r>
          </w:p>
          <w:p w14:paraId="4ACEBB8D" w14:textId="192E146C" w:rsidR="003621B6" w:rsidRPr="00E3260D" w:rsidRDefault="003621B6" w:rsidP="003621B6">
            <w:pPr>
              <w:jc w:val="both"/>
              <w:rPr>
                <w:rFonts w:ascii="Tahoma" w:hAnsi="Tahoma" w:cs="Tahoma"/>
                <w:iCs/>
                <w:sz w:val="18"/>
                <w:szCs w:val="18"/>
              </w:rPr>
            </w:pPr>
            <w:r w:rsidRPr="00E3260D">
              <w:rPr>
                <w:rFonts w:ascii="Tahoma" w:hAnsi="Tahoma" w:cs="Tahoma"/>
                <w:iCs/>
                <w:sz w:val="18"/>
                <w:szCs w:val="18"/>
              </w:rPr>
              <w:t>The external trade in the reference period noted the highest level with the count</w:t>
            </w:r>
            <w:r w:rsidR="006A2545">
              <w:rPr>
                <w:rFonts w:ascii="Tahoma" w:hAnsi="Tahoma" w:cs="Tahoma"/>
                <w:iCs/>
                <w:sz w:val="18"/>
                <w:szCs w:val="18"/>
              </w:rPr>
              <w:t>r</w:t>
            </w:r>
            <w:r w:rsidRPr="00E3260D">
              <w:rPr>
                <w:rFonts w:ascii="Tahoma" w:hAnsi="Tahoma" w:cs="Tahoma"/>
                <w:iCs/>
                <w:sz w:val="18"/>
                <w:szCs w:val="18"/>
              </w:rPr>
              <w:t xml:space="preserve">ies with which we have signed agreements on free trade. European Union member countries account for </w:t>
            </w:r>
            <w:r w:rsidR="00780EAB">
              <w:rPr>
                <w:rFonts w:ascii="Tahoma" w:hAnsi="Tahoma" w:cs="Tahoma"/>
                <w:iCs/>
                <w:sz w:val="18"/>
                <w:szCs w:val="18"/>
              </w:rPr>
              <w:t>58.8</w:t>
            </w:r>
            <w:r w:rsidRPr="00E3260D">
              <w:rPr>
                <w:rFonts w:ascii="Tahoma" w:hAnsi="Tahoma" w:cs="Tahoma"/>
                <w:iCs/>
                <w:sz w:val="18"/>
                <w:szCs w:val="18"/>
              </w:rPr>
              <w:t>% of total external trade.</w:t>
            </w:r>
          </w:p>
          <w:p w14:paraId="391ECEE0" w14:textId="77777777" w:rsidR="00B665A9" w:rsidRPr="00E3260D" w:rsidRDefault="00B665A9" w:rsidP="00B665A9">
            <w:pPr>
              <w:jc w:val="both"/>
              <w:rPr>
                <w:rFonts w:ascii="Arial" w:hAnsi="Arial" w:cs="Arial"/>
                <w:b/>
                <w:bCs/>
                <w:sz w:val="18"/>
                <w:szCs w:val="18"/>
              </w:rPr>
            </w:pPr>
          </w:p>
          <w:p w14:paraId="45F3484D" w14:textId="77777777" w:rsidR="00B133BD" w:rsidRPr="00E3260D" w:rsidRDefault="00B133BD" w:rsidP="003621B6">
            <w:pPr>
              <w:jc w:val="both"/>
              <w:rPr>
                <w:rFonts w:ascii="Arial" w:hAnsi="Arial" w:cs="Arial"/>
                <w:b/>
                <w:bCs/>
                <w:sz w:val="18"/>
                <w:szCs w:val="18"/>
              </w:rPr>
            </w:pPr>
          </w:p>
          <w:p w14:paraId="66E43B21" w14:textId="77777777" w:rsidR="007F41B1" w:rsidRPr="00E3260D" w:rsidRDefault="007F41B1" w:rsidP="003621B6">
            <w:pPr>
              <w:jc w:val="both"/>
              <w:rPr>
                <w:rFonts w:ascii="Arial" w:hAnsi="Arial" w:cs="Arial"/>
                <w:b/>
                <w:bCs/>
                <w:sz w:val="18"/>
                <w:szCs w:val="18"/>
              </w:rPr>
            </w:pPr>
          </w:p>
          <w:p w14:paraId="5477BE9E" w14:textId="77777777" w:rsidR="00B133BD" w:rsidRPr="00E3260D" w:rsidRDefault="00B133BD" w:rsidP="003621B6">
            <w:pPr>
              <w:jc w:val="both"/>
              <w:rPr>
                <w:rFonts w:ascii="Arial" w:hAnsi="Arial" w:cs="Arial"/>
                <w:b/>
                <w:bCs/>
                <w:sz w:val="18"/>
                <w:szCs w:val="18"/>
              </w:rPr>
            </w:pPr>
          </w:p>
          <w:p w14:paraId="60EB3518" w14:textId="77777777" w:rsidR="00B133BD" w:rsidRPr="00E3260D" w:rsidRDefault="00B133BD" w:rsidP="003621B6">
            <w:pPr>
              <w:jc w:val="both"/>
              <w:rPr>
                <w:rFonts w:ascii="Arial" w:hAnsi="Arial" w:cs="Arial"/>
                <w:b/>
                <w:bCs/>
                <w:sz w:val="18"/>
                <w:szCs w:val="18"/>
              </w:rPr>
            </w:pPr>
          </w:p>
          <w:p w14:paraId="2E58FE25" w14:textId="77777777" w:rsidR="00B133BD" w:rsidRPr="00E3260D" w:rsidRDefault="00B133BD" w:rsidP="006A2545">
            <w:pPr>
              <w:jc w:val="right"/>
              <w:rPr>
                <w:rFonts w:ascii="Arial" w:hAnsi="Arial" w:cs="Arial"/>
                <w:b/>
                <w:bCs/>
                <w:sz w:val="18"/>
                <w:szCs w:val="18"/>
              </w:rPr>
            </w:pPr>
          </w:p>
          <w:p w14:paraId="03B5B5CE" w14:textId="3A60CB03" w:rsidR="003621B6" w:rsidRPr="00E3260D" w:rsidRDefault="003621B6" w:rsidP="003621B6">
            <w:pPr>
              <w:jc w:val="both"/>
              <w:rPr>
                <w:rFonts w:ascii="Arial" w:hAnsi="Arial" w:cs="Arial"/>
                <w:bCs/>
                <w:sz w:val="18"/>
                <w:szCs w:val="18"/>
              </w:rPr>
            </w:pPr>
            <w:r w:rsidRPr="00E3260D">
              <w:rPr>
                <w:rFonts w:ascii="Arial" w:hAnsi="Arial" w:cs="Arial"/>
                <w:b/>
                <w:bCs/>
                <w:sz w:val="18"/>
                <w:szCs w:val="18"/>
              </w:rPr>
              <w:lastRenderedPageBreak/>
              <w:t>The major foreign trade partners were,</w:t>
            </w:r>
            <w:r w:rsidR="005B519F" w:rsidRPr="00E3260D">
              <w:rPr>
                <w:rFonts w:ascii="Arial" w:hAnsi="Arial" w:cs="Arial"/>
                <w:b/>
                <w:bCs/>
                <w:sz w:val="18"/>
                <w:szCs w:val="18"/>
              </w:rPr>
              <w:t xml:space="preserve"> </w:t>
            </w:r>
            <w:r w:rsidRPr="00E3260D">
              <w:rPr>
                <w:rFonts w:ascii="Arial" w:hAnsi="Arial" w:cs="Arial"/>
                <w:sz w:val="18"/>
                <w:szCs w:val="18"/>
              </w:rPr>
              <w:t>separately,</w:t>
            </w:r>
            <w:r w:rsidRPr="00E3260D">
              <w:rPr>
                <w:rFonts w:ascii="Arial" w:hAnsi="Arial" w:cs="Arial"/>
                <w:bCs/>
                <w:sz w:val="18"/>
                <w:szCs w:val="18"/>
              </w:rPr>
              <w:t xml:space="preserve"> as follows: </w:t>
            </w:r>
          </w:p>
          <w:p w14:paraId="6D0C5BA0" w14:textId="77777777" w:rsidR="003621B6" w:rsidRPr="00E3260D" w:rsidRDefault="003621B6" w:rsidP="003621B6">
            <w:pPr>
              <w:jc w:val="both"/>
              <w:rPr>
                <w:rFonts w:ascii="Arial" w:hAnsi="Arial" w:cs="Arial"/>
                <w:sz w:val="18"/>
                <w:szCs w:val="18"/>
                <w:highlight w:val="yellow"/>
              </w:rPr>
            </w:pPr>
          </w:p>
          <w:tbl>
            <w:tblPr>
              <w:tblW w:w="9026" w:type="dxa"/>
              <w:tblLook w:val="04A0" w:firstRow="1" w:lastRow="0" w:firstColumn="1" w:lastColumn="0" w:noHBand="0" w:noVBand="1"/>
            </w:tblPr>
            <w:tblGrid>
              <w:gridCol w:w="2433"/>
              <w:gridCol w:w="1134"/>
              <w:gridCol w:w="1131"/>
              <w:gridCol w:w="2066"/>
              <w:gridCol w:w="1131"/>
              <w:gridCol w:w="1131"/>
            </w:tblGrid>
            <w:tr w:rsidR="003621B6" w:rsidRPr="00E3260D" w14:paraId="54243A1A" w14:textId="77777777" w:rsidTr="005B249C">
              <w:trPr>
                <w:trHeight w:val="322"/>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0E240762" w14:textId="77777777" w:rsidR="003621B6" w:rsidRPr="00E3260D" w:rsidRDefault="003621B6" w:rsidP="005C5332">
                  <w:pPr>
                    <w:jc w:val="center"/>
                    <w:rPr>
                      <w:rFonts w:ascii="Tahoma" w:hAnsi="Tahoma" w:cs="Tahoma"/>
                      <w:b/>
                      <w:bCs/>
                      <w:sz w:val="22"/>
                      <w:szCs w:val="22"/>
                      <w:lang w:eastAsia="en-GB"/>
                    </w:rPr>
                  </w:pPr>
                  <w:r w:rsidRPr="00E3260D">
                    <w:rPr>
                      <w:rFonts w:ascii="Tahoma" w:hAnsi="Tahoma" w:cs="Tahoma"/>
                      <w:b/>
                      <w:bCs/>
                      <w:sz w:val="22"/>
                      <w:szCs w:val="22"/>
                    </w:rPr>
                    <w:t>Exports</w:t>
                  </w:r>
                </w:p>
              </w:tc>
              <w:tc>
                <w:tcPr>
                  <w:tcW w:w="1134" w:type="dxa"/>
                  <w:tcBorders>
                    <w:top w:val="single" w:sz="4" w:space="0" w:color="auto"/>
                    <w:left w:val="nil"/>
                    <w:bottom w:val="single" w:sz="4" w:space="0" w:color="auto"/>
                    <w:right w:val="single" w:sz="4" w:space="0" w:color="auto"/>
                  </w:tcBorders>
                  <w:noWrap/>
                  <w:vAlign w:val="center"/>
                  <w:hideMark/>
                </w:tcPr>
                <w:p w14:paraId="173BF0A1" w14:textId="77777777" w:rsidR="003621B6" w:rsidRPr="00E3260D" w:rsidRDefault="003621B6" w:rsidP="005C5332">
                  <w:pPr>
                    <w:rPr>
                      <w:rFonts w:ascii="Tahoma" w:hAnsi="Tahoma" w:cs="Tahoma"/>
                      <w:sz w:val="16"/>
                      <w:szCs w:val="16"/>
                    </w:rPr>
                  </w:pPr>
                  <w:r w:rsidRPr="00E3260D">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center"/>
                  <w:hideMark/>
                </w:tcPr>
                <w:p w14:paraId="718B028A" w14:textId="77777777" w:rsidR="003621B6" w:rsidRPr="00E3260D" w:rsidRDefault="003621B6" w:rsidP="005C5332">
                  <w:pPr>
                    <w:rPr>
                      <w:rFonts w:ascii="Tahoma" w:hAnsi="Tahoma" w:cs="Tahoma"/>
                      <w:sz w:val="16"/>
                      <w:szCs w:val="16"/>
                    </w:rPr>
                  </w:pPr>
                  <w:r w:rsidRPr="00E3260D">
                    <w:rPr>
                      <w:rFonts w:ascii="Tahoma" w:hAnsi="Tahoma" w:cs="Tahoma"/>
                      <w:sz w:val="16"/>
                      <w:szCs w:val="16"/>
                    </w:rPr>
                    <w:t>EUR million</w:t>
                  </w:r>
                </w:p>
              </w:tc>
              <w:tc>
                <w:tcPr>
                  <w:tcW w:w="2066" w:type="dxa"/>
                  <w:tcBorders>
                    <w:top w:val="single" w:sz="4" w:space="0" w:color="auto"/>
                    <w:left w:val="nil"/>
                    <w:bottom w:val="single" w:sz="4" w:space="0" w:color="auto"/>
                    <w:right w:val="single" w:sz="4" w:space="0" w:color="auto"/>
                  </w:tcBorders>
                  <w:noWrap/>
                  <w:vAlign w:val="center"/>
                  <w:hideMark/>
                </w:tcPr>
                <w:p w14:paraId="7CED4EDB" w14:textId="77777777" w:rsidR="003621B6" w:rsidRPr="00E3260D" w:rsidRDefault="003621B6" w:rsidP="005C5332">
                  <w:pPr>
                    <w:jc w:val="center"/>
                    <w:rPr>
                      <w:rFonts w:ascii="Tahoma" w:hAnsi="Tahoma" w:cs="Tahoma"/>
                      <w:b/>
                      <w:bCs/>
                      <w:sz w:val="22"/>
                      <w:szCs w:val="22"/>
                    </w:rPr>
                  </w:pPr>
                  <w:r w:rsidRPr="00E3260D">
                    <w:rPr>
                      <w:rFonts w:ascii="Tahoma" w:hAnsi="Tahoma" w:cs="Tahoma"/>
                      <w:b/>
                      <w:bCs/>
                      <w:sz w:val="22"/>
                      <w:szCs w:val="22"/>
                    </w:rPr>
                    <w:t>Imports</w:t>
                  </w:r>
                </w:p>
              </w:tc>
              <w:tc>
                <w:tcPr>
                  <w:tcW w:w="1131" w:type="dxa"/>
                  <w:tcBorders>
                    <w:top w:val="single" w:sz="4" w:space="0" w:color="auto"/>
                    <w:left w:val="nil"/>
                    <w:bottom w:val="single" w:sz="4" w:space="0" w:color="auto"/>
                    <w:right w:val="single" w:sz="4" w:space="0" w:color="auto"/>
                  </w:tcBorders>
                  <w:noWrap/>
                  <w:vAlign w:val="center"/>
                  <w:hideMark/>
                </w:tcPr>
                <w:p w14:paraId="36F728F6" w14:textId="77777777" w:rsidR="003621B6" w:rsidRPr="00E3260D" w:rsidRDefault="003621B6" w:rsidP="005C5332">
                  <w:pPr>
                    <w:rPr>
                      <w:rFonts w:ascii="Tahoma" w:hAnsi="Tahoma" w:cs="Tahoma"/>
                      <w:sz w:val="16"/>
                      <w:szCs w:val="16"/>
                    </w:rPr>
                  </w:pPr>
                  <w:r w:rsidRPr="00E3260D">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center"/>
                  <w:hideMark/>
                </w:tcPr>
                <w:p w14:paraId="42EB3384" w14:textId="77777777" w:rsidR="003621B6" w:rsidRPr="00E3260D" w:rsidRDefault="003621B6" w:rsidP="005C5332">
                  <w:pPr>
                    <w:rPr>
                      <w:rFonts w:ascii="Tahoma" w:hAnsi="Tahoma" w:cs="Tahoma"/>
                      <w:sz w:val="16"/>
                      <w:szCs w:val="16"/>
                    </w:rPr>
                  </w:pPr>
                  <w:r w:rsidRPr="00E3260D">
                    <w:rPr>
                      <w:rFonts w:ascii="Tahoma" w:hAnsi="Tahoma" w:cs="Tahoma"/>
                      <w:sz w:val="16"/>
                      <w:szCs w:val="16"/>
                    </w:rPr>
                    <w:t>EUR million</w:t>
                  </w:r>
                </w:p>
              </w:tc>
            </w:tr>
            <w:tr w:rsidR="009A5F3E" w:rsidRPr="00E3260D" w14:paraId="41F29F4D" w14:textId="77777777" w:rsidTr="005B249C">
              <w:trPr>
                <w:trHeight w:val="261"/>
              </w:trPr>
              <w:tc>
                <w:tcPr>
                  <w:tcW w:w="2433" w:type="dxa"/>
                  <w:tcBorders>
                    <w:top w:val="single" w:sz="4" w:space="0" w:color="auto"/>
                    <w:left w:val="single" w:sz="4" w:space="0" w:color="auto"/>
                    <w:bottom w:val="nil"/>
                    <w:right w:val="single" w:sz="4" w:space="0" w:color="auto"/>
                  </w:tcBorders>
                  <w:noWrap/>
                  <w:vAlign w:val="center"/>
                  <w:hideMark/>
                </w:tcPr>
                <w:p w14:paraId="0CD5C78C" w14:textId="77777777" w:rsidR="009A5F3E" w:rsidRPr="00E3260D" w:rsidRDefault="009A5F3E" w:rsidP="009A5F3E">
                  <w:pP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noWrap/>
                  <w:vAlign w:val="center"/>
                </w:tcPr>
                <w:p w14:paraId="00550002" w14:textId="033E86D0" w:rsidR="009A5F3E" w:rsidRPr="00E3260D"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center"/>
                </w:tcPr>
                <w:p w14:paraId="57EDFE67" w14:textId="100DFA0D" w:rsidR="009A5F3E" w:rsidRPr="00E3260D" w:rsidRDefault="009A5F3E" w:rsidP="009A5F3E">
                  <w:pPr>
                    <w:jc w:val="right"/>
                    <w:rPr>
                      <w:sz w:val="20"/>
                      <w:szCs w:val="20"/>
                    </w:rPr>
                  </w:pPr>
                </w:p>
              </w:tc>
              <w:tc>
                <w:tcPr>
                  <w:tcW w:w="2066" w:type="dxa"/>
                  <w:tcBorders>
                    <w:top w:val="single" w:sz="4" w:space="0" w:color="auto"/>
                    <w:left w:val="single" w:sz="4" w:space="0" w:color="auto"/>
                    <w:bottom w:val="nil"/>
                    <w:right w:val="single" w:sz="4" w:space="0" w:color="auto"/>
                  </w:tcBorders>
                  <w:noWrap/>
                  <w:vAlign w:val="center"/>
                  <w:hideMark/>
                </w:tcPr>
                <w:p w14:paraId="60459FAB" w14:textId="77777777" w:rsidR="009A5F3E" w:rsidRPr="00E3260D" w:rsidRDefault="009A5F3E" w:rsidP="009A5F3E">
                  <w:pPr>
                    <w:jc w:val="right"/>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6A0B3AB6" w14:textId="77777777" w:rsidR="009A5F3E" w:rsidRPr="00E3260D"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4BD83EEB" w14:textId="77777777" w:rsidR="009A5F3E" w:rsidRPr="00E3260D" w:rsidRDefault="009A5F3E" w:rsidP="009A5F3E">
                  <w:pPr>
                    <w:jc w:val="right"/>
                    <w:rPr>
                      <w:sz w:val="20"/>
                      <w:szCs w:val="20"/>
                    </w:rPr>
                  </w:pPr>
                </w:p>
              </w:tc>
            </w:tr>
            <w:tr w:rsidR="00780EAB" w:rsidRPr="00E3260D" w14:paraId="0B22F247" w14:textId="77777777" w:rsidTr="005B249C">
              <w:trPr>
                <w:trHeight w:val="225"/>
              </w:trPr>
              <w:tc>
                <w:tcPr>
                  <w:tcW w:w="2433" w:type="dxa"/>
                  <w:tcBorders>
                    <w:top w:val="nil"/>
                    <w:left w:val="single" w:sz="4" w:space="0" w:color="auto"/>
                    <w:bottom w:val="nil"/>
                    <w:right w:val="single" w:sz="4" w:space="0" w:color="auto"/>
                  </w:tcBorders>
                  <w:noWrap/>
                  <w:vAlign w:val="center"/>
                  <w:hideMark/>
                </w:tcPr>
                <w:p w14:paraId="13D63653" w14:textId="77777777" w:rsidR="00780EAB" w:rsidRPr="00E3260D" w:rsidRDefault="00780EAB" w:rsidP="00780EAB">
                  <w:pPr>
                    <w:rPr>
                      <w:rFonts w:ascii="Arial" w:hAnsi="Arial" w:cs="Arial"/>
                      <w:sz w:val="18"/>
                      <w:szCs w:val="18"/>
                      <w:lang w:eastAsia="en-GB"/>
                    </w:rPr>
                  </w:pPr>
                  <w:r w:rsidRPr="00E3260D">
                    <w:rPr>
                      <w:rFonts w:ascii="Arial" w:hAnsi="Arial" w:cs="Arial"/>
                      <w:sz w:val="18"/>
                      <w:szCs w:val="18"/>
                    </w:rPr>
                    <w:t xml:space="preserve">Germany                    </w:t>
                  </w:r>
                </w:p>
              </w:tc>
              <w:tc>
                <w:tcPr>
                  <w:tcW w:w="1134" w:type="dxa"/>
                  <w:tcBorders>
                    <w:top w:val="nil"/>
                    <w:left w:val="nil"/>
                    <w:bottom w:val="nil"/>
                    <w:right w:val="single" w:sz="4" w:space="0" w:color="auto"/>
                  </w:tcBorders>
                  <w:noWrap/>
                  <w:vAlign w:val="center"/>
                  <w:hideMark/>
                </w:tcPr>
                <w:p w14:paraId="1BEED077" w14:textId="12685D9E" w:rsidR="00780EAB" w:rsidRPr="00E3260D" w:rsidRDefault="00780EAB" w:rsidP="00780EAB">
                  <w:pPr>
                    <w:jc w:val="right"/>
                    <w:rPr>
                      <w:rFonts w:ascii="Arial" w:hAnsi="Arial" w:cs="Arial"/>
                      <w:sz w:val="18"/>
                      <w:szCs w:val="18"/>
                      <w:lang w:eastAsia="en-GB"/>
                    </w:rPr>
                  </w:pPr>
                  <w:r w:rsidRPr="00312735">
                    <w:rPr>
                      <w:rFonts w:ascii="Arial" w:hAnsi="Arial" w:cs="Arial"/>
                      <w:color w:val="000000"/>
                      <w:sz w:val="18"/>
                      <w:szCs w:val="18"/>
                      <w:lang w:val="sr-Cyrl-RS"/>
                    </w:rPr>
                    <w:t>2572.4</w:t>
                  </w:r>
                </w:p>
              </w:tc>
              <w:tc>
                <w:tcPr>
                  <w:tcW w:w="1131" w:type="dxa"/>
                  <w:tcBorders>
                    <w:top w:val="nil"/>
                    <w:left w:val="nil"/>
                    <w:bottom w:val="nil"/>
                    <w:right w:val="single" w:sz="4" w:space="0" w:color="auto"/>
                  </w:tcBorders>
                  <w:noWrap/>
                  <w:vAlign w:val="center"/>
                  <w:hideMark/>
                </w:tcPr>
                <w:p w14:paraId="33C0358E" w14:textId="5225A79B" w:rsidR="00780EAB" w:rsidRPr="00E3260D" w:rsidRDefault="00780EAB" w:rsidP="00780EAB">
                  <w:pPr>
                    <w:jc w:val="right"/>
                    <w:rPr>
                      <w:rFonts w:ascii="Arial" w:hAnsi="Arial" w:cs="Arial"/>
                      <w:sz w:val="18"/>
                      <w:szCs w:val="18"/>
                      <w:lang w:eastAsia="en-GB"/>
                    </w:rPr>
                  </w:pPr>
                  <w:r w:rsidRPr="00312735">
                    <w:rPr>
                      <w:rFonts w:ascii="Arial" w:hAnsi="Arial" w:cs="Arial"/>
                      <w:color w:val="000000"/>
                      <w:sz w:val="18"/>
                      <w:szCs w:val="18"/>
                      <w:lang w:val="sr-Cyrl-RS"/>
                    </w:rPr>
                    <w:t>2201.5</w:t>
                  </w:r>
                </w:p>
              </w:tc>
              <w:tc>
                <w:tcPr>
                  <w:tcW w:w="2066" w:type="dxa"/>
                  <w:tcBorders>
                    <w:top w:val="nil"/>
                    <w:left w:val="nil"/>
                    <w:bottom w:val="nil"/>
                    <w:right w:val="nil"/>
                  </w:tcBorders>
                  <w:noWrap/>
                  <w:vAlign w:val="center"/>
                  <w:hideMark/>
                </w:tcPr>
                <w:p w14:paraId="6FD357A2" w14:textId="15012062" w:rsidR="00780EAB" w:rsidRPr="00E3260D" w:rsidRDefault="00780EAB" w:rsidP="00780EAB">
                  <w:pPr>
                    <w:rPr>
                      <w:rFonts w:ascii="Arial" w:hAnsi="Arial" w:cs="Arial"/>
                      <w:sz w:val="18"/>
                      <w:szCs w:val="18"/>
                    </w:rPr>
                  </w:pPr>
                  <w:r w:rsidRPr="00E3260D">
                    <w:rPr>
                      <w:rFonts w:ascii="Arial" w:hAnsi="Arial" w:cs="Arial"/>
                      <w:sz w:val="18"/>
                      <w:szCs w:val="18"/>
                    </w:rPr>
                    <w:t xml:space="preserve">China                  </w:t>
                  </w:r>
                </w:p>
              </w:tc>
              <w:tc>
                <w:tcPr>
                  <w:tcW w:w="1131" w:type="dxa"/>
                  <w:tcBorders>
                    <w:top w:val="nil"/>
                    <w:left w:val="single" w:sz="4" w:space="0" w:color="auto"/>
                    <w:bottom w:val="nil"/>
                    <w:right w:val="single" w:sz="4" w:space="0" w:color="auto"/>
                  </w:tcBorders>
                  <w:noWrap/>
                  <w:vAlign w:val="center"/>
                  <w:hideMark/>
                </w:tcPr>
                <w:p w14:paraId="19D5D3E5" w14:textId="0786C6A6" w:rsidR="00780EAB" w:rsidRPr="00E3260D" w:rsidRDefault="00780EAB" w:rsidP="00780EAB">
                  <w:pPr>
                    <w:jc w:val="right"/>
                    <w:rPr>
                      <w:rFonts w:ascii="Arial" w:hAnsi="Arial" w:cs="Arial"/>
                      <w:sz w:val="18"/>
                      <w:szCs w:val="18"/>
                      <w:lang w:eastAsia="en-GB"/>
                    </w:rPr>
                  </w:pPr>
                  <w:r w:rsidRPr="00312735">
                    <w:rPr>
                      <w:rFonts w:ascii="Arial" w:hAnsi="Arial" w:cs="Arial"/>
                      <w:color w:val="000000"/>
                      <w:sz w:val="18"/>
                      <w:szCs w:val="18"/>
                      <w:lang w:val="sr-Cyrl-RS"/>
                    </w:rPr>
                    <w:t>3146.4</w:t>
                  </w:r>
                </w:p>
              </w:tc>
              <w:tc>
                <w:tcPr>
                  <w:tcW w:w="1131" w:type="dxa"/>
                  <w:tcBorders>
                    <w:top w:val="nil"/>
                    <w:left w:val="nil"/>
                    <w:bottom w:val="nil"/>
                    <w:right w:val="single" w:sz="4" w:space="0" w:color="auto"/>
                  </w:tcBorders>
                  <w:noWrap/>
                  <w:vAlign w:val="center"/>
                  <w:hideMark/>
                </w:tcPr>
                <w:p w14:paraId="3B2EBD5A" w14:textId="453856F5" w:rsidR="00780EAB" w:rsidRPr="00E3260D" w:rsidRDefault="00780EAB" w:rsidP="00780EAB">
                  <w:pPr>
                    <w:jc w:val="right"/>
                    <w:rPr>
                      <w:rFonts w:ascii="Arial" w:hAnsi="Arial" w:cs="Arial"/>
                      <w:sz w:val="18"/>
                      <w:szCs w:val="18"/>
                      <w:lang w:eastAsia="en-GB"/>
                    </w:rPr>
                  </w:pPr>
                  <w:r w:rsidRPr="00312735">
                    <w:rPr>
                      <w:rFonts w:ascii="Arial" w:hAnsi="Arial" w:cs="Arial"/>
                      <w:color w:val="000000"/>
                      <w:sz w:val="18"/>
                      <w:szCs w:val="18"/>
                      <w:lang w:val="sr-Cyrl-RS"/>
                    </w:rPr>
                    <w:t>2691.1</w:t>
                  </w:r>
                </w:p>
              </w:tc>
            </w:tr>
            <w:tr w:rsidR="00780EAB" w:rsidRPr="00E3260D" w14:paraId="7F8DC967" w14:textId="77777777" w:rsidTr="005B249C">
              <w:trPr>
                <w:trHeight w:val="261"/>
              </w:trPr>
              <w:tc>
                <w:tcPr>
                  <w:tcW w:w="2433" w:type="dxa"/>
                  <w:tcBorders>
                    <w:top w:val="nil"/>
                    <w:left w:val="single" w:sz="4" w:space="0" w:color="auto"/>
                    <w:bottom w:val="nil"/>
                    <w:right w:val="single" w:sz="4" w:space="0" w:color="auto"/>
                  </w:tcBorders>
                  <w:noWrap/>
                  <w:vAlign w:val="center"/>
                  <w:hideMark/>
                </w:tcPr>
                <w:p w14:paraId="56B53355" w14:textId="421B1EB4" w:rsidR="00780EAB" w:rsidRPr="00E3260D" w:rsidRDefault="00780EAB" w:rsidP="00780EAB">
                  <w:pPr>
                    <w:rPr>
                      <w:rFonts w:ascii="Arial" w:hAnsi="Arial" w:cs="Arial"/>
                      <w:sz w:val="18"/>
                      <w:szCs w:val="18"/>
                    </w:rPr>
                  </w:pPr>
                  <w:r w:rsidRPr="00E3260D">
                    <w:rPr>
                      <w:rFonts w:ascii="Arial" w:hAnsi="Arial" w:cs="Arial"/>
                      <w:sz w:val="18"/>
                      <w:szCs w:val="18"/>
                    </w:rPr>
                    <w:t xml:space="preserve">Italy        </w:t>
                  </w:r>
                </w:p>
              </w:tc>
              <w:tc>
                <w:tcPr>
                  <w:tcW w:w="1134" w:type="dxa"/>
                  <w:tcBorders>
                    <w:top w:val="nil"/>
                    <w:left w:val="nil"/>
                    <w:bottom w:val="nil"/>
                    <w:right w:val="single" w:sz="4" w:space="0" w:color="auto"/>
                  </w:tcBorders>
                  <w:noWrap/>
                  <w:vAlign w:val="center"/>
                  <w:hideMark/>
                </w:tcPr>
                <w:p w14:paraId="007F1DCC" w14:textId="40847074"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1507.5</w:t>
                  </w:r>
                </w:p>
              </w:tc>
              <w:tc>
                <w:tcPr>
                  <w:tcW w:w="1131" w:type="dxa"/>
                  <w:tcBorders>
                    <w:top w:val="nil"/>
                    <w:left w:val="nil"/>
                    <w:bottom w:val="nil"/>
                    <w:right w:val="single" w:sz="4" w:space="0" w:color="auto"/>
                  </w:tcBorders>
                  <w:noWrap/>
                  <w:vAlign w:val="center"/>
                  <w:hideMark/>
                </w:tcPr>
                <w:p w14:paraId="27A6CD63" w14:textId="39092F12"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1290.2</w:t>
                  </w:r>
                </w:p>
              </w:tc>
              <w:tc>
                <w:tcPr>
                  <w:tcW w:w="2066" w:type="dxa"/>
                  <w:tcBorders>
                    <w:top w:val="nil"/>
                    <w:left w:val="nil"/>
                    <w:bottom w:val="nil"/>
                    <w:right w:val="nil"/>
                  </w:tcBorders>
                  <w:noWrap/>
                  <w:vAlign w:val="center"/>
                  <w:hideMark/>
                </w:tcPr>
                <w:p w14:paraId="4522243C" w14:textId="45D621BF" w:rsidR="00780EAB" w:rsidRPr="00E3260D" w:rsidRDefault="00780EAB" w:rsidP="00780EAB">
                  <w:pPr>
                    <w:rPr>
                      <w:rFonts w:ascii="Arial" w:hAnsi="Arial" w:cs="Arial"/>
                      <w:sz w:val="18"/>
                      <w:szCs w:val="18"/>
                    </w:rPr>
                  </w:pPr>
                  <w:r w:rsidRPr="00E3260D">
                    <w:rPr>
                      <w:rFonts w:ascii="Arial" w:hAnsi="Arial" w:cs="Arial"/>
                      <w:sz w:val="18"/>
                      <w:szCs w:val="18"/>
                    </w:rPr>
                    <w:t xml:space="preserve">Germany                                             </w:t>
                  </w:r>
                </w:p>
              </w:tc>
              <w:tc>
                <w:tcPr>
                  <w:tcW w:w="1131" w:type="dxa"/>
                  <w:tcBorders>
                    <w:top w:val="nil"/>
                    <w:left w:val="single" w:sz="4" w:space="0" w:color="auto"/>
                    <w:bottom w:val="nil"/>
                    <w:right w:val="single" w:sz="4" w:space="0" w:color="auto"/>
                  </w:tcBorders>
                  <w:noWrap/>
                  <w:vAlign w:val="center"/>
                  <w:hideMark/>
                </w:tcPr>
                <w:p w14:paraId="49D4EBE6" w14:textId="2C1BE46E"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2403.3</w:t>
                  </w:r>
                </w:p>
              </w:tc>
              <w:tc>
                <w:tcPr>
                  <w:tcW w:w="1131" w:type="dxa"/>
                  <w:tcBorders>
                    <w:top w:val="nil"/>
                    <w:left w:val="nil"/>
                    <w:bottom w:val="nil"/>
                    <w:right w:val="single" w:sz="4" w:space="0" w:color="auto"/>
                  </w:tcBorders>
                  <w:noWrap/>
                  <w:vAlign w:val="center"/>
                  <w:hideMark/>
                </w:tcPr>
                <w:p w14:paraId="086AAD7A" w14:textId="73E313A5"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2056.2</w:t>
                  </w:r>
                </w:p>
              </w:tc>
            </w:tr>
            <w:tr w:rsidR="00780EAB" w:rsidRPr="00E3260D" w14:paraId="30A89737" w14:textId="77777777" w:rsidTr="005B249C">
              <w:trPr>
                <w:trHeight w:val="261"/>
              </w:trPr>
              <w:tc>
                <w:tcPr>
                  <w:tcW w:w="2433" w:type="dxa"/>
                  <w:tcBorders>
                    <w:top w:val="nil"/>
                    <w:left w:val="single" w:sz="4" w:space="0" w:color="auto"/>
                    <w:bottom w:val="nil"/>
                    <w:right w:val="single" w:sz="4" w:space="0" w:color="auto"/>
                  </w:tcBorders>
                  <w:noWrap/>
                  <w:vAlign w:val="center"/>
                  <w:hideMark/>
                </w:tcPr>
                <w:p w14:paraId="7D747B6F" w14:textId="4AC8D56A" w:rsidR="00780EAB" w:rsidRPr="00E3260D" w:rsidRDefault="00780EAB" w:rsidP="00780EAB">
                  <w:pPr>
                    <w:rPr>
                      <w:rFonts w:ascii="Arial" w:hAnsi="Arial" w:cs="Arial"/>
                      <w:sz w:val="18"/>
                      <w:szCs w:val="18"/>
                    </w:rPr>
                  </w:pPr>
                  <w:r w:rsidRPr="00E3260D">
                    <w:rPr>
                      <w:rFonts w:ascii="Arial" w:hAnsi="Arial" w:cs="Arial"/>
                      <w:sz w:val="18"/>
                      <w:szCs w:val="18"/>
                    </w:rPr>
                    <w:t xml:space="preserve">China </w:t>
                  </w:r>
                </w:p>
              </w:tc>
              <w:tc>
                <w:tcPr>
                  <w:tcW w:w="1134" w:type="dxa"/>
                  <w:tcBorders>
                    <w:top w:val="nil"/>
                    <w:left w:val="nil"/>
                    <w:bottom w:val="nil"/>
                    <w:right w:val="single" w:sz="4" w:space="0" w:color="auto"/>
                  </w:tcBorders>
                  <w:noWrap/>
                  <w:vAlign w:val="center"/>
                  <w:hideMark/>
                </w:tcPr>
                <w:p w14:paraId="78B05DD0" w14:textId="7070AFCB"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1031.8</w:t>
                  </w:r>
                </w:p>
              </w:tc>
              <w:tc>
                <w:tcPr>
                  <w:tcW w:w="1131" w:type="dxa"/>
                  <w:tcBorders>
                    <w:top w:val="nil"/>
                    <w:left w:val="nil"/>
                    <w:bottom w:val="nil"/>
                    <w:right w:val="single" w:sz="4" w:space="0" w:color="auto"/>
                  </w:tcBorders>
                  <w:noWrap/>
                  <w:vAlign w:val="center"/>
                  <w:hideMark/>
                </w:tcPr>
                <w:p w14:paraId="210BE495" w14:textId="5CD45C0B"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883.4</w:t>
                  </w:r>
                </w:p>
              </w:tc>
              <w:tc>
                <w:tcPr>
                  <w:tcW w:w="2066" w:type="dxa"/>
                  <w:tcBorders>
                    <w:top w:val="nil"/>
                    <w:left w:val="nil"/>
                    <w:bottom w:val="nil"/>
                    <w:right w:val="nil"/>
                  </w:tcBorders>
                  <w:noWrap/>
                  <w:vAlign w:val="center"/>
                  <w:hideMark/>
                </w:tcPr>
                <w:p w14:paraId="604CF0E2" w14:textId="64A4B8C8" w:rsidR="00780EAB" w:rsidRPr="00E3260D" w:rsidRDefault="00780EAB" w:rsidP="00780EAB">
                  <w:pPr>
                    <w:rPr>
                      <w:rFonts w:ascii="Arial" w:hAnsi="Arial" w:cs="Arial"/>
                      <w:sz w:val="18"/>
                      <w:szCs w:val="18"/>
                    </w:rPr>
                  </w:pPr>
                  <w:r w:rsidRPr="00E3260D">
                    <w:rPr>
                      <w:rFonts w:ascii="Arial" w:hAnsi="Arial" w:cs="Arial"/>
                      <w:sz w:val="18"/>
                      <w:szCs w:val="18"/>
                    </w:rPr>
                    <w:t>Italy</w:t>
                  </w:r>
                </w:p>
              </w:tc>
              <w:tc>
                <w:tcPr>
                  <w:tcW w:w="1131" w:type="dxa"/>
                  <w:tcBorders>
                    <w:top w:val="nil"/>
                    <w:left w:val="single" w:sz="4" w:space="0" w:color="auto"/>
                    <w:bottom w:val="nil"/>
                    <w:right w:val="single" w:sz="4" w:space="0" w:color="auto"/>
                  </w:tcBorders>
                  <w:noWrap/>
                  <w:vAlign w:val="center"/>
                  <w:hideMark/>
                </w:tcPr>
                <w:p w14:paraId="02C1F642" w14:textId="1FD486E3"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1423.3</w:t>
                  </w:r>
                </w:p>
              </w:tc>
              <w:tc>
                <w:tcPr>
                  <w:tcW w:w="1131" w:type="dxa"/>
                  <w:tcBorders>
                    <w:top w:val="nil"/>
                    <w:left w:val="nil"/>
                    <w:bottom w:val="nil"/>
                    <w:right w:val="single" w:sz="4" w:space="0" w:color="auto"/>
                  </w:tcBorders>
                  <w:noWrap/>
                  <w:vAlign w:val="center"/>
                  <w:hideMark/>
                </w:tcPr>
                <w:p w14:paraId="6610E185" w14:textId="5E8ED2D0"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1217.6</w:t>
                  </w:r>
                </w:p>
              </w:tc>
            </w:tr>
            <w:tr w:rsidR="00780EAB" w:rsidRPr="00E3260D" w14:paraId="187EABA7" w14:textId="77777777" w:rsidTr="005B249C">
              <w:trPr>
                <w:trHeight w:val="261"/>
              </w:trPr>
              <w:tc>
                <w:tcPr>
                  <w:tcW w:w="2433" w:type="dxa"/>
                  <w:tcBorders>
                    <w:top w:val="nil"/>
                    <w:left w:val="single" w:sz="4" w:space="0" w:color="auto"/>
                    <w:bottom w:val="nil"/>
                    <w:right w:val="single" w:sz="4" w:space="0" w:color="auto"/>
                  </w:tcBorders>
                  <w:noWrap/>
                  <w:vAlign w:val="center"/>
                  <w:hideMark/>
                </w:tcPr>
                <w:p w14:paraId="4EBDF90A" w14:textId="31EEB9F8" w:rsidR="00780EAB" w:rsidRPr="00E3260D" w:rsidRDefault="00780EAB" w:rsidP="00780EAB">
                  <w:pPr>
                    <w:rPr>
                      <w:rFonts w:ascii="Arial" w:hAnsi="Arial" w:cs="Arial"/>
                      <w:sz w:val="18"/>
                      <w:szCs w:val="18"/>
                    </w:rPr>
                  </w:pPr>
                  <w:r w:rsidRPr="00E3260D">
                    <w:rPr>
                      <w:rFonts w:ascii="Arial" w:hAnsi="Arial" w:cs="Arial"/>
                      <w:sz w:val="18"/>
                      <w:szCs w:val="18"/>
                    </w:rPr>
                    <w:t xml:space="preserve">Bosnia and Herzegovina                                        </w:t>
                  </w:r>
                </w:p>
              </w:tc>
              <w:tc>
                <w:tcPr>
                  <w:tcW w:w="1134" w:type="dxa"/>
                  <w:tcBorders>
                    <w:top w:val="nil"/>
                    <w:left w:val="nil"/>
                    <w:bottom w:val="nil"/>
                    <w:right w:val="single" w:sz="4" w:space="0" w:color="auto"/>
                  </w:tcBorders>
                  <w:noWrap/>
                  <w:vAlign w:val="center"/>
                  <w:hideMark/>
                </w:tcPr>
                <w:p w14:paraId="6907C93A" w14:textId="74383C9C"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921.5</w:t>
                  </w:r>
                </w:p>
              </w:tc>
              <w:tc>
                <w:tcPr>
                  <w:tcW w:w="1131" w:type="dxa"/>
                  <w:tcBorders>
                    <w:top w:val="nil"/>
                    <w:left w:val="nil"/>
                    <w:bottom w:val="nil"/>
                    <w:right w:val="single" w:sz="4" w:space="0" w:color="auto"/>
                  </w:tcBorders>
                  <w:noWrap/>
                  <w:vAlign w:val="center"/>
                  <w:hideMark/>
                </w:tcPr>
                <w:p w14:paraId="6ABF92AE" w14:textId="650D2140"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788.4</w:t>
                  </w:r>
                </w:p>
              </w:tc>
              <w:tc>
                <w:tcPr>
                  <w:tcW w:w="2066" w:type="dxa"/>
                  <w:tcBorders>
                    <w:top w:val="nil"/>
                    <w:left w:val="nil"/>
                    <w:bottom w:val="nil"/>
                    <w:right w:val="nil"/>
                  </w:tcBorders>
                  <w:noWrap/>
                  <w:vAlign w:val="center"/>
                  <w:hideMark/>
                </w:tcPr>
                <w:p w14:paraId="526B0A88" w14:textId="7FC82501" w:rsidR="00780EAB" w:rsidRPr="00E3260D" w:rsidRDefault="00780EAB" w:rsidP="00780EAB">
                  <w:pPr>
                    <w:rPr>
                      <w:rFonts w:ascii="Arial" w:hAnsi="Arial" w:cs="Arial"/>
                      <w:sz w:val="18"/>
                      <w:szCs w:val="18"/>
                    </w:rPr>
                  </w:pPr>
                  <w:r w:rsidRPr="00E3260D">
                    <w:rPr>
                      <w:rFonts w:ascii="Arial" w:hAnsi="Arial" w:cs="Arial"/>
                      <w:sz w:val="18"/>
                      <w:szCs w:val="18"/>
                    </w:rPr>
                    <w:t xml:space="preserve">Turkey                   </w:t>
                  </w:r>
                </w:p>
              </w:tc>
              <w:tc>
                <w:tcPr>
                  <w:tcW w:w="1131" w:type="dxa"/>
                  <w:tcBorders>
                    <w:top w:val="nil"/>
                    <w:left w:val="single" w:sz="4" w:space="0" w:color="auto"/>
                    <w:bottom w:val="nil"/>
                    <w:right w:val="single" w:sz="4" w:space="0" w:color="auto"/>
                  </w:tcBorders>
                  <w:noWrap/>
                  <w:vAlign w:val="center"/>
                  <w:hideMark/>
                </w:tcPr>
                <w:p w14:paraId="6F7FDDC4" w14:textId="4AC52D36"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1076.1</w:t>
                  </w:r>
                </w:p>
              </w:tc>
              <w:tc>
                <w:tcPr>
                  <w:tcW w:w="1131" w:type="dxa"/>
                  <w:tcBorders>
                    <w:top w:val="nil"/>
                    <w:left w:val="nil"/>
                    <w:bottom w:val="nil"/>
                    <w:right w:val="single" w:sz="4" w:space="0" w:color="auto"/>
                  </w:tcBorders>
                  <w:noWrap/>
                  <w:vAlign w:val="center"/>
                  <w:hideMark/>
                </w:tcPr>
                <w:p w14:paraId="176BAAA8" w14:textId="62ED7298"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921.0</w:t>
                  </w:r>
                </w:p>
              </w:tc>
            </w:tr>
            <w:tr w:rsidR="00780EAB" w:rsidRPr="00E3260D" w14:paraId="48F208B0" w14:textId="77777777" w:rsidTr="005B249C">
              <w:trPr>
                <w:trHeight w:val="261"/>
              </w:trPr>
              <w:tc>
                <w:tcPr>
                  <w:tcW w:w="2433" w:type="dxa"/>
                  <w:tcBorders>
                    <w:top w:val="nil"/>
                    <w:left w:val="single" w:sz="4" w:space="0" w:color="auto"/>
                    <w:bottom w:val="single" w:sz="4" w:space="0" w:color="auto"/>
                    <w:right w:val="single" w:sz="4" w:space="0" w:color="auto"/>
                  </w:tcBorders>
                  <w:noWrap/>
                  <w:vAlign w:val="center"/>
                  <w:hideMark/>
                </w:tcPr>
                <w:p w14:paraId="4E8BD71F" w14:textId="11874214" w:rsidR="00780EAB" w:rsidRPr="00E3260D" w:rsidRDefault="00780EAB" w:rsidP="00780EAB">
                  <w:pPr>
                    <w:rPr>
                      <w:rFonts w:ascii="Arial" w:hAnsi="Arial" w:cs="Arial"/>
                      <w:sz w:val="18"/>
                      <w:szCs w:val="18"/>
                    </w:rPr>
                  </w:pPr>
                  <w:r w:rsidRPr="00E3260D">
                    <w:rPr>
                      <w:rFonts w:ascii="Arial" w:hAnsi="Arial" w:cs="Arial"/>
                      <w:sz w:val="18"/>
                      <w:szCs w:val="18"/>
                    </w:rPr>
                    <w:t xml:space="preserve">Hungary                </w:t>
                  </w:r>
                </w:p>
              </w:tc>
              <w:tc>
                <w:tcPr>
                  <w:tcW w:w="1134" w:type="dxa"/>
                  <w:tcBorders>
                    <w:top w:val="nil"/>
                    <w:left w:val="nil"/>
                    <w:bottom w:val="single" w:sz="4" w:space="0" w:color="auto"/>
                    <w:right w:val="single" w:sz="4" w:space="0" w:color="auto"/>
                  </w:tcBorders>
                  <w:noWrap/>
                  <w:vAlign w:val="center"/>
                  <w:hideMark/>
                </w:tcPr>
                <w:p w14:paraId="65C8959A" w14:textId="627DA8B5"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761.4</w:t>
                  </w:r>
                </w:p>
              </w:tc>
              <w:tc>
                <w:tcPr>
                  <w:tcW w:w="1131" w:type="dxa"/>
                  <w:tcBorders>
                    <w:top w:val="nil"/>
                    <w:left w:val="nil"/>
                    <w:bottom w:val="single" w:sz="4" w:space="0" w:color="auto"/>
                    <w:right w:val="single" w:sz="4" w:space="0" w:color="auto"/>
                  </w:tcBorders>
                  <w:noWrap/>
                  <w:vAlign w:val="center"/>
                  <w:hideMark/>
                </w:tcPr>
                <w:p w14:paraId="5B2030E0" w14:textId="6EC8D89A"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651.6</w:t>
                  </w:r>
                </w:p>
              </w:tc>
              <w:tc>
                <w:tcPr>
                  <w:tcW w:w="2066" w:type="dxa"/>
                  <w:tcBorders>
                    <w:top w:val="nil"/>
                    <w:left w:val="nil"/>
                    <w:bottom w:val="single" w:sz="4" w:space="0" w:color="auto"/>
                    <w:right w:val="nil"/>
                  </w:tcBorders>
                  <w:noWrap/>
                  <w:vAlign w:val="center"/>
                  <w:hideMark/>
                </w:tcPr>
                <w:p w14:paraId="7CFFEBD8" w14:textId="2140AAC2" w:rsidR="00780EAB" w:rsidRPr="00E3260D" w:rsidRDefault="00780EAB" w:rsidP="00780EAB">
                  <w:pPr>
                    <w:rPr>
                      <w:rFonts w:ascii="Arial" w:hAnsi="Arial" w:cs="Arial"/>
                      <w:sz w:val="18"/>
                      <w:szCs w:val="18"/>
                    </w:rPr>
                  </w:pPr>
                  <w:r w:rsidRPr="00E3260D">
                    <w:rPr>
                      <w:rFonts w:ascii="Arial" w:hAnsi="Arial" w:cs="Arial"/>
                      <w:sz w:val="18"/>
                      <w:szCs w:val="18"/>
                    </w:rPr>
                    <w:t xml:space="preserve">Hungary                   </w:t>
                  </w:r>
                </w:p>
              </w:tc>
              <w:tc>
                <w:tcPr>
                  <w:tcW w:w="1131" w:type="dxa"/>
                  <w:tcBorders>
                    <w:top w:val="nil"/>
                    <w:left w:val="single" w:sz="4" w:space="0" w:color="auto"/>
                    <w:bottom w:val="single" w:sz="4" w:space="0" w:color="auto"/>
                    <w:right w:val="single" w:sz="4" w:space="0" w:color="auto"/>
                  </w:tcBorders>
                  <w:noWrap/>
                  <w:vAlign w:val="center"/>
                  <w:hideMark/>
                </w:tcPr>
                <w:p w14:paraId="0107C1F2" w14:textId="68AB8F1D"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858.4</w:t>
                  </w:r>
                </w:p>
              </w:tc>
              <w:tc>
                <w:tcPr>
                  <w:tcW w:w="1131" w:type="dxa"/>
                  <w:tcBorders>
                    <w:top w:val="nil"/>
                    <w:left w:val="nil"/>
                    <w:bottom w:val="single" w:sz="4" w:space="0" w:color="auto"/>
                    <w:right w:val="single" w:sz="4" w:space="0" w:color="auto"/>
                  </w:tcBorders>
                  <w:noWrap/>
                  <w:vAlign w:val="center"/>
                  <w:hideMark/>
                </w:tcPr>
                <w:p w14:paraId="21A819C9" w14:textId="49736521" w:rsidR="00780EAB" w:rsidRPr="00E3260D" w:rsidRDefault="00780EAB" w:rsidP="00780EAB">
                  <w:pPr>
                    <w:jc w:val="right"/>
                    <w:rPr>
                      <w:rFonts w:ascii="Arial" w:hAnsi="Arial" w:cs="Arial"/>
                      <w:sz w:val="18"/>
                      <w:szCs w:val="18"/>
                    </w:rPr>
                  </w:pPr>
                  <w:r w:rsidRPr="00312735">
                    <w:rPr>
                      <w:rFonts w:ascii="Arial" w:hAnsi="Arial" w:cs="Arial"/>
                      <w:color w:val="000000"/>
                      <w:sz w:val="18"/>
                      <w:szCs w:val="18"/>
                      <w:lang w:val="sr-Cyrl-RS"/>
                    </w:rPr>
                    <w:t>733.3</w:t>
                  </w:r>
                </w:p>
              </w:tc>
            </w:tr>
          </w:tbl>
          <w:p w14:paraId="08443706" w14:textId="77777777" w:rsidR="00052F49" w:rsidRPr="00E3260D" w:rsidRDefault="00052F49" w:rsidP="00B736E7">
            <w:pPr>
              <w:jc w:val="both"/>
              <w:rPr>
                <w:rFonts w:ascii="Tahoma" w:hAnsi="Tahoma" w:cs="Tahoma"/>
                <w:sz w:val="18"/>
                <w:szCs w:val="18"/>
              </w:rPr>
            </w:pPr>
          </w:p>
          <w:p w14:paraId="7F723D65" w14:textId="77777777" w:rsidR="00780EAB" w:rsidRDefault="00780EAB" w:rsidP="00B736E7">
            <w:pPr>
              <w:jc w:val="both"/>
              <w:rPr>
                <w:rFonts w:ascii="Arial" w:hAnsi="Arial" w:cs="Arial"/>
                <w:sz w:val="18"/>
                <w:szCs w:val="18"/>
                <w:lang w:val="en-US"/>
              </w:rPr>
            </w:pPr>
          </w:p>
          <w:p w14:paraId="3BFF8C57" w14:textId="56560888" w:rsidR="00B736E7" w:rsidRPr="007605F1" w:rsidRDefault="00B736E7" w:rsidP="00B736E7">
            <w:pPr>
              <w:jc w:val="both"/>
              <w:rPr>
                <w:rFonts w:ascii="Tahoma" w:hAnsi="Tahoma" w:cs="Tahoma"/>
                <w:sz w:val="18"/>
                <w:szCs w:val="18"/>
              </w:rPr>
            </w:pPr>
            <w:r w:rsidRPr="00E3260D">
              <w:rPr>
                <w:rFonts w:ascii="Tahoma" w:hAnsi="Tahoma" w:cs="Tahoma"/>
                <w:sz w:val="18"/>
                <w:szCs w:val="18"/>
              </w:rPr>
              <w:t xml:space="preserve">Our second major partner refers to the </w:t>
            </w:r>
            <w:r w:rsidRPr="00E3260D">
              <w:rPr>
                <w:rFonts w:ascii="Tahoma" w:hAnsi="Tahoma" w:cs="Tahoma"/>
                <w:b/>
                <w:i/>
                <w:sz w:val="18"/>
                <w:szCs w:val="18"/>
              </w:rPr>
              <w:t>CEFTA countries</w:t>
            </w:r>
            <w:r w:rsidRPr="00E3260D">
              <w:rPr>
                <w:rFonts w:ascii="Tahoma" w:hAnsi="Tahoma" w:cs="Tahoma"/>
                <w:sz w:val="18"/>
                <w:szCs w:val="18"/>
              </w:rPr>
              <w:t xml:space="preserve">, since our gained surplus in external trade amounted to USD </w:t>
            </w:r>
            <w:r w:rsidR="00780EAB">
              <w:rPr>
                <w:rFonts w:ascii="Tahoma" w:hAnsi="Tahoma" w:cs="Tahoma"/>
                <w:sz w:val="18"/>
                <w:szCs w:val="18"/>
              </w:rPr>
              <w:t>1496.3</w:t>
            </w:r>
            <w:r w:rsidRPr="00E3260D">
              <w:rPr>
                <w:rFonts w:ascii="Tahoma" w:hAnsi="Tahoma" w:cs="Tahoma"/>
                <w:sz w:val="18"/>
                <w:szCs w:val="18"/>
              </w:rPr>
              <w:t xml:space="preserve"> million, resulting </w:t>
            </w:r>
            <w:r w:rsidR="00D36D2D" w:rsidRPr="00E3260D">
              <w:rPr>
                <w:rFonts w:ascii="Tahoma" w:hAnsi="Tahoma" w:cs="Tahoma"/>
                <w:sz w:val="18"/>
                <w:szCs w:val="18"/>
              </w:rPr>
              <w:t>from</w:t>
            </w:r>
            <w:r w:rsidRPr="00E3260D">
              <w:rPr>
                <w:rFonts w:ascii="Tahoma" w:hAnsi="Tahoma" w:cs="Tahoma"/>
                <w:sz w:val="18"/>
                <w:szCs w:val="18"/>
              </w:rPr>
              <w:t xml:space="preserve"> the exports of</w:t>
            </w:r>
            <w:r w:rsidR="007B15E1" w:rsidRPr="00E3260D">
              <w:rPr>
                <w:rFonts w:ascii="Tahoma" w:hAnsi="Tahoma" w:cs="Tahoma"/>
                <w:sz w:val="18"/>
                <w:szCs w:val="18"/>
              </w:rPr>
              <w:t xml:space="preserve"> </w:t>
            </w:r>
            <w:r w:rsidR="00095E10" w:rsidRPr="00E3260D">
              <w:rPr>
                <w:rFonts w:ascii="Tahoma" w:hAnsi="Tahoma" w:cs="Tahoma"/>
                <w:sz w:val="18"/>
                <w:szCs w:val="18"/>
              </w:rPr>
              <w:t xml:space="preserve">cereals and produces thereof, </w:t>
            </w:r>
            <w:r w:rsidR="007F41B1" w:rsidRPr="00E3260D">
              <w:rPr>
                <w:rFonts w:ascii="Tahoma" w:hAnsi="Tahoma" w:cs="Tahoma"/>
                <w:sz w:val="18"/>
                <w:szCs w:val="18"/>
              </w:rPr>
              <w:t xml:space="preserve">road vehicles, </w:t>
            </w:r>
            <w:r w:rsidR="00780EAB">
              <w:rPr>
                <w:rFonts w:ascii="Tahoma" w:hAnsi="Tahoma" w:cs="Tahoma"/>
                <w:sz w:val="18"/>
                <w:szCs w:val="18"/>
              </w:rPr>
              <w:t xml:space="preserve">beverages, </w:t>
            </w:r>
            <w:r w:rsidR="00B676F5" w:rsidRPr="00E3260D">
              <w:rPr>
                <w:rFonts w:ascii="Tahoma" w:hAnsi="Tahoma" w:cs="Tahoma"/>
                <w:sz w:val="18"/>
                <w:szCs w:val="18"/>
              </w:rPr>
              <w:t xml:space="preserve">medical and pharmaceutical products, </w:t>
            </w:r>
            <w:r w:rsidR="00B133BD" w:rsidRPr="00E3260D">
              <w:rPr>
                <w:rFonts w:ascii="Tahoma" w:hAnsi="Tahoma" w:cs="Tahoma"/>
                <w:sz w:val="18"/>
                <w:szCs w:val="18"/>
              </w:rPr>
              <w:t>electrical machines and apparatus</w:t>
            </w:r>
            <w:r w:rsidR="00326A17" w:rsidRPr="00E3260D">
              <w:rPr>
                <w:rFonts w:ascii="Tahoma" w:hAnsi="Tahoma" w:cs="Tahoma"/>
                <w:sz w:val="18"/>
                <w:szCs w:val="18"/>
              </w:rPr>
              <w:t xml:space="preserve">. </w:t>
            </w:r>
            <w:r w:rsidRPr="00E3260D">
              <w:rPr>
                <w:rFonts w:ascii="Tahoma" w:hAnsi="Tahoma" w:cs="Tahoma"/>
                <w:sz w:val="18"/>
                <w:szCs w:val="18"/>
              </w:rPr>
              <w:t>Our exports in the referen</w:t>
            </w:r>
            <w:r w:rsidR="003F73B2">
              <w:rPr>
                <w:rFonts w:ascii="Tahoma" w:hAnsi="Tahoma" w:cs="Tahoma"/>
                <w:sz w:val="18"/>
                <w:szCs w:val="18"/>
              </w:rPr>
              <w:t>ce</w:t>
            </w:r>
            <w:r w:rsidRPr="00E3260D">
              <w:rPr>
                <w:rFonts w:ascii="Tahoma" w:hAnsi="Tahoma" w:cs="Tahoma"/>
                <w:sz w:val="18"/>
                <w:szCs w:val="18"/>
              </w:rPr>
              <w:t xml:space="preserve"> period amounted to </w:t>
            </w:r>
            <w:r w:rsidRPr="007605F1">
              <w:rPr>
                <w:rFonts w:ascii="Tahoma" w:hAnsi="Tahoma" w:cs="Tahoma"/>
                <w:sz w:val="18"/>
                <w:szCs w:val="18"/>
              </w:rPr>
              <w:t xml:space="preserve">USD </w:t>
            </w:r>
            <w:r w:rsidR="00780EAB">
              <w:rPr>
                <w:rFonts w:ascii="Tahoma" w:hAnsi="Tahoma" w:cs="Tahoma"/>
                <w:sz w:val="18"/>
                <w:szCs w:val="18"/>
              </w:rPr>
              <w:t>2242.4</w:t>
            </w:r>
            <w:r w:rsidRPr="007605F1">
              <w:rPr>
                <w:rFonts w:ascii="Tahoma" w:hAnsi="Tahoma" w:cs="Tahoma"/>
                <w:sz w:val="18"/>
                <w:szCs w:val="18"/>
              </w:rPr>
              <w:t xml:space="preserve"> million, while the imports were USD </w:t>
            </w:r>
            <w:r w:rsidR="00780EAB">
              <w:rPr>
                <w:rFonts w:ascii="Tahoma" w:hAnsi="Tahoma" w:cs="Tahoma"/>
                <w:sz w:val="18"/>
                <w:szCs w:val="18"/>
              </w:rPr>
              <w:t>746.1</w:t>
            </w:r>
            <w:r w:rsidR="00F03367" w:rsidRPr="007605F1">
              <w:rPr>
                <w:rFonts w:ascii="Tahoma" w:hAnsi="Tahoma" w:cs="Tahoma"/>
                <w:sz w:val="18"/>
                <w:szCs w:val="18"/>
              </w:rPr>
              <w:t xml:space="preserve"> </w:t>
            </w:r>
            <w:r w:rsidRPr="007605F1">
              <w:rPr>
                <w:rFonts w:ascii="Tahoma" w:hAnsi="Tahoma" w:cs="Tahoma"/>
                <w:sz w:val="18"/>
                <w:szCs w:val="18"/>
              </w:rPr>
              <w:t xml:space="preserve">million. The export– import ratio </w:t>
            </w:r>
            <w:r w:rsidR="000E6318" w:rsidRPr="007605F1">
              <w:rPr>
                <w:rFonts w:ascii="Tahoma" w:hAnsi="Tahoma" w:cs="Tahoma"/>
                <w:sz w:val="18"/>
                <w:szCs w:val="18"/>
              </w:rPr>
              <w:t>equalled</w:t>
            </w:r>
            <w:r w:rsidR="00F03367" w:rsidRPr="007605F1">
              <w:rPr>
                <w:rFonts w:ascii="Tahoma" w:hAnsi="Tahoma" w:cs="Tahoma"/>
                <w:sz w:val="18"/>
                <w:szCs w:val="18"/>
              </w:rPr>
              <w:t xml:space="preserve"> </w:t>
            </w:r>
            <w:r w:rsidR="00780EAB">
              <w:rPr>
                <w:rFonts w:ascii="Tahoma" w:hAnsi="Tahoma" w:cs="Tahoma"/>
                <w:sz w:val="18"/>
                <w:szCs w:val="18"/>
              </w:rPr>
              <w:t>300.5</w:t>
            </w:r>
            <w:r w:rsidRPr="007605F1">
              <w:rPr>
                <w:rFonts w:ascii="Tahoma" w:hAnsi="Tahoma" w:cs="Tahoma"/>
                <w:sz w:val="18"/>
                <w:szCs w:val="18"/>
              </w:rPr>
              <w:t xml:space="preserve">%. Expressed in EUR, exports amounted to </w:t>
            </w:r>
            <w:r w:rsidR="005B249C" w:rsidRPr="007605F1">
              <w:rPr>
                <w:rFonts w:ascii="Tahoma" w:hAnsi="Tahoma" w:cs="Tahoma"/>
                <w:sz w:val="18"/>
                <w:szCs w:val="18"/>
              </w:rPr>
              <w:t xml:space="preserve">EUR </w:t>
            </w:r>
            <w:r w:rsidR="00780EAB">
              <w:rPr>
                <w:rFonts w:ascii="Tahoma" w:hAnsi="Tahoma" w:cs="Tahoma"/>
                <w:sz w:val="18"/>
                <w:szCs w:val="18"/>
              </w:rPr>
              <w:t>1919.0</w:t>
            </w:r>
            <w:r w:rsidR="003A4126" w:rsidRPr="007605F1">
              <w:rPr>
                <w:rFonts w:ascii="Tahoma" w:hAnsi="Tahoma" w:cs="Tahoma"/>
                <w:sz w:val="18"/>
                <w:szCs w:val="18"/>
              </w:rPr>
              <w:t xml:space="preserve"> </w:t>
            </w:r>
            <w:r w:rsidR="005B249C" w:rsidRPr="007605F1">
              <w:rPr>
                <w:rFonts w:ascii="Tahoma" w:hAnsi="Tahoma" w:cs="Tahoma"/>
                <w:sz w:val="18"/>
                <w:szCs w:val="18"/>
              </w:rPr>
              <w:t xml:space="preserve">million </w:t>
            </w:r>
            <w:r w:rsidR="003A4126" w:rsidRPr="007605F1">
              <w:rPr>
                <w:rFonts w:ascii="Tahoma" w:hAnsi="Tahoma" w:cs="Tahoma"/>
                <w:sz w:val="18"/>
                <w:szCs w:val="18"/>
              </w:rPr>
              <w:t xml:space="preserve">and imports to </w:t>
            </w:r>
            <w:r w:rsidR="005B249C" w:rsidRPr="007605F1">
              <w:rPr>
                <w:rFonts w:ascii="Tahoma" w:hAnsi="Tahoma" w:cs="Tahoma"/>
                <w:sz w:val="18"/>
                <w:szCs w:val="18"/>
              </w:rPr>
              <w:t xml:space="preserve">EUR </w:t>
            </w:r>
            <w:r w:rsidR="00780EAB">
              <w:rPr>
                <w:rFonts w:ascii="Tahoma" w:hAnsi="Tahoma" w:cs="Tahoma"/>
                <w:sz w:val="18"/>
                <w:szCs w:val="18"/>
              </w:rPr>
              <w:t>638.6</w:t>
            </w:r>
            <w:r w:rsidR="003A4126" w:rsidRPr="007605F1">
              <w:rPr>
                <w:rFonts w:ascii="Tahoma" w:hAnsi="Tahoma" w:cs="Tahoma"/>
                <w:sz w:val="18"/>
                <w:szCs w:val="18"/>
              </w:rPr>
              <w:t xml:space="preserve"> million (surplus amounted to EUR </w:t>
            </w:r>
            <w:r w:rsidR="00780EAB">
              <w:rPr>
                <w:rFonts w:ascii="Tahoma" w:hAnsi="Tahoma" w:cs="Tahoma"/>
                <w:sz w:val="18"/>
                <w:szCs w:val="18"/>
              </w:rPr>
              <w:t>1280.4</w:t>
            </w:r>
            <w:r w:rsidR="003A4126" w:rsidRPr="007605F1">
              <w:rPr>
                <w:rFonts w:ascii="Tahoma" w:hAnsi="Tahoma" w:cs="Tahoma"/>
                <w:sz w:val="18"/>
                <w:szCs w:val="18"/>
              </w:rPr>
              <w:t xml:space="preserve"> million and export – import ratio </w:t>
            </w:r>
            <w:r w:rsidR="00527A8C" w:rsidRPr="007605F1">
              <w:rPr>
                <w:rFonts w:ascii="Tahoma" w:hAnsi="Tahoma" w:cs="Tahoma"/>
                <w:sz w:val="18"/>
                <w:szCs w:val="18"/>
              </w:rPr>
              <w:t>equalled</w:t>
            </w:r>
            <w:r w:rsidR="00F03367" w:rsidRPr="007605F1">
              <w:rPr>
                <w:rFonts w:ascii="Tahoma" w:hAnsi="Tahoma" w:cs="Tahoma"/>
                <w:sz w:val="18"/>
                <w:szCs w:val="18"/>
              </w:rPr>
              <w:t xml:space="preserve"> </w:t>
            </w:r>
            <w:r w:rsidR="00780EAB">
              <w:rPr>
                <w:rFonts w:ascii="Tahoma" w:hAnsi="Tahoma" w:cs="Tahoma"/>
                <w:sz w:val="18"/>
                <w:szCs w:val="18"/>
              </w:rPr>
              <w:t>300.5</w:t>
            </w:r>
            <w:r w:rsidR="003A4126" w:rsidRPr="007605F1">
              <w:rPr>
                <w:rFonts w:ascii="Tahoma" w:hAnsi="Tahoma" w:cs="Tahoma"/>
                <w:sz w:val="18"/>
                <w:szCs w:val="18"/>
              </w:rPr>
              <w:t xml:space="preserve">%). </w:t>
            </w:r>
          </w:p>
          <w:p w14:paraId="5DAB76C8" w14:textId="77777777" w:rsidR="00B133BD" w:rsidRPr="00E3260D" w:rsidRDefault="00B133BD" w:rsidP="003A4126">
            <w:pPr>
              <w:jc w:val="both"/>
              <w:rPr>
                <w:rFonts w:ascii="Tahoma" w:hAnsi="Tahoma" w:cs="Tahoma"/>
                <w:sz w:val="18"/>
                <w:szCs w:val="18"/>
                <w:shd w:val="clear" w:color="auto" w:fill="FFFFFF"/>
              </w:rPr>
            </w:pPr>
          </w:p>
          <w:p w14:paraId="031062EC" w14:textId="20A80BA0" w:rsidR="003A4126" w:rsidRPr="00E3260D" w:rsidRDefault="003A4126" w:rsidP="003A4126">
            <w:pPr>
              <w:jc w:val="both"/>
              <w:rPr>
                <w:rFonts w:ascii="Tahoma" w:hAnsi="Tahoma" w:cs="Tahoma"/>
                <w:sz w:val="18"/>
                <w:szCs w:val="18"/>
                <w:shd w:val="clear" w:color="auto" w:fill="FFFFFF"/>
              </w:rPr>
            </w:pPr>
            <w:r w:rsidRPr="00E3260D">
              <w:rPr>
                <w:rFonts w:ascii="Tahoma" w:hAnsi="Tahoma" w:cs="Tahoma"/>
                <w:sz w:val="18"/>
                <w:szCs w:val="18"/>
                <w:shd w:val="clear" w:color="auto" w:fill="FFFFFF"/>
              </w:rPr>
              <w:t xml:space="preserve">Observed by countries, the largest surplus in the external trade was gained with </w:t>
            </w:r>
            <w:r w:rsidR="00AD4232" w:rsidRPr="00E3260D">
              <w:rPr>
                <w:rFonts w:ascii="Tahoma" w:hAnsi="Tahoma" w:cs="Tahoma"/>
                <w:sz w:val="18"/>
                <w:szCs w:val="18"/>
                <w:shd w:val="clear" w:color="auto" w:fill="FFFFFF"/>
              </w:rPr>
              <w:t xml:space="preserve">the </w:t>
            </w:r>
            <w:r w:rsidR="0093014F" w:rsidRPr="00E3260D">
              <w:rPr>
                <w:rFonts w:ascii="Tahoma" w:hAnsi="Tahoma" w:cs="Tahoma"/>
                <w:sz w:val="18"/>
                <w:szCs w:val="18"/>
                <w:shd w:val="clear" w:color="auto" w:fill="FFFFFF"/>
              </w:rPr>
              <w:t>surrounding countries</w:t>
            </w:r>
            <w:r w:rsidRPr="00E3260D">
              <w:rPr>
                <w:rFonts w:ascii="Tahoma" w:hAnsi="Tahoma" w:cs="Tahoma"/>
                <w:sz w:val="18"/>
                <w:szCs w:val="18"/>
                <w:shd w:val="clear" w:color="auto" w:fill="FFFFFF"/>
              </w:rPr>
              <w:t xml:space="preserve"> – </w:t>
            </w:r>
            <w:r w:rsidR="00C46E8F" w:rsidRPr="00E3260D">
              <w:rPr>
                <w:rFonts w:ascii="Tahoma" w:hAnsi="Tahoma" w:cs="Tahoma"/>
                <w:sz w:val="18"/>
                <w:szCs w:val="18"/>
                <w:shd w:val="clear" w:color="auto" w:fill="FFFFFF"/>
              </w:rPr>
              <w:t xml:space="preserve">Montenegro (exports of </w:t>
            </w:r>
            <w:r w:rsidR="00B133BD" w:rsidRPr="00E3260D">
              <w:rPr>
                <w:rFonts w:ascii="Tahoma" w:hAnsi="Tahoma" w:cs="Tahoma"/>
                <w:sz w:val="18"/>
                <w:szCs w:val="18"/>
                <w:shd w:val="clear" w:color="auto" w:fill="FFFFFF"/>
              </w:rPr>
              <w:t xml:space="preserve">retail trade medicaments and </w:t>
            </w:r>
            <w:r w:rsidR="00C46E8F" w:rsidRPr="00E3260D">
              <w:rPr>
                <w:rFonts w:ascii="Tahoma" w:hAnsi="Tahoma" w:cs="Tahoma"/>
                <w:sz w:val="18"/>
                <w:szCs w:val="18"/>
                <w:shd w:val="clear" w:color="auto" w:fill="FFFFFF"/>
              </w:rPr>
              <w:t xml:space="preserve">electricity and imported were electricity and </w:t>
            </w:r>
            <w:r w:rsidR="008A0364" w:rsidRPr="00E3260D">
              <w:rPr>
                <w:rFonts w:ascii="Tahoma" w:hAnsi="Tahoma" w:cs="Tahoma"/>
                <w:sz w:val="18"/>
                <w:szCs w:val="18"/>
                <w:shd w:val="clear" w:color="auto" w:fill="FFFFFF"/>
              </w:rPr>
              <w:t>dried pork</w:t>
            </w:r>
            <w:r w:rsidR="00C46E8F" w:rsidRPr="00E3260D">
              <w:rPr>
                <w:rFonts w:ascii="Tahoma" w:hAnsi="Tahoma" w:cs="Tahoma"/>
                <w:sz w:val="18"/>
                <w:szCs w:val="18"/>
                <w:shd w:val="clear" w:color="auto" w:fill="FFFFFF"/>
              </w:rPr>
              <w:t xml:space="preserve">), </w:t>
            </w:r>
            <w:r w:rsidR="00C170AC" w:rsidRPr="00E3260D">
              <w:rPr>
                <w:rFonts w:ascii="Tahoma" w:hAnsi="Tahoma" w:cs="Tahoma"/>
                <w:sz w:val="18"/>
                <w:szCs w:val="18"/>
                <w:shd w:val="clear" w:color="auto" w:fill="FFFFFF"/>
              </w:rPr>
              <w:t xml:space="preserve">Bosnia and Herzegovina (exports mostly related to </w:t>
            </w:r>
            <w:r w:rsidR="004962E2" w:rsidRPr="00E3260D">
              <w:rPr>
                <w:rFonts w:ascii="Tahoma" w:hAnsi="Tahoma" w:cs="Tahoma"/>
                <w:sz w:val="18"/>
                <w:szCs w:val="18"/>
                <w:shd w:val="clear" w:color="auto" w:fill="FFFFFF"/>
              </w:rPr>
              <w:t xml:space="preserve">electricity and </w:t>
            </w:r>
            <w:r w:rsidR="001E420B">
              <w:rPr>
                <w:rFonts w:ascii="Tahoma" w:hAnsi="Tahoma" w:cs="Tahoma"/>
                <w:sz w:val="18"/>
                <w:szCs w:val="18"/>
                <w:shd w:val="clear" w:color="auto" w:fill="FFFFFF"/>
              </w:rPr>
              <w:t>sweet biscuits</w:t>
            </w:r>
            <w:r w:rsidR="00C170AC" w:rsidRPr="00E3260D">
              <w:rPr>
                <w:rFonts w:ascii="Tahoma" w:hAnsi="Tahoma" w:cs="Tahoma"/>
                <w:sz w:val="18"/>
                <w:szCs w:val="18"/>
                <w:shd w:val="clear" w:color="auto" w:fill="FFFFFF"/>
              </w:rPr>
              <w:t xml:space="preserve">, and the most imported are electricity and </w:t>
            </w:r>
            <w:r w:rsidR="00A11C72" w:rsidRPr="00E3260D">
              <w:rPr>
                <w:rFonts w:ascii="Tahoma" w:hAnsi="Tahoma" w:cs="Tahoma"/>
                <w:sz w:val="18"/>
                <w:szCs w:val="18"/>
                <w:shd w:val="clear" w:color="auto" w:fill="FFFFFF"/>
              </w:rPr>
              <w:t xml:space="preserve">constructions and </w:t>
            </w:r>
            <w:r w:rsidR="005A1924" w:rsidRPr="00E3260D">
              <w:rPr>
                <w:rFonts w:ascii="Tahoma" w:hAnsi="Tahoma" w:cs="Tahoma"/>
                <w:sz w:val="18"/>
                <w:szCs w:val="18"/>
                <w:shd w:val="clear" w:color="auto" w:fill="FFFFFF"/>
              </w:rPr>
              <w:t>steel</w:t>
            </w:r>
            <w:r w:rsidR="00B133BD" w:rsidRPr="00E3260D">
              <w:rPr>
                <w:rFonts w:ascii="Tahoma" w:hAnsi="Tahoma" w:cs="Tahoma"/>
                <w:sz w:val="18"/>
                <w:szCs w:val="18"/>
                <w:shd w:val="clear" w:color="auto" w:fill="FFFFFF"/>
              </w:rPr>
              <w:t xml:space="preserve"> </w:t>
            </w:r>
            <w:r w:rsidR="00A11C72" w:rsidRPr="00E3260D">
              <w:rPr>
                <w:rFonts w:ascii="Tahoma" w:hAnsi="Tahoma" w:cs="Tahoma"/>
                <w:sz w:val="18"/>
                <w:szCs w:val="18"/>
                <w:shd w:val="clear" w:color="auto" w:fill="FFFFFF"/>
              </w:rPr>
              <w:t>part</w:t>
            </w:r>
            <w:r w:rsidR="00B133BD" w:rsidRPr="00E3260D">
              <w:rPr>
                <w:rFonts w:ascii="Tahoma" w:hAnsi="Tahoma" w:cs="Tahoma"/>
                <w:sz w:val="18"/>
                <w:szCs w:val="18"/>
                <w:shd w:val="clear" w:color="auto" w:fill="FFFFFF"/>
              </w:rPr>
              <w:t>s</w:t>
            </w:r>
            <w:r w:rsidR="00C170AC" w:rsidRPr="00E3260D">
              <w:rPr>
                <w:rFonts w:ascii="Tahoma" w:hAnsi="Tahoma" w:cs="Tahoma"/>
                <w:sz w:val="18"/>
                <w:szCs w:val="18"/>
                <w:shd w:val="clear" w:color="auto" w:fill="FFFFFF"/>
              </w:rPr>
              <w:t>)</w:t>
            </w:r>
            <w:r w:rsidR="003C7494" w:rsidRPr="00E3260D">
              <w:rPr>
                <w:rFonts w:ascii="Tahoma" w:hAnsi="Tahoma" w:cs="Tahoma"/>
                <w:sz w:val="18"/>
                <w:szCs w:val="18"/>
                <w:shd w:val="clear" w:color="auto" w:fill="FFFFFF"/>
              </w:rPr>
              <w:t>,</w:t>
            </w:r>
            <w:r w:rsidR="00C170AC" w:rsidRPr="00E3260D">
              <w:rPr>
                <w:rFonts w:ascii="Tahoma" w:hAnsi="Tahoma" w:cs="Tahoma"/>
                <w:sz w:val="18"/>
                <w:szCs w:val="18"/>
                <w:shd w:val="clear" w:color="auto" w:fill="FFFFFF"/>
              </w:rPr>
              <w:t xml:space="preserve"> and the </w:t>
            </w:r>
            <w:r w:rsidR="00F826DA" w:rsidRPr="00E3260D">
              <w:rPr>
                <w:rFonts w:ascii="Tahoma" w:hAnsi="Tahoma" w:cs="Tahoma"/>
                <w:sz w:val="18"/>
                <w:szCs w:val="18"/>
                <w:shd w:val="clear" w:color="auto" w:fill="FFFFFF"/>
              </w:rPr>
              <w:t xml:space="preserve">Republic of North Macedonia (exports of electricity and electric conductors; imported were electricity and </w:t>
            </w:r>
            <w:r w:rsidR="00B133BD" w:rsidRPr="00E3260D">
              <w:rPr>
                <w:rFonts w:ascii="Tahoma" w:hAnsi="Tahoma" w:cs="Tahoma"/>
                <w:sz w:val="18"/>
                <w:szCs w:val="18"/>
                <w:shd w:val="clear" w:color="auto" w:fill="FFFFFF"/>
              </w:rPr>
              <w:t>supported catalysts</w:t>
            </w:r>
            <w:r w:rsidR="00F826DA" w:rsidRPr="00E3260D">
              <w:rPr>
                <w:rFonts w:ascii="Tahoma" w:hAnsi="Tahoma" w:cs="Tahoma"/>
                <w:sz w:val="18"/>
                <w:szCs w:val="18"/>
                <w:shd w:val="clear" w:color="auto" w:fill="FFFFFF"/>
              </w:rPr>
              <w:t>)</w:t>
            </w:r>
            <w:r w:rsidR="00C170AC" w:rsidRPr="00E3260D">
              <w:rPr>
                <w:rFonts w:ascii="Tahoma" w:hAnsi="Tahoma" w:cs="Tahoma"/>
                <w:sz w:val="18"/>
                <w:szCs w:val="18"/>
                <w:shd w:val="clear" w:color="auto" w:fill="FFFFFF"/>
              </w:rPr>
              <w:t>.</w:t>
            </w:r>
            <w:r w:rsidR="00F826DA" w:rsidRPr="00E3260D">
              <w:rPr>
                <w:rFonts w:ascii="Tahoma" w:hAnsi="Tahoma" w:cs="Tahoma"/>
                <w:sz w:val="18"/>
                <w:szCs w:val="18"/>
                <w:shd w:val="clear" w:color="auto" w:fill="FFFFFF"/>
              </w:rPr>
              <w:t xml:space="preserve"> </w:t>
            </w:r>
            <w:r w:rsidR="00801FC0" w:rsidRPr="00E3260D">
              <w:rPr>
                <w:rFonts w:ascii="Tahoma" w:hAnsi="Tahoma" w:cs="Tahoma"/>
                <w:sz w:val="18"/>
                <w:szCs w:val="18"/>
                <w:shd w:val="clear" w:color="auto" w:fill="FFFFFF"/>
              </w:rPr>
              <w:t xml:space="preserve">Regarding other countries, surplus was also noted in trade with </w:t>
            </w:r>
            <w:r w:rsidR="001E420B">
              <w:rPr>
                <w:rFonts w:ascii="Tahoma" w:hAnsi="Tahoma" w:cs="Tahoma"/>
                <w:sz w:val="18"/>
                <w:szCs w:val="18"/>
                <w:shd w:val="clear" w:color="auto" w:fill="FFFFFF"/>
              </w:rPr>
              <w:t xml:space="preserve">Germany, </w:t>
            </w:r>
            <w:r w:rsidR="003C7494" w:rsidRPr="00E3260D">
              <w:rPr>
                <w:rFonts w:ascii="Tahoma" w:hAnsi="Tahoma" w:cs="Tahoma"/>
                <w:sz w:val="18"/>
                <w:szCs w:val="18"/>
                <w:shd w:val="clear" w:color="auto" w:fill="FFFFFF"/>
              </w:rPr>
              <w:t>Czech Rep</w:t>
            </w:r>
            <w:r w:rsidR="001E420B">
              <w:rPr>
                <w:rFonts w:ascii="Tahoma" w:hAnsi="Tahoma" w:cs="Tahoma"/>
                <w:sz w:val="18"/>
                <w:szCs w:val="18"/>
                <w:shd w:val="clear" w:color="auto" w:fill="FFFFFF"/>
              </w:rPr>
              <w:t>ublic</w:t>
            </w:r>
            <w:r w:rsidR="00B133BD" w:rsidRPr="00E3260D">
              <w:rPr>
                <w:rFonts w:ascii="Tahoma" w:hAnsi="Tahoma" w:cs="Tahoma"/>
                <w:sz w:val="18"/>
                <w:szCs w:val="18"/>
                <w:shd w:val="clear" w:color="auto" w:fill="FFFFFF"/>
              </w:rPr>
              <w:t xml:space="preserve">, </w:t>
            </w:r>
            <w:r w:rsidR="004962E2" w:rsidRPr="00E3260D">
              <w:rPr>
                <w:rFonts w:ascii="Tahoma" w:hAnsi="Tahoma" w:cs="Tahoma"/>
                <w:sz w:val="18"/>
                <w:szCs w:val="18"/>
                <w:shd w:val="clear" w:color="auto" w:fill="FFFFFF"/>
              </w:rPr>
              <w:t>and Slovakia</w:t>
            </w:r>
            <w:r w:rsidR="00B133BD" w:rsidRPr="00E3260D">
              <w:rPr>
                <w:rFonts w:ascii="Tahoma" w:hAnsi="Tahoma" w:cs="Tahoma"/>
                <w:sz w:val="18"/>
                <w:szCs w:val="18"/>
                <w:shd w:val="clear" w:color="auto" w:fill="FFFFFF"/>
              </w:rPr>
              <w:t>.</w:t>
            </w:r>
            <w:r w:rsidR="003C7494" w:rsidRPr="00E3260D">
              <w:rPr>
                <w:rFonts w:ascii="Tahoma" w:hAnsi="Tahoma" w:cs="Tahoma"/>
                <w:sz w:val="18"/>
                <w:szCs w:val="18"/>
                <w:shd w:val="clear" w:color="auto" w:fill="FFFFFF"/>
              </w:rPr>
              <w:t xml:space="preserve"> </w:t>
            </w:r>
            <w:r w:rsidR="000E1DC0" w:rsidRPr="00E3260D">
              <w:rPr>
                <w:rFonts w:ascii="Tahoma" w:hAnsi="Tahoma" w:cs="Tahoma"/>
                <w:sz w:val="18"/>
                <w:szCs w:val="18"/>
                <w:shd w:val="clear" w:color="auto" w:fill="FFFFFF"/>
              </w:rPr>
              <w:t>T</w:t>
            </w:r>
            <w:r w:rsidRPr="00E3260D">
              <w:rPr>
                <w:rFonts w:ascii="Tahoma" w:hAnsi="Tahoma" w:cs="Tahoma"/>
                <w:sz w:val="18"/>
                <w:szCs w:val="18"/>
                <w:shd w:val="clear" w:color="auto" w:fill="FFFFFF"/>
              </w:rPr>
              <w:t>he greatest deficit marked the trade with</w:t>
            </w:r>
            <w:r w:rsidR="00ED5097" w:rsidRPr="00E3260D">
              <w:rPr>
                <w:rFonts w:ascii="Tahoma" w:hAnsi="Tahoma" w:cs="Tahoma"/>
                <w:sz w:val="18"/>
                <w:szCs w:val="18"/>
                <w:shd w:val="clear" w:color="auto" w:fill="FFFFFF"/>
              </w:rPr>
              <w:t xml:space="preserve"> </w:t>
            </w:r>
            <w:r w:rsidR="00CA3B9D" w:rsidRPr="00E3260D">
              <w:rPr>
                <w:rFonts w:ascii="Tahoma" w:hAnsi="Tahoma" w:cs="Tahoma"/>
                <w:sz w:val="18"/>
                <w:szCs w:val="18"/>
                <w:shd w:val="clear" w:color="auto" w:fill="FFFFFF"/>
              </w:rPr>
              <w:t>China (</w:t>
            </w:r>
            <w:r w:rsidR="00363DF0" w:rsidRPr="00E3260D">
              <w:rPr>
                <w:rFonts w:ascii="Tahoma" w:hAnsi="Tahoma" w:cs="Tahoma"/>
                <w:sz w:val="18"/>
                <w:szCs w:val="18"/>
                <w:shd w:val="clear" w:color="auto" w:fill="FFFFFF"/>
              </w:rPr>
              <w:t xml:space="preserve">due to import of </w:t>
            </w:r>
            <w:r w:rsidR="004962E2" w:rsidRPr="00E3260D">
              <w:rPr>
                <w:rFonts w:ascii="Tahoma" w:hAnsi="Tahoma" w:cs="Tahoma"/>
                <w:sz w:val="18"/>
                <w:szCs w:val="18"/>
                <w:shd w:val="clear" w:color="auto" w:fill="FFFFFF"/>
              </w:rPr>
              <w:t>phones</w:t>
            </w:r>
            <w:r w:rsidR="00363DF0" w:rsidRPr="00E3260D">
              <w:rPr>
                <w:rFonts w:ascii="Tahoma" w:hAnsi="Tahoma" w:cs="Tahoma"/>
                <w:sz w:val="18"/>
                <w:szCs w:val="18"/>
                <w:shd w:val="clear" w:color="auto" w:fill="FFFFFF"/>
              </w:rPr>
              <w:t xml:space="preserve"> for </w:t>
            </w:r>
            <w:r w:rsidR="004962E2" w:rsidRPr="00E3260D">
              <w:rPr>
                <w:rFonts w:ascii="Tahoma" w:hAnsi="Tahoma" w:cs="Tahoma"/>
                <w:sz w:val="18"/>
                <w:szCs w:val="18"/>
                <w:shd w:val="clear" w:color="auto" w:fill="FFFFFF"/>
              </w:rPr>
              <w:t>network stations</w:t>
            </w:r>
            <w:r w:rsidR="00CA3B9D" w:rsidRPr="00E3260D">
              <w:rPr>
                <w:rFonts w:ascii="Tahoma" w:hAnsi="Tahoma" w:cs="Tahoma"/>
                <w:sz w:val="18"/>
                <w:szCs w:val="18"/>
                <w:shd w:val="clear" w:color="auto" w:fill="FFFFFF"/>
              </w:rPr>
              <w:t>)</w:t>
            </w:r>
            <w:r w:rsidR="007B4C39" w:rsidRPr="00E3260D">
              <w:rPr>
                <w:rFonts w:ascii="Tahoma" w:hAnsi="Tahoma" w:cs="Tahoma"/>
                <w:sz w:val="18"/>
                <w:szCs w:val="18"/>
                <w:shd w:val="clear" w:color="auto" w:fill="FFFFFF"/>
              </w:rPr>
              <w:t xml:space="preserve">, followed by trade with </w:t>
            </w:r>
            <w:r w:rsidR="00A11C72" w:rsidRPr="00E3260D">
              <w:rPr>
                <w:rFonts w:ascii="Tahoma" w:hAnsi="Tahoma" w:cs="Tahoma"/>
                <w:sz w:val="18"/>
                <w:szCs w:val="18"/>
                <w:shd w:val="clear" w:color="auto" w:fill="FFFFFF"/>
              </w:rPr>
              <w:t xml:space="preserve">Turkey, </w:t>
            </w:r>
            <w:r w:rsidR="004962E2" w:rsidRPr="00E3260D">
              <w:rPr>
                <w:rFonts w:ascii="Tahoma" w:hAnsi="Tahoma" w:cs="Tahoma"/>
                <w:sz w:val="18"/>
                <w:szCs w:val="18"/>
                <w:shd w:val="clear" w:color="auto" w:fill="FFFFFF"/>
              </w:rPr>
              <w:t xml:space="preserve">Poland, </w:t>
            </w:r>
            <w:r w:rsidR="001E420B">
              <w:rPr>
                <w:rFonts w:ascii="Tahoma" w:hAnsi="Tahoma" w:cs="Tahoma"/>
                <w:sz w:val="18"/>
                <w:szCs w:val="18"/>
                <w:shd w:val="clear" w:color="auto" w:fill="FFFFFF"/>
              </w:rPr>
              <w:t>Kazakhstan</w:t>
            </w:r>
            <w:r w:rsidR="004962E2" w:rsidRPr="00E3260D">
              <w:rPr>
                <w:rFonts w:ascii="Tahoma" w:hAnsi="Tahoma" w:cs="Tahoma"/>
                <w:sz w:val="18"/>
                <w:szCs w:val="18"/>
                <w:shd w:val="clear" w:color="auto" w:fill="FFFFFF"/>
              </w:rPr>
              <w:t>….</w:t>
            </w:r>
          </w:p>
          <w:p w14:paraId="1081BE91" w14:textId="77777777" w:rsidR="00B133BD" w:rsidRPr="00E3260D" w:rsidRDefault="00B133BD" w:rsidP="00B133BD">
            <w:pPr>
              <w:jc w:val="both"/>
              <w:rPr>
                <w:rFonts w:ascii="Arial" w:hAnsi="Arial" w:cs="Arial"/>
                <w:iCs/>
                <w:sz w:val="18"/>
                <w:szCs w:val="18"/>
                <w:highlight w:val="green"/>
              </w:rPr>
            </w:pPr>
          </w:p>
          <w:p w14:paraId="3A0EE1E6" w14:textId="3E76F0D4" w:rsidR="0092215D" w:rsidRPr="00E3260D" w:rsidRDefault="00AD4232" w:rsidP="00C8694B">
            <w:pPr>
              <w:pStyle w:val="BodyTextIndent2"/>
              <w:spacing w:after="0" w:line="240" w:lineRule="auto"/>
              <w:ind w:left="0"/>
              <w:jc w:val="both"/>
              <w:rPr>
                <w:rFonts w:ascii="Tahoma" w:hAnsi="Tahoma" w:cs="Tahoma"/>
                <w:sz w:val="18"/>
                <w:szCs w:val="18"/>
              </w:rPr>
            </w:pPr>
            <w:r w:rsidRPr="00E3260D">
              <w:rPr>
                <w:rFonts w:ascii="Tahoma" w:hAnsi="Tahoma" w:cs="Tahoma"/>
                <w:sz w:val="18"/>
                <w:szCs w:val="18"/>
              </w:rPr>
              <w:t xml:space="preserve">According to </w:t>
            </w:r>
            <w:r w:rsidRPr="00E3260D">
              <w:rPr>
                <w:rFonts w:ascii="Tahoma" w:hAnsi="Tahoma" w:cs="Tahoma"/>
                <w:b/>
                <w:bCs/>
                <w:sz w:val="18"/>
                <w:szCs w:val="18"/>
              </w:rPr>
              <w:t>the divisions of the Standard International Trade Classification (SITC</w:t>
            </w:r>
            <w:r w:rsidRPr="00E3260D">
              <w:rPr>
                <w:rFonts w:ascii="Tahoma" w:hAnsi="Tahoma" w:cs="Tahoma"/>
                <w:sz w:val="18"/>
                <w:szCs w:val="18"/>
              </w:rPr>
              <w:t xml:space="preserve">) the first five sections in exports accounted for </w:t>
            </w:r>
            <w:r w:rsidR="00363DF0" w:rsidRPr="00E3260D">
              <w:rPr>
                <w:rFonts w:ascii="Tahoma" w:hAnsi="Tahoma" w:cs="Tahoma"/>
                <w:sz w:val="18"/>
                <w:szCs w:val="18"/>
              </w:rPr>
              <w:t>4</w:t>
            </w:r>
            <w:r w:rsidR="00B133BD" w:rsidRPr="00E3260D">
              <w:rPr>
                <w:rFonts w:ascii="Tahoma" w:hAnsi="Tahoma" w:cs="Tahoma"/>
                <w:sz w:val="18"/>
                <w:szCs w:val="18"/>
              </w:rPr>
              <w:t>0</w:t>
            </w:r>
            <w:r w:rsidRPr="00E3260D">
              <w:rPr>
                <w:rFonts w:ascii="Tahoma" w:hAnsi="Tahoma" w:cs="Tahoma"/>
                <w:sz w:val="18"/>
                <w:szCs w:val="18"/>
              </w:rPr>
              <w:t>.</w:t>
            </w:r>
            <w:r w:rsidR="001E420B">
              <w:rPr>
                <w:rFonts w:ascii="Tahoma" w:hAnsi="Tahoma" w:cs="Tahoma"/>
                <w:sz w:val="18"/>
                <w:szCs w:val="18"/>
              </w:rPr>
              <w:t>1</w:t>
            </w:r>
            <w:r w:rsidRPr="00E3260D">
              <w:rPr>
                <w:rFonts w:ascii="Tahoma" w:hAnsi="Tahoma" w:cs="Tahoma"/>
                <w:sz w:val="18"/>
                <w:szCs w:val="18"/>
              </w:rPr>
              <w:t xml:space="preserve">% of the overall exports. Imports of the first five sections </w:t>
            </w:r>
            <w:r w:rsidR="00C8694B" w:rsidRPr="00E3260D">
              <w:rPr>
                <w:rFonts w:ascii="Tahoma" w:hAnsi="Tahoma" w:cs="Tahoma"/>
                <w:sz w:val="18"/>
                <w:szCs w:val="18"/>
              </w:rPr>
              <w:t xml:space="preserve">accounted for </w:t>
            </w:r>
            <w:r w:rsidR="00BA371C" w:rsidRPr="00E3260D">
              <w:rPr>
                <w:rFonts w:ascii="Tahoma" w:hAnsi="Tahoma" w:cs="Tahoma"/>
                <w:sz w:val="18"/>
                <w:szCs w:val="18"/>
              </w:rPr>
              <w:t>2</w:t>
            </w:r>
            <w:r w:rsidR="004962E2" w:rsidRPr="00E3260D">
              <w:rPr>
                <w:rFonts w:ascii="Tahoma" w:hAnsi="Tahoma" w:cs="Tahoma"/>
                <w:sz w:val="18"/>
                <w:szCs w:val="18"/>
              </w:rPr>
              <w:t>7</w:t>
            </w:r>
            <w:r w:rsidR="00C8694B" w:rsidRPr="00E3260D">
              <w:rPr>
                <w:rFonts w:ascii="Tahoma" w:hAnsi="Tahoma" w:cs="Tahoma"/>
                <w:sz w:val="18"/>
                <w:szCs w:val="18"/>
              </w:rPr>
              <w:t>.</w:t>
            </w:r>
            <w:r w:rsidR="001E420B">
              <w:rPr>
                <w:rFonts w:ascii="Tahoma" w:hAnsi="Tahoma" w:cs="Tahoma"/>
                <w:sz w:val="18"/>
                <w:szCs w:val="18"/>
              </w:rPr>
              <w:t>7</w:t>
            </w:r>
            <w:r w:rsidR="00C8694B" w:rsidRPr="00E3260D">
              <w:rPr>
                <w:rFonts w:ascii="Tahoma" w:hAnsi="Tahoma" w:cs="Tahoma"/>
                <w:sz w:val="18"/>
                <w:szCs w:val="18"/>
              </w:rPr>
              <w:t xml:space="preserve">% of total imports. Section of </w:t>
            </w:r>
            <w:r w:rsidR="00C8694B" w:rsidRPr="00E3260D">
              <w:rPr>
                <w:rFonts w:ascii="Tahoma" w:hAnsi="Tahoma" w:cs="Tahoma"/>
                <w:i/>
                <w:sz w:val="18"/>
                <w:szCs w:val="18"/>
              </w:rPr>
              <w:t>unclassified goods</w:t>
            </w:r>
            <w:r w:rsidR="00C8694B" w:rsidRPr="00E3260D">
              <w:rPr>
                <w:rFonts w:ascii="Tahoma" w:hAnsi="Tahoma" w:cs="Tahoma"/>
                <w:sz w:val="18"/>
                <w:szCs w:val="18"/>
              </w:rPr>
              <w:t>, now also involving customs storage goods and goods in free zone, has share of 1</w:t>
            </w:r>
            <w:r w:rsidR="00B133BD" w:rsidRPr="00E3260D">
              <w:rPr>
                <w:rFonts w:ascii="Tahoma" w:hAnsi="Tahoma" w:cs="Tahoma"/>
                <w:sz w:val="18"/>
                <w:szCs w:val="18"/>
              </w:rPr>
              <w:t>3</w:t>
            </w:r>
            <w:r w:rsidR="00C8694B" w:rsidRPr="00E3260D">
              <w:rPr>
                <w:rFonts w:ascii="Tahoma" w:hAnsi="Tahoma" w:cs="Tahoma"/>
                <w:sz w:val="18"/>
                <w:szCs w:val="18"/>
              </w:rPr>
              <w:t>.</w:t>
            </w:r>
            <w:r w:rsidR="001E420B">
              <w:rPr>
                <w:rFonts w:ascii="Tahoma" w:hAnsi="Tahoma" w:cs="Tahoma"/>
                <w:sz w:val="18"/>
                <w:szCs w:val="18"/>
              </w:rPr>
              <w:t>1</w:t>
            </w:r>
            <w:r w:rsidR="00C8694B" w:rsidRPr="00E3260D">
              <w:rPr>
                <w:rFonts w:ascii="Tahoma" w:hAnsi="Tahoma" w:cs="Tahoma"/>
                <w:sz w:val="18"/>
                <w:szCs w:val="18"/>
              </w:rPr>
              <w:t>% in total imports.</w:t>
            </w:r>
          </w:p>
          <w:p w14:paraId="426D58EE" w14:textId="77777777" w:rsidR="00B133BD" w:rsidRDefault="00B133BD" w:rsidP="00B133BD">
            <w:pPr>
              <w:pStyle w:val="BodyTextIndent2"/>
              <w:spacing w:after="0" w:line="240" w:lineRule="auto"/>
              <w:ind w:left="0"/>
              <w:jc w:val="both"/>
              <w:rPr>
                <w:rFonts w:ascii="Arial" w:hAnsi="Arial" w:cs="Arial"/>
                <w:b/>
                <w:bCs/>
                <w:sz w:val="18"/>
                <w:szCs w:val="18"/>
              </w:rPr>
            </w:pPr>
          </w:p>
          <w:p w14:paraId="0C1C646E" w14:textId="77777777" w:rsidR="00E131C6" w:rsidRPr="00E3260D" w:rsidRDefault="00E131C6" w:rsidP="00B133BD">
            <w:pPr>
              <w:pStyle w:val="BodyTextIndent2"/>
              <w:spacing w:after="0" w:line="240" w:lineRule="auto"/>
              <w:ind w:left="0"/>
              <w:jc w:val="both"/>
              <w:rPr>
                <w:rFonts w:ascii="Arial" w:hAnsi="Arial" w:cs="Arial"/>
                <w:b/>
                <w:bCs/>
                <w:sz w:val="18"/>
                <w:szCs w:val="18"/>
              </w:rPr>
            </w:pPr>
          </w:p>
          <w:tbl>
            <w:tblPr>
              <w:tblW w:w="9026" w:type="dxa"/>
              <w:jc w:val="center"/>
              <w:tblLook w:val="04A0" w:firstRow="1" w:lastRow="0" w:firstColumn="1" w:lastColumn="0" w:noHBand="0" w:noVBand="1"/>
            </w:tblPr>
            <w:tblGrid>
              <w:gridCol w:w="2705"/>
              <w:gridCol w:w="962"/>
              <w:gridCol w:w="928"/>
              <w:gridCol w:w="2546"/>
              <w:gridCol w:w="945"/>
              <w:gridCol w:w="940"/>
            </w:tblGrid>
            <w:tr w:rsidR="002E3DAA" w14:paraId="361E8D89" w14:textId="77777777" w:rsidTr="00077648">
              <w:trPr>
                <w:trHeight w:val="315"/>
                <w:jc w:val="center"/>
              </w:trPr>
              <w:tc>
                <w:tcPr>
                  <w:tcW w:w="2705" w:type="dxa"/>
                  <w:tcBorders>
                    <w:top w:val="single" w:sz="4" w:space="0" w:color="auto"/>
                    <w:left w:val="single" w:sz="4" w:space="0" w:color="auto"/>
                    <w:bottom w:val="single" w:sz="4" w:space="0" w:color="auto"/>
                    <w:right w:val="single" w:sz="4" w:space="0" w:color="auto"/>
                  </w:tcBorders>
                  <w:noWrap/>
                  <w:vAlign w:val="center"/>
                  <w:hideMark/>
                </w:tcPr>
                <w:p w14:paraId="52878E3F" w14:textId="77777777" w:rsidR="002E3DAA" w:rsidRDefault="002E3DAA" w:rsidP="002E3DAA">
                  <w:pPr>
                    <w:jc w:val="center"/>
                    <w:rPr>
                      <w:rFonts w:ascii="Tahoma" w:hAnsi="Tahoma" w:cs="Tahoma"/>
                      <w:b/>
                      <w:bCs/>
                      <w:lang w:eastAsia="en-GB"/>
                    </w:rPr>
                  </w:pPr>
                  <w:r>
                    <w:rPr>
                      <w:rFonts w:ascii="Tahoma" w:hAnsi="Tahoma" w:cs="Tahoma"/>
                      <w:b/>
                      <w:bCs/>
                      <w:lang w:val="en-US"/>
                    </w:rPr>
                    <w:t>Exports</w:t>
                  </w:r>
                </w:p>
              </w:tc>
              <w:tc>
                <w:tcPr>
                  <w:tcW w:w="962" w:type="dxa"/>
                  <w:tcBorders>
                    <w:top w:val="single" w:sz="4" w:space="0" w:color="auto"/>
                    <w:left w:val="nil"/>
                    <w:bottom w:val="single" w:sz="4" w:space="0" w:color="auto"/>
                    <w:right w:val="single" w:sz="4" w:space="0" w:color="auto"/>
                  </w:tcBorders>
                  <w:noWrap/>
                  <w:vAlign w:val="center"/>
                  <w:hideMark/>
                </w:tcPr>
                <w:p w14:paraId="3568F987" w14:textId="77777777" w:rsidR="002E3DAA" w:rsidRDefault="002E3DAA" w:rsidP="002E3DAA">
                  <w:pPr>
                    <w:jc w:val="center"/>
                    <w:rPr>
                      <w:rFonts w:ascii="Tahoma" w:hAnsi="Tahoma" w:cs="Tahoma"/>
                      <w:sz w:val="16"/>
                      <w:szCs w:val="16"/>
                    </w:rPr>
                  </w:pPr>
                  <w:r>
                    <w:rPr>
                      <w:rFonts w:ascii="Tahoma" w:hAnsi="Tahoma" w:cs="Tahoma"/>
                      <w:sz w:val="16"/>
                      <w:szCs w:val="16"/>
                    </w:rPr>
                    <w:t>USD million</w:t>
                  </w:r>
                </w:p>
              </w:tc>
              <w:tc>
                <w:tcPr>
                  <w:tcW w:w="928" w:type="dxa"/>
                  <w:tcBorders>
                    <w:top w:val="single" w:sz="4" w:space="0" w:color="auto"/>
                    <w:left w:val="nil"/>
                    <w:bottom w:val="single" w:sz="4" w:space="0" w:color="auto"/>
                    <w:right w:val="single" w:sz="4" w:space="0" w:color="auto"/>
                  </w:tcBorders>
                  <w:noWrap/>
                  <w:vAlign w:val="center"/>
                  <w:hideMark/>
                </w:tcPr>
                <w:p w14:paraId="17398670" w14:textId="77777777" w:rsidR="002E3DAA" w:rsidRDefault="002E3DAA" w:rsidP="002E3DAA">
                  <w:pPr>
                    <w:jc w:val="center"/>
                    <w:rPr>
                      <w:rFonts w:ascii="Tahoma" w:hAnsi="Tahoma" w:cs="Tahoma"/>
                      <w:sz w:val="16"/>
                      <w:szCs w:val="16"/>
                    </w:rPr>
                  </w:pPr>
                  <w:r>
                    <w:rPr>
                      <w:rFonts w:ascii="Tahoma" w:hAnsi="Tahoma" w:cs="Tahoma"/>
                      <w:sz w:val="16"/>
                      <w:szCs w:val="16"/>
                    </w:rPr>
                    <w:t>EUR million</w:t>
                  </w:r>
                </w:p>
              </w:tc>
              <w:tc>
                <w:tcPr>
                  <w:tcW w:w="2546" w:type="dxa"/>
                  <w:tcBorders>
                    <w:top w:val="single" w:sz="4" w:space="0" w:color="auto"/>
                    <w:left w:val="nil"/>
                    <w:bottom w:val="single" w:sz="4" w:space="0" w:color="auto"/>
                    <w:right w:val="single" w:sz="4" w:space="0" w:color="auto"/>
                  </w:tcBorders>
                  <w:noWrap/>
                  <w:vAlign w:val="center"/>
                  <w:hideMark/>
                </w:tcPr>
                <w:p w14:paraId="14E73ABA" w14:textId="77777777" w:rsidR="002E3DAA" w:rsidRDefault="002E3DAA" w:rsidP="002E3DAA">
                  <w:pPr>
                    <w:jc w:val="center"/>
                    <w:rPr>
                      <w:rFonts w:ascii="Tahoma" w:hAnsi="Tahoma" w:cs="Tahoma"/>
                      <w:b/>
                      <w:bCs/>
                    </w:rPr>
                  </w:pPr>
                  <w:r>
                    <w:rPr>
                      <w:rFonts w:ascii="Tahoma" w:hAnsi="Tahoma" w:cs="Tahoma"/>
                      <w:b/>
                      <w:bCs/>
                      <w:lang w:val="en-US"/>
                    </w:rPr>
                    <w:t>Imports</w:t>
                  </w:r>
                </w:p>
              </w:tc>
              <w:tc>
                <w:tcPr>
                  <w:tcW w:w="945" w:type="dxa"/>
                  <w:tcBorders>
                    <w:top w:val="single" w:sz="4" w:space="0" w:color="auto"/>
                    <w:left w:val="nil"/>
                    <w:bottom w:val="single" w:sz="4" w:space="0" w:color="auto"/>
                    <w:right w:val="single" w:sz="4" w:space="0" w:color="auto"/>
                  </w:tcBorders>
                  <w:noWrap/>
                  <w:vAlign w:val="center"/>
                  <w:hideMark/>
                </w:tcPr>
                <w:p w14:paraId="05C4A25A" w14:textId="77777777" w:rsidR="002E3DAA" w:rsidRDefault="002E3DAA" w:rsidP="002E3DAA">
                  <w:pPr>
                    <w:jc w:val="center"/>
                    <w:rPr>
                      <w:rFonts w:ascii="Tahoma" w:hAnsi="Tahoma" w:cs="Tahoma"/>
                      <w:sz w:val="16"/>
                      <w:szCs w:val="16"/>
                    </w:rPr>
                  </w:pPr>
                  <w:r>
                    <w:rPr>
                      <w:rFonts w:ascii="Tahoma" w:hAnsi="Tahoma" w:cs="Tahoma"/>
                      <w:sz w:val="16"/>
                      <w:szCs w:val="16"/>
                    </w:rPr>
                    <w:t>USD million</w:t>
                  </w:r>
                </w:p>
              </w:tc>
              <w:tc>
                <w:tcPr>
                  <w:tcW w:w="940" w:type="dxa"/>
                  <w:tcBorders>
                    <w:top w:val="single" w:sz="4" w:space="0" w:color="auto"/>
                    <w:left w:val="nil"/>
                    <w:bottom w:val="single" w:sz="4" w:space="0" w:color="auto"/>
                    <w:right w:val="single" w:sz="4" w:space="0" w:color="auto"/>
                  </w:tcBorders>
                  <w:noWrap/>
                  <w:vAlign w:val="center"/>
                  <w:hideMark/>
                </w:tcPr>
                <w:p w14:paraId="639513AF" w14:textId="77777777" w:rsidR="002E3DAA" w:rsidRDefault="002E3DAA" w:rsidP="002E3DAA">
                  <w:pPr>
                    <w:ind w:right="-109"/>
                    <w:jc w:val="center"/>
                    <w:rPr>
                      <w:rFonts w:ascii="Tahoma" w:hAnsi="Tahoma" w:cs="Tahoma"/>
                      <w:sz w:val="16"/>
                      <w:szCs w:val="16"/>
                    </w:rPr>
                  </w:pPr>
                  <w:r>
                    <w:rPr>
                      <w:rFonts w:ascii="Tahoma" w:hAnsi="Tahoma" w:cs="Tahoma"/>
                      <w:sz w:val="16"/>
                      <w:szCs w:val="16"/>
                    </w:rPr>
                    <w:t xml:space="preserve">EUR </w:t>
                  </w:r>
                </w:p>
                <w:p w14:paraId="69211B3B" w14:textId="77777777" w:rsidR="002E3DAA" w:rsidRDefault="002E3DAA" w:rsidP="002E3DAA">
                  <w:pPr>
                    <w:ind w:right="-109"/>
                    <w:jc w:val="center"/>
                    <w:rPr>
                      <w:rFonts w:ascii="Tahoma" w:hAnsi="Tahoma" w:cs="Tahoma"/>
                      <w:sz w:val="16"/>
                      <w:szCs w:val="16"/>
                    </w:rPr>
                  </w:pPr>
                  <w:r>
                    <w:rPr>
                      <w:rFonts w:ascii="Tahoma" w:hAnsi="Tahoma" w:cs="Tahoma"/>
                      <w:sz w:val="16"/>
                      <w:szCs w:val="16"/>
                    </w:rPr>
                    <w:t>million</w:t>
                  </w:r>
                </w:p>
              </w:tc>
            </w:tr>
            <w:tr w:rsidR="002E3DAA" w14:paraId="764F54D5" w14:textId="77777777" w:rsidTr="00077648">
              <w:trPr>
                <w:trHeight w:val="315"/>
                <w:jc w:val="center"/>
              </w:trPr>
              <w:tc>
                <w:tcPr>
                  <w:tcW w:w="2705" w:type="dxa"/>
                  <w:tcBorders>
                    <w:top w:val="nil"/>
                    <w:left w:val="single" w:sz="4" w:space="0" w:color="auto"/>
                    <w:bottom w:val="nil"/>
                    <w:right w:val="single" w:sz="4" w:space="0" w:color="auto"/>
                  </w:tcBorders>
                  <w:noWrap/>
                  <w:vAlign w:val="center"/>
                </w:tcPr>
                <w:p w14:paraId="4D289836" w14:textId="77777777" w:rsidR="002E3DAA" w:rsidRDefault="002E3DAA" w:rsidP="002E3DAA">
                  <w:pPr>
                    <w:rPr>
                      <w:rFonts w:ascii="Tahoma" w:hAnsi="Tahoma" w:cs="Tahoma"/>
                      <w:sz w:val="18"/>
                      <w:szCs w:val="18"/>
                    </w:rPr>
                  </w:pPr>
                </w:p>
              </w:tc>
              <w:tc>
                <w:tcPr>
                  <w:tcW w:w="962" w:type="dxa"/>
                  <w:tcBorders>
                    <w:top w:val="single" w:sz="4" w:space="0" w:color="auto"/>
                    <w:left w:val="single" w:sz="4" w:space="0" w:color="auto"/>
                    <w:bottom w:val="nil"/>
                    <w:right w:val="single" w:sz="4" w:space="0" w:color="auto"/>
                  </w:tcBorders>
                  <w:noWrap/>
                  <w:vAlign w:val="center"/>
                </w:tcPr>
                <w:p w14:paraId="2964287C" w14:textId="77777777" w:rsidR="002E3DAA" w:rsidRDefault="002E3DAA" w:rsidP="002E3DAA">
                  <w:pPr>
                    <w:jc w:val="right"/>
                    <w:rPr>
                      <w:rFonts w:ascii="Tahoma" w:hAnsi="Tahoma" w:cs="Tahoma"/>
                      <w:sz w:val="18"/>
                      <w:szCs w:val="18"/>
                    </w:rPr>
                  </w:pPr>
                </w:p>
              </w:tc>
              <w:tc>
                <w:tcPr>
                  <w:tcW w:w="928" w:type="dxa"/>
                  <w:tcBorders>
                    <w:top w:val="nil"/>
                    <w:left w:val="single" w:sz="4" w:space="0" w:color="auto"/>
                    <w:bottom w:val="nil"/>
                    <w:right w:val="single" w:sz="4" w:space="0" w:color="auto"/>
                  </w:tcBorders>
                  <w:noWrap/>
                  <w:vAlign w:val="center"/>
                </w:tcPr>
                <w:p w14:paraId="0271E0DC" w14:textId="77777777" w:rsidR="002E3DAA" w:rsidRDefault="002E3DAA" w:rsidP="002E3DAA">
                  <w:pPr>
                    <w:jc w:val="right"/>
                    <w:rPr>
                      <w:rFonts w:ascii="Tahoma" w:hAnsi="Tahoma" w:cs="Tahoma"/>
                      <w:sz w:val="18"/>
                      <w:szCs w:val="18"/>
                    </w:rPr>
                  </w:pPr>
                </w:p>
              </w:tc>
              <w:tc>
                <w:tcPr>
                  <w:tcW w:w="2546" w:type="dxa"/>
                  <w:tcBorders>
                    <w:top w:val="single" w:sz="4" w:space="0" w:color="auto"/>
                    <w:left w:val="single" w:sz="4" w:space="0" w:color="auto"/>
                    <w:bottom w:val="nil"/>
                    <w:right w:val="single" w:sz="4" w:space="0" w:color="auto"/>
                  </w:tcBorders>
                  <w:noWrap/>
                  <w:vAlign w:val="center"/>
                </w:tcPr>
                <w:p w14:paraId="65CC1A28" w14:textId="77777777" w:rsidR="002E3DAA" w:rsidRDefault="002E3DAA" w:rsidP="002E3DAA">
                  <w:pPr>
                    <w:rPr>
                      <w:rFonts w:ascii="Tahoma" w:hAnsi="Tahoma" w:cs="Tahoma"/>
                      <w:sz w:val="18"/>
                      <w:szCs w:val="18"/>
                    </w:rPr>
                  </w:pPr>
                </w:p>
              </w:tc>
              <w:tc>
                <w:tcPr>
                  <w:tcW w:w="945" w:type="dxa"/>
                  <w:tcBorders>
                    <w:top w:val="nil"/>
                    <w:left w:val="single" w:sz="4" w:space="0" w:color="auto"/>
                    <w:bottom w:val="nil"/>
                    <w:right w:val="single" w:sz="4" w:space="0" w:color="auto"/>
                  </w:tcBorders>
                  <w:noWrap/>
                  <w:vAlign w:val="center"/>
                </w:tcPr>
                <w:p w14:paraId="62146040" w14:textId="77777777" w:rsidR="002E3DAA" w:rsidRDefault="002E3DAA" w:rsidP="002E3DAA">
                  <w:pPr>
                    <w:jc w:val="right"/>
                    <w:rPr>
                      <w:rFonts w:ascii="Tahoma" w:hAnsi="Tahoma" w:cs="Tahoma"/>
                      <w:sz w:val="18"/>
                      <w:szCs w:val="18"/>
                    </w:rPr>
                  </w:pPr>
                </w:p>
              </w:tc>
              <w:tc>
                <w:tcPr>
                  <w:tcW w:w="940" w:type="dxa"/>
                  <w:tcBorders>
                    <w:top w:val="single" w:sz="4" w:space="0" w:color="auto"/>
                    <w:left w:val="single" w:sz="4" w:space="0" w:color="auto"/>
                    <w:bottom w:val="nil"/>
                    <w:right w:val="single" w:sz="4" w:space="0" w:color="auto"/>
                  </w:tcBorders>
                  <w:noWrap/>
                  <w:vAlign w:val="center"/>
                </w:tcPr>
                <w:p w14:paraId="42BD616C" w14:textId="77777777" w:rsidR="002E3DAA" w:rsidRDefault="002E3DAA" w:rsidP="002E3DAA">
                  <w:pPr>
                    <w:jc w:val="right"/>
                    <w:rPr>
                      <w:rFonts w:ascii="Tahoma" w:hAnsi="Tahoma" w:cs="Tahoma"/>
                      <w:sz w:val="18"/>
                      <w:szCs w:val="18"/>
                    </w:rPr>
                  </w:pPr>
                </w:p>
              </w:tc>
            </w:tr>
            <w:tr w:rsidR="001E420B" w14:paraId="25071EB9" w14:textId="77777777" w:rsidTr="00077648">
              <w:trPr>
                <w:trHeight w:val="315"/>
                <w:jc w:val="center"/>
              </w:trPr>
              <w:tc>
                <w:tcPr>
                  <w:tcW w:w="2705" w:type="dxa"/>
                  <w:tcBorders>
                    <w:top w:val="nil"/>
                    <w:left w:val="single" w:sz="4" w:space="0" w:color="auto"/>
                    <w:bottom w:val="nil"/>
                    <w:right w:val="single" w:sz="4" w:space="0" w:color="auto"/>
                  </w:tcBorders>
                  <w:noWrap/>
                  <w:vAlign w:val="center"/>
                  <w:hideMark/>
                </w:tcPr>
                <w:p w14:paraId="5C765F18" w14:textId="77777777" w:rsidR="001E420B" w:rsidRDefault="001E420B" w:rsidP="001E420B">
                  <w:pPr>
                    <w:rPr>
                      <w:rFonts w:ascii="Arial" w:hAnsi="Arial" w:cs="Arial"/>
                      <w:sz w:val="18"/>
                      <w:szCs w:val="18"/>
                      <w:lang w:eastAsia="en-GB"/>
                    </w:rPr>
                  </w:pPr>
                  <w:r>
                    <w:rPr>
                      <w:rFonts w:ascii="Arial" w:hAnsi="Arial" w:cs="Arial"/>
                      <w:sz w:val="18"/>
                      <w:szCs w:val="18"/>
                    </w:rPr>
                    <w:t>Electrical machines and apparatus</w:t>
                  </w:r>
                </w:p>
              </w:tc>
              <w:tc>
                <w:tcPr>
                  <w:tcW w:w="962" w:type="dxa"/>
                  <w:tcBorders>
                    <w:top w:val="nil"/>
                    <w:left w:val="nil"/>
                    <w:bottom w:val="nil"/>
                    <w:right w:val="single" w:sz="4" w:space="0" w:color="auto"/>
                  </w:tcBorders>
                  <w:noWrap/>
                  <w:vAlign w:val="center"/>
                  <w:hideMark/>
                </w:tcPr>
                <w:p w14:paraId="442B1554" w14:textId="4A13429D"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1818.6</w:t>
                  </w:r>
                </w:p>
              </w:tc>
              <w:tc>
                <w:tcPr>
                  <w:tcW w:w="928" w:type="dxa"/>
                  <w:tcBorders>
                    <w:top w:val="nil"/>
                    <w:left w:val="single" w:sz="4" w:space="0" w:color="auto"/>
                    <w:bottom w:val="nil"/>
                    <w:right w:val="nil"/>
                  </w:tcBorders>
                  <w:noWrap/>
                  <w:vAlign w:val="center"/>
                  <w:hideMark/>
                </w:tcPr>
                <w:p w14:paraId="43DE09C9" w14:textId="3F8D3292"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1556.6</w:t>
                  </w:r>
                </w:p>
              </w:tc>
              <w:tc>
                <w:tcPr>
                  <w:tcW w:w="2546" w:type="dxa"/>
                  <w:tcBorders>
                    <w:top w:val="nil"/>
                    <w:left w:val="single" w:sz="4" w:space="0" w:color="auto"/>
                    <w:bottom w:val="nil"/>
                    <w:right w:val="single" w:sz="4" w:space="0" w:color="auto"/>
                  </w:tcBorders>
                  <w:noWrap/>
                  <w:vAlign w:val="center"/>
                  <w:hideMark/>
                </w:tcPr>
                <w:p w14:paraId="382A4ECB" w14:textId="77777777" w:rsidR="001E420B" w:rsidRDefault="001E420B" w:rsidP="001E420B">
                  <w:pPr>
                    <w:rPr>
                      <w:rFonts w:ascii="Arial" w:hAnsi="Arial" w:cs="Arial"/>
                      <w:sz w:val="18"/>
                      <w:szCs w:val="18"/>
                    </w:rPr>
                  </w:pPr>
                  <w:r>
                    <w:rPr>
                      <w:rFonts w:ascii="Arial" w:hAnsi="Arial" w:cs="Arial"/>
                      <w:sz w:val="18"/>
                      <w:szCs w:val="18"/>
                    </w:rPr>
                    <w:t xml:space="preserve">Electrical machines and apparatus </w:t>
                  </w:r>
                </w:p>
              </w:tc>
              <w:tc>
                <w:tcPr>
                  <w:tcW w:w="945" w:type="dxa"/>
                  <w:tcBorders>
                    <w:top w:val="nil"/>
                    <w:left w:val="single" w:sz="4" w:space="0" w:color="auto"/>
                    <w:bottom w:val="nil"/>
                    <w:right w:val="single" w:sz="4" w:space="0" w:color="auto"/>
                  </w:tcBorders>
                  <w:noWrap/>
                  <w:vAlign w:val="center"/>
                  <w:hideMark/>
                </w:tcPr>
                <w:p w14:paraId="4A1D955E" w14:textId="20B4374B"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1477.1</w:t>
                  </w:r>
                </w:p>
              </w:tc>
              <w:tc>
                <w:tcPr>
                  <w:tcW w:w="940" w:type="dxa"/>
                  <w:tcBorders>
                    <w:top w:val="nil"/>
                    <w:left w:val="single" w:sz="4" w:space="0" w:color="auto"/>
                    <w:bottom w:val="nil"/>
                    <w:right w:val="single" w:sz="4" w:space="0" w:color="auto"/>
                  </w:tcBorders>
                  <w:noWrap/>
                  <w:vAlign w:val="center"/>
                  <w:hideMark/>
                </w:tcPr>
                <w:p w14:paraId="6BF805E5" w14:textId="3F6314A1"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1263.9</w:t>
                  </w:r>
                </w:p>
              </w:tc>
            </w:tr>
            <w:tr w:rsidR="001E420B" w14:paraId="0ECF71A4" w14:textId="77777777" w:rsidTr="00077648">
              <w:trPr>
                <w:trHeight w:val="255"/>
                <w:jc w:val="center"/>
              </w:trPr>
              <w:tc>
                <w:tcPr>
                  <w:tcW w:w="2705" w:type="dxa"/>
                  <w:tcBorders>
                    <w:top w:val="nil"/>
                    <w:left w:val="single" w:sz="4" w:space="0" w:color="auto"/>
                    <w:bottom w:val="nil"/>
                    <w:right w:val="single" w:sz="4" w:space="0" w:color="auto"/>
                  </w:tcBorders>
                  <w:noWrap/>
                  <w:vAlign w:val="center"/>
                  <w:hideMark/>
                </w:tcPr>
                <w:p w14:paraId="1D3274DA" w14:textId="77777777" w:rsidR="001E420B" w:rsidRDefault="001E420B" w:rsidP="001E420B">
                  <w:pPr>
                    <w:rPr>
                      <w:rFonts w:ascii="Arial" w:hAnsi="Arial" w:cs="Arial"/>
                      <w:sz w:val="18"/>
                      <w:szCs w:val="18"/>
                    </w:rPr>
                  </w:pPr>
                  <w:r>
                    <w:rPr>
                      <w:rFonts w:ascii="Arial" w:hAnsi="Arial" w:cs="Arial"/>
                      <w:sz w:val="18"/>
                      <w:szCs w:val="18"/>
                    </w:rPr>
                    <w:t xml:space="preserve">Road vehicles                                      </w:t>
                  </w:r>
                </w:p>
              </w:tc>
              <w:tc>
                <w:tcPr>
                  <w:tcW w:w="962" w:type="dxa"/>
                  <w:tcBorders>
                    <w:top w:val="nil"/>
                    <w:left w:val="single" w:sz="4" w:space="0" w:color="auto"/>
                    <w:bottom w:val="nil"/>
                    <w:right w:val="single" w:sz="4" w:space="0" w:color="auto"/>
                  </w:tcBorders>
                  <w:noWrap/>
                  <w:vAlign w:val="center"/>
                  <w:hideMark/>
                </w:tcPr>
                <w:p w14:paraId="33B99A46" w14:textId="7CFC8F5A"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1778.2</w:t>
                  </w:r>
                </w:p>
              </w:tc>
              <w:tc>
                <w:tcPr>
                  <w:tcW w:w="928" w:type="dxa"/>
                  <w:tcBorders>
                    <w:top w:val="nil"/>
                    <w:left w:val="single" w:sz="4" w:space="0" w:color="auto"/>
                    <w:bottom w:val="nil"/>
                    <w:right w:val="nil"/>
                  </w:tcBorders>
                  <w:noWrap/>
                  <w:vAlign w:val="center"/>
                  <w:hideMark/>
                </w:tcPr>
                <w:p w14:paraId="7260496A" w14:textId="0E34742D"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1522.4</w:t>
                  </w:r>
                </w:p>
              </w:tc>
              <w:tc>
                <w:tcPr>
                  <w:tcW w:w="2546" w:type="dxa"/>
                  <w:tcBorders>
                    <w:top w:val="nil"/>
                    <w:left w:val="single" w:sz="4" w:space="0" w:color="auto"/>
                    <w:bottom w:val="nil"/>
                    <w:right w:val="single" w:sz="4" w:space="0" w:color="auto"/>
                  </w:tcBorders>
                  <w:noWrap/>
                  <w:vAlign w:val="center"/>
                  <w:hideMark/>
                </w:tcPr>
                <w:p w14:paraId="72ED6D7A" w14:textId="77777777" w:rsidR="001E420B" w:rsidRDefault="001E420B" w:rsidP="001E420B">
                  <w:pPr>
                    <w:rPr>
                      <w:rFonts w:ascii="Arial" w:hAnsi="Arial" w:cs="Arial"/>
                      <w:sz w:val="18"/>
                      <w:szCs w:val="18"/>
                    </w:rPr>
                  </w:pPr>
                  <w:r>
                    <w:rPr>
                      <w:rFonts w:ascii="Arial" w:hAnsi="Arial" w:cs="Arial"/>
                      <w:sz w:val="18"/>
                      <w:szCs w:val="18"/>
                    </w:rPr>
                    <w:t>Oil and oil derivatives</w:t>
                  </w:r>
                  <w:r>
                    <w:rPr>
                      <w:rFonts w:ascii="Tahoma" w:hAnsi="Tahoma" w:cs="Tahoma"/>
                      <w:sz w:val="18"/>
                      <w:szCs w:val="18"/>
                    </w:rPr>
                    <w:t xml:space="preserve"> </w:t>
                  </w:r>
                </w:p>
              </w:tc>
              <w:tc>
                <w:tcPr>
                  <w:tcW w:w="945" w:type="dxa"/>
                  <w:tcBorders>
                    <w:top w:val="nil"/>
                    <w:left w:val="single" w:sz="4" w:space="0" w:color="auto"/>
                    <w:bottom w:val="nil"/>
                    <w:right w:val="single" w:sz="4" w:space="0" w:color="auto"/>
                  </w:tcBorders>
                  <w:noWrap/>
                  <w:vAlign w:val="center"/>
                  <w:hideMark/>
                </w:tcPr>
                <w:p w14:paraId="198DD8D5" w14:textId="45B43170"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1313.5</w:t>
                  </w:r>
                </w:p>
              </w:tc>
              <w:tc>
                <w:tcPr>
                  <w:tcW w:w="940" w:type="dxa"/>
                  <w:tcBorders>
                    <w:top w:val="nil"/>
                    <w:left w:val="nil"/>
                    <w:bottom w:val="nil"/>
                    <w:right w:val="single" w:sz="4" w:space="0" w:color="auto"/>
                  </w:tcBorders>
                  <w:noWrap/>
                  <w:vAlign w:val="center"/>
                  <w:hideMark/>
                </w:tcPr>
                <w:p w14:paraId="71C4326D" w14:textId="480B3287"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1124.0</w:t>
                  </w:r>
                </w:p>
              </w:tc>
            </w:tr>
            <w:tr w:rsidR="001E420B" w14:paraId="607FA202" w14:textId="77777777" w:rsidTr="00077648">
              <w:trPr>
                <w:trHeight w:val="255"/>
                <w:jc w:val="center"/>
              </w:trPr>
              <w:tc>
                <w:tcPr>
                  <w:tcW w:w="2705" w:type="dxa"/>
                  <w:tcBorders>
                    <w:top w:val="nil"/>
                    <w:left w:val="single" w:sz="4" w:space="0" w:color="auto"/>
                    <w:bottom w:val="nil"/>
                    <w:right w:val="single" w:sz="4" w:space="0" w:color="auto"/>
                  </w:tcBorders>
                  <w:noWrap/>
                  <w:vAlign w:val="center"/>
                  <w:hideMark/>
                </w:tcPr>
                <w:p w14:paraId="474765BD" w14:textId="77777777" w:rsidR="001E420B" w:rsidRDefault="001E420B" w:rsidP="001E420B">
                  <w:pPr>
                    <w:jc w:val="both"/>
                    <w:rPr>
                      <w:rFonts w:ascii="Arial" w:hAnsi="Arial" w:cs="Arial"/>
                      <w:sz w:val="18"/>
                      <w:szCs w:val="18"/>
                    </w:rPr>
                  </w:pPr>
                  <w:r>
                    <w:rPr>
                      <w:rFonts w:ascii="Arial" w:hAnsi="Arial" w:cs="Arial"/>
                      <w:sz w:val="18"/>
                      <w:szCs w:val="18"/>
                    </w:rPr>
                    <w:t xml:space="preserve">Metal ores and residues          </w:t>
                  </w:r>
                </w:p>
              </w:tc>
              <w:tc>
                <w:tcPr>
                  <w:tcW w:w="962" w:type="dxa"/>
                  <w:tcBorders>
                    <w:top w:val="nil"/>
                    <w:left w:val="single" w:sz="4" w:space="0" w:color="auto"/>
                    <w:bottom w:val="nil"/>
                    <w:right w:val="single" w:sz="4" w:space="0" w:color="auto"/>
                  </w:tcBorders>
                  <w:noWrap/>
                  <w:vAlign w:val="center"/>
                  <w:hideMark/>
                </w:tcPr>
                <w:p w14:paraId="1916D03D" w14:textId="2C96CAF9"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1296.9</w:t>
                  </w:r>
                </w:p>
              </w:tc>
              <w:tc>
                <w:tcPr>
                  <w:tcW w:w="928" w:type="dxa"/>
                  <w:tcBorders>
                    <w:top w:val="nil"/>
                    <w:left w:val="single" w:sz="4" w:space="0" w:color="auto"/>
                    <w:bottom w:val="nil"/>
                    <w:right w:val="nil"/>
                  </w:tcBorders>
                  <w:noWrap/>
                  <w:vAlign w:val="center"/>
                  <w:hideMark/>
                </w:tcPr>
                <w:p w14:paraId="1B3F8011" w14:textId="403A584F"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1110.1</w:t>
                  </w:r>
                </w:p>
              </w:tc>
              <w:tc>
                <w:tcPr>
                  <w:tcW w:w="2546" w:type="dxa"/>
                  <w:tcBorders>
                    <w:top w:val="nil"/>
                    <w:left w:val="single" w:sz="4" w:space="0" w:color="auto"/>
                    <w:bottom w:val="nil"/>
                    <w:right w:val="single" w:sz="4" w:space="0" w:color="auto"/>
                  </w:tcBorders>
                  <w:noWrap/>
                  <w:vAlign w:val="center"/>
                  <w:hideMark/>
                </w:tcPr>
                <w:p w14:paraId="6E20BFB9" w14:textId="77777777" w:rsidR="001E420B" w:rsidRDefault="001E420B" w:rsidP="001E420B">
                  <w:pPr>
                    <w:rPr>
                      <w:rFonts w:ascii="Arial" w:hAnsi="Arial" w:cs="Arial"/>
                      <w:sz w:val="18"/>
                      <w:szCs w:val="18"/>
                    </w:rPr>
                  </w:pPr>
                  <w:r>
                    <w:rPr>
                      <w:rFonts w:ascii="Tahoma" w:hAnsi="Tahoma" w:cs="Tahoma"/>
                      <w:sz w:val="18"/>
                      <w:szCs w:val="18"/>
                    </w:rPr>
                    <w:t>Road vehicles</w:t>
                  </w:r>
                </w:p>
              </w:tc>
              <w:tc>
                <w:tcPr>
                  <w:tcW w:w="945" w:type="dxa"/>
                  <w:tcBorders>
                    <w:top w:val="nil"/>
                    <w:left w:val="single" w:sz="4" w:space="0" w:color="auto"/>
                    <w:bottom w:val="nil"/>
                    <w:right w:val="single" w:sz="4" w:space="0" w:color="auto"/>
                  </w:tcBorders>
                  <w:noWrap/>
                  <w:vAlign w:val="center"/>
                  <w:hideMark/>
                </w:tcPr>
                <w:p w14:paraId="79681B35" w14:textId="2AC9948A"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1165.1</w:t>
                  </w:r>
                </w:p>
              </w:tc>
              <w:tc>
                <w:tcPr>
                  <w:tcW w:w="940" w:type="dxa"/>
                  <w:tcBorders>
                    <w:top w:val="nil"/>
                    <w:left w:val="nil"/>
                    <w:bottom w:val="nil"/>
                    <w:right w:val="single" w:sz="4" w:space="0" w:color="auto"/>
                  </w:tcBorders>
                  <w:noWrap/>
                  <w:vAlign w:val="center"/>
                  <w:hideMark/>
                </w:tcPr>
                <w:p w14:paraId="29E8BBF6" w14:textId="02DF0A44"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996.8</w:t>
                  </w:r>
                </w:p>
              </w:tc>
            </w:tr>
            <w:tr w:rsidR="001E420B" w14:paraId="54C5570F" w14:textId="77777777" w:rsidTr="00077648">
              <w:trPr>
                <w:trHeight w:val="255"/>
                <w:jc w:val="center"/>
              </w:trPr>
              <w:tc>
                <w:tcPr>
                  <w:tcW w:w="2705" w:type="dxa"/>
                  <w:tcBorders>
                    <w:top w:val="nil"/>
                    <w:left w:val="single" w:sz="4" w:space="0" w:color="auto"/>
                    <w:bottom w:val="nil"/>
                    <w:right w:val="single" w:sz="4" w:space="0" w:color="auto"/>
                  </w:tcBorders>
                  <w:noWrap/>
                  <w:vAlign w:val="center"/>
                  <w:hideMark/>
                </w:tcPr>
                <w:p w14:paraId="1B77182C" w14:textId="77777777" w:rsidR="001E420B" w:rsidRDefault="001E420B" w:rsidP="001E420B">
                  <w:pPr>
                    <w:rPr>
                      <w:rFonts w:ascii="Arial" w:hAnsi="Arial" w:cs="Arial"/>
                      <w:sz w:val="18"/>
                      <w:szCs w:val="18"/>
                    </w:rPr>
                  </w:pPr>
                  <w:r>
                    <w:rPr>
                      <w:rFonts w:ascii="Arial" w:hAnsi="Arial" w:cs="Arial"/>
                      <w:sz w:val="18"/>
                      <w:szCs w:val="18"/>
                    </w:rPr>
                    <w:t>Non-ferrous metals</w:t>
                  </w:r>
                </w:p>
              </w:tc>
              <w:tc>
                <w:tcPr>
                  <w:tcW w:w="962" w:type="dxa"/>
                  <w:tcBorders>
                    <w:top w:val="nil"/>
                    <w:left w:val="single" w:sz="4" w:space="0" w:color="auto"/>
                    <w:bottom w:val="nil"/>
                    <w:right w:val="single" w:sz="4" w:space="0" w:color="auto"/>
                  </w:tcBorders>
                  <w:noWrap/>
                  <w:vAlign w:val="center"/>
                  <w:hideMark/>
                </w:tcPr>
                <w:p w14:paraId="42E7039C" w14:textId="78C98DCA"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1128.2</w:t>
                  </w:r>
                </w:p>
              </w:tc>
              <w:tc>
                <w:tcPr>
                  <w:tcW w:w="928" w:type="dxa"/>
                  <w:tcBorders>
                    <w:top w:val="nil"/>
                    <w:left w:val="single" w:sz="4" w:space="0" w:color="auto"/>
                    <w:bottom w:val="nil"/>
                    <w:right w:val="nil"/>
                  </w:tcBorders>
                  <w:noWrap/>
                  <w:vAlign w:val="center"/>
                  <w:hideMark/>
                </w:tcPr>
                <w:p w14:paraId="33825748" w14:textId="44CA15C6"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965.0</w:t>
                  </w:r>
                </w:p>
              </w:tc>
              <w:tc>
                <w:tcPr>
                  <w:tcW w:w="2546" w:type="dxa"/>
                  <w:tcBorders>
                    <w:top w:val="nil"/>
                    <w:left w:val="single" w:sz="4" w:space="0" w:color="auto"/>
                    <w:bottom w:val="nil"/>
                    <w:right w:val="single" w:sz="4" w:space="0" w:color="auto"/>
                  </w:tcBorders>
                  <w:noWrap/>
                  <w:vAlign w:val="center"/>
                  <w:hideMark/>
                </w:tcPr>
                <w:p w14:paraId="2A5B364E" w14:textId="77777777" w:rsidR="001E420B" w:rsidRDefault="001E420B" w:rsidP="001E420B">
                  <w:pPr>
                    <w:rPr>
                      <w:rFonts w:ascii="Arial" w:hAnsi="Arial" w:cs="Arial"/>
                      <w:sz w:val="18"/>
                      <w:szCs w:val="18"/>
                      <w:lang w:val="sr-Cyrl-RS"/>
                    </w:rPr>
                  </w:pPr>
                  <w:r>
                    <w:rPr>
                      <w:rFonts w:ascii="Tahoma" w:hAnsi="Tahoma" w:cs="Tahoma"/>
                      <w:sz w:val="18"/>
                      <w:szCs w:val="18"/>
                    </w:rPr>
                    <w:t>Medical and pharmaceutical products</w:t>
                  </w:r>
                </w:p>
              </w:tc>
              <w:tc>
                <w:tcPr>
                  <w:tcW w:w="945" w:type="dxa"/>
                  <w:tcBorders>
                    <w:top w:val="nil"/>
                    <w:left w:val="single" w:sz="4" w:space="0" w:color="auto"/>
                    <w:bottom w:val="nil"/>
                    <w:right w:val="single" w:sz="4" w:space="0" w:color="auto"/>
                  </w:tcBorders>
                  <w:noWrap/>
                  <w:vAlign w:val="center"/>
                  <w:hideMark/>
                </w:tcPr>
                <w:p w14:paraId="083F1D50" w14:textId="42D47097"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901.5</w:t>
                  </w:r>
                </w:p>
              </w:tc>
              <w:tc>
                <w:tcPr>
                  <w:tcW w:w="940" w:type="dxa"/>
                  <w:tcBorders>
                    <w:top w:val="nil"/>
                    <w:left w:val="nil"/>
                    <w:bottom w:val="nil"/>
                    <w:right w:val="single" w:sz="4" w:space="0" w:color="auto"/>
                  </w:tcBorders>
                  <w:noWrap/>
                  <w:vAlign w:val="center"/>
                  <w:hideMark/>
                </w:tcPr>
                <w:p w14:paraId="78544AC5" w14:textId="3C35C7EF"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771.3</w:t>
                  </w:r>
                </w:p>
              </w:tc>
            </w:tr>
            <w:tr w:rsidR="001E420B" w14:paraId="45FFD9B7" w14:textId="77777777" w:rsidTr="00077648">
              <w:trPr>
                <w:trHeight w:val="255"/>
                <w:jc w:val="center"/>
              </w:trPr>
              <w:tc>
                <w:tcPr>
                  <w:tcW w:w="2705" w:type="dxa"/>
                  <w:tcBorders>
                    <w:top w:val="nil"/>
                    <w:left w:val="single" w:sz="4" w:space="0" w:color="auto"/>
                    <w:bottom w:val="nil"/>
                    <w:right w:val="single" w:sz="4" w:space="0" w:color="auto"/>
                  </w:tcBorders>
                  <w:noWrap/>
                  <w:vAlign w:val="center"/>
                  <w:hideMark/>
                </w:tcPr>
                <w:p w14:paraId="31A9BF14" w14:textId="77777777" w:rsidR="001E420B" w:rsidRDefault="001E420B" w:rsidP="001E420B">
                  <w:pPr>
                    <w:rPr>
                      <w:rFonts w:ascii="Arial" w:hAnsi="Arial" w:cs="Arial"/>
                      <w:sz w:val="18"/>
                      <w:szCs w:val="18"/>
                      <w:lang w:val="sr-Cyrl-RS"/>
                    </w:rPr>
                  </w:pPr>
                  <w:r>
                    <w:rPr>
                      <w:rFonts w:ascii="Arial" w:hAnsi="Arial" w:cs="Arial"/>
                      <w:sz w:val="18"/>
                      <w:szCs w:val="18"/>
                    </w:rPr>
                    <w:t>Rubber products</w:t>
                  </w:r>
                </w:p>
              </w:tc>
              <w:tc>
                <w:tcPr>
                  <w:tcW w:w="962" w:type="dxa"/>
                  <w:tcBorders>
                    <w:top w:val="nil"/>
                    <w:left w:val="single" w:sz="4" w:space="0" w:color="auto"/>
                    <w:bottom w:val="nil"/>
                    <w:right w:val="single" w:sz="4" w:space="0" w:color="auto"/>
                  </w:tcBorders>
                  <w:noWrap/>
                  <w:vAlign w:val="center"/>
                  <w:hideMark/>
                </w:tcPr>
                <w:p w14:paraId="581439EE" w14:textId="38FF99DE"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873.0</w:t>
                  </w:r>
                </w:p>
              </w:tc>
              <w:tc>
                <w:tcPr>
                  <w:tcW w:w="928" w:type="dxa"/>
                  <w:tcBorders>
                    <w:top w:val="nil"/>
                    <w:left w:val="single" w:sz="4" w:space="0" w:color="auto"/>
                    <w:bottom w:val="nil"/>
                    <w:right w:val="nil"/>
                  </w:tcBorders>
                  <w:noWrap/>
                  <w:vAlign w:val="center"/>
                  <w:hideMark/>
                </w:tcPr>
                <w:p w14:paraId="1AFF4D3C" w14:textId="262A8066"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747.0</w:t>
                  </w:r>
                </w:p>
              </w:tc>
              <w:tc>
                <w:tcPr>
                  <w:tcW w:w="2546" w:type="dxa"/>
                  <w:tcBorders>
                    <w:top w:val="nil"/>
                    <w:left w:val="single" w:sz="4" w:space="0" w:color="auto"/>
                    <w:bottom w:val="nil"/>
                    <w:right w:val="single" w:sz="4" w:space="0" w:color="auto"/>
                  </w:tcBorders>
                  <w:noWrap/>
                  <w:vAlign w:val="center"/>
                  <w:hideMark/>
                </w:tcPr>
                <w:p w14:paraId="4F42AE3E" w14:textId="77777777" w:rsidR="001E420B" w:rsidRDefault="001E420B" w:rsidP="001E420B">
                  <w:pPr>
                    <w:rPr>
                      <w:rFonts w:ascii="Arial" w:hAnsi="Arial" w:cs="Arial"/>
                      <w:sz w:val="18"/>
                      <w:szCs w:val="18"/>
                      <w:lang w:val="sr-Cyrl-RS"/>
                    </w:rPr>
                  </w:pPr>
                  <w:r w:rsidRPr="00B10DCB">
                    <w:rPr>
                      <w:rFonts w:ascii="Arial" w:hAnsi="Arial" w:cs="Arial"/>
                      <w:sz w:val="18"/>
                      <w:szCs w:val="18"/>
                    </w:rPr>
                    <w:t>Non-ferrous metals</w:t>
                  </w:r>
                </w:p>
              </w:tc>
              <w:tc>
                <w:tcPr>
                  <w:tcW w:w="945" w:type="dxa"/>
                  <w:tcBorders>
                    <w:top w:val="nil"/>
                    <w:left w:val="single" w:sz="4" w:space="0" w:color="auto"/>
                    <w:bottom w:val="nil"/>
                    <w:right w:val="single" w:sz="4" w:space="0" w:color="auto"/>
                  </w:tcBorders>
                  <w:noWrap/>
                  <w:vAlign w:val="center"/>
                  <w:hideMark/>
                </w:tcPr>
                <w:p w14:paraId="4C236A3F" w14:textId="1D01450D"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868.8</w:t>
                  </w:r>
                </w:p>
              </w:tc>
              <w:tc>
                <w:tcPr>
                  <w:tcW w:w="940" w:type="dxa"/>
                  <w:tcBorders>
                    <w:top w:val="nil"/>
                    <w:left w:val="nil"/>
                    <w:bottom w:val="nil"/>
                    <w:right w:val="single" w:sz="4" w:space="0" w:color="auto"/>
                  </w:tcBorders>
                  <w:noWrap/>
                  <w:vAlign w:val="center"/>
                  <w:hideMark/>
                </w:tcPr>
                <w:p w14:paraId="05AFD80B" w14:textId="27F22F68" w:rsidR="001E420B" w:rsidRPr="00C64D16" w:rsidRDefault="001E420B" w:rsidP="001E420B">
                  <w:pPr>
                    <w:jc w:val="right"/>
                    <w:rPr>
                      <w:rFonts w:ascii="Arial" w:hAnsi="Arial" w:cs="Arial"/>
                      <w:sz w:val="18"/>
                      <w:szCs w:val="18"/>
                      <w:lang w:val="en-US"/>
                    </w:rPr>
                  </w:pPr>
                  <w:r w:rsidRPr="009417AE">
                    <w:rPr>
                      <w:rFonts w:ascii="Arial" w:hAnsi="Arial" w:cs="Arial"/>
                      <w:sz w:val="18"/>
                      <w:szCs w:val="18"/>
                    </w:rPr>
                    <w:t>743.4</w:t>
                  </w:r>
                </w:p>
              </w:tc>
            </w:tr>
            <w:tr w:rsidR="001E420B" w14:paraId="5C512F1F" w14:textId="77777777" w:rsidTr="00077648">
              <w:trPr>
                <w:trHeight w:val="255"/>
                <w:jc w:val="center"/>
              </w:trPr>
              <w:tc>
                <w:tcPr>
                  <w:tcW w:w="2705" w:type="dxa"/>
                  <w:tcBorders>
                    <w:top w:val="nil"/>
                    <w:left w:val="single" w:sz="4" w:space="0" w:color="auto"/>
                    <w:bottom w:val="single" w:sz="4" w:space="0" w:color="auto"/>
                    <w:right w:val="nil"/>
                  </w:tcBorders>
                  <w:noWrap/>
                  <w:vAlign w:val="center"/>
                </w:tcPr>
                <w:p w14:paraId="03501268" w14:textId="77777777" w:rsidR="001E420B" w:rsidRDefault="001E420B" w:rsidP="001E420B">
                  <w:pPr>
                    <w:rPr>
                      <w:rFonts w:ascii="Arial" w:hAnsi="Arial" w:cs="Arial"/>
                      <w:sz w:val="18"/>
                      <w:szCs w:val="18"/>
                      <w:lang w:eastAsia="en-GB"/>
                    </w:rPr>
                  </w:pPr>
                </w:p>
              </w:tc>
              <w:tc>
                <w:tcPr>
                  <w:tcW w:w="962" w:type="dxa"/>
                  <w:tcBorders>
                    <w:top w:val="nil"/>
                    <w:left w:val="single" w:sz="4" w:space="0" w:color="auto"/>
                    <w:bottom w:val="single" w:sz="4" w:space="0" w:color="auto"/>
                    <w:right w:val="single" w:sz="4" w:space="0" w:color="auto"/>
                  </w:tcBorders>
                  <w:noWrap/>
                  <w:vAlign w:val="center"/>
                </w:tcPr>
                <w:p w14:paraId="31DED9DA" w14:textId="6AF4B7C2" w:rsidR="001E420B" w:rsidRDefault="001E420B" w:rsidP="001E420B">
                  <w:pPr>
                    <w:jc w:val="right"/>
                    <w:rPr>
                      <w:rFonts w:ascii="Arial" w:hAnsi="Arial" w:cs="Arial"/>
                      <w:sz w:val="18"/>
                      <w:szCs w:val="18"/>
                      <w:lang w:eastAsia="en-GB"/>
                    </w:rPr>
                  </w:pPr>
                </w:p>
              </w:tc>
              <w:tc>
                <w:tcPr>
                  <w:tcW w:w="928" w:type="dxa"/>
                  <w:tcBorders>
                    <w:top w:val="nil"/>
                    <w:left w:val="nil"/>
                    <w:bottom w:val="single" w:sz="4" w:space="0" w:color="auto"/>
                    <w:right w:val="single" w:sz="4" w:space="0" w:color="auto"/>
                  </w:tcBorders>
                  <w:noWrap/>
                  <w:vAlign w:val="center"/>
                </w:tcPr>
                <w:p w14:paraId="4D585145" w14:textId="77777777" w:rsidR="001E420B" w:rsidRDefault="001E420B" w:rsidP="001E420B">
                  <w:pPr>
                    <w:jc w:val="right"/>
                    <w:rPr>
                      <w:rFonts w:ascii="Arial" w:hAnsi="Arial" w:cs="Arial"/>
                      <w:sz w:val="18"/>
                      <w:szCs w:val="18"/>
                      <w:lang w:eastAsia="en-GB"/>
                    </w:rPr>
                  </w:pPr>
                </w:p>
              </w:tc>
              <w:tc>
                <w:tcPr>
                  <w:tcW w:w="2546" w:type="dxa"/>
                  <w:tcBorders>
                    <w:top w:val="nil"/>
                    <w:left w:val="nil"/>
                    <w:bottom w:val="single" w:sz="4" w:space="0" w:color="auto"/>
                    <w:right w:val="nil"/>
                  </w:tcBorders>
                  <w:noWrap/>
                  <w:vAlign w:val="center"/>
                </w:tcPr>
                <w:p w14:paraId="5032A313" w14:textId="77777777" w:rsidR="001E420B" w:rsidRDefault="001E420B" w:rsidP="001E420B">
                  <w:pPr>
                    <w:rPr>
                      <w:rFonts w:ascii="Arial" w:hAnsi="Arial" w:cs="Arial"/>
                      <w:sz w:val="18"/>
                      <w:szCs w:val="18"/>
                      <w:lang w:eastAsia="en-GB"/>
                    </w:rPr>
                  </w:pPr>
                </w:p>
              </w:tc>
              <w:tc>
                <w:tcPr>
                  <w:tcW w:w="945" w:type="dxa"/>
                  <w:tcBorders>
                    <w:top w:val="nil"/>
                    <w:left w:val="single" w:sz="4" w:space="0" w:color="auto"/>
                    <w:bottom w:val="single" w:sz="4" w:space="0" w:color="auto"/>
                    <w:right w:val="single" w:sz="4" w:space="0" w:color="auto"/>
                  </w:tcBorders>
                  <w:noWrap/>
                  <w:vAlign w:val="center"/>
                </w:tcPr>
                <w:p w14:paraId="41A6F608" w14:textId="77777777" w:rsidR="001E420B" w:rsidRPr="000C4458" w:rsidRDefault="001E420B" w:rsidP="001E420B">
                  <w:pPr>
                    <w:jc w:val="right"/>
                    <w:rPr>
                      <w:rFonts w:ascii="Arial" w:hAnsi="Arial" w:cs="Arial"/>
                      <w:sz w:val="18"/>
                      <w:szCs w:val="18"/>
                      <w:lang w:val="sr-Cyrl-RS"/>
                    </w:rPr>
                  </w:pPr>
                </w:p>
              </w:tc>
              <w:tc>
                <w:tcPr>
                  <w:tcW w:w="940" w:type="dxa"/>
                  <w:tcBorders>
                    <w:top w:val="nil"/>
                    <w:left w:val="nil"/>
                    <w:bottom w:val="single" w:sz="4" w:space="0" w:color="auto"/>
                    <w:right w:val="single" w:sz="4" w:space="0" w:color="auto"/>
                  </w:tcBorders>
                  <w:noWrap/>
                  <w:vAlign w:val="center"/>
                </w:tcPr>
                <w:p w14:paraId="3D395A7D" w14:textId="77777777" w:rsidR="001E420B" w:rsidRPr="000C4458" w:rsidRDefault="001E420B" w:rsidP="001E420B">
                  <w:pPr>
                    <w:jc w:val="right"/>
                    <w:rPr>
                      <w:rFonts w:ascii="Arial" w:hAnsi="Arial" w:cs="Arial"/>
                      <w:sz w:val="18"/>
                      <w:szCs w:val="18"/>
                      <w:lang w:val="sr-Cyrl-RS"/>
                    </w:rPr>
                  </w:pPr>
                </w:p>
              </w:tc>
            </w:tr>
          </w:tbl>
          <w:p w14:paraId="27544AC0" w14:textId="77777777" w:rsidR="00392DBF" w:rsidRDefault="00392DBF" w:rsidP="00C2422A">
            <w:pPr>
              <w:jc w:val="both"/>
              <w:rPr>
                <w:rFonts w:ascii="Arial" w:hAnsi="Arial" w:cs="Arial"/>
                <w:bCs/>
                <w:sz w:val="18"/>
                <w:szCs w:val="18"/>
              </w:rPr>
            </w:pPr>
          </w:p>
          <w:p w14:paraId="2999E9FF" w14:textId="77777777" w:rsidR="001E420B" w:rsidRDefault="001E420B" w:rsidP="00C2422A">
            <w:pPr>
              <w:jc w:val="both"/>
              <w:rPr>
                <w:rFonts w:ascii="Arial" w:hAnsi="Arial" w:cs="Arial"/>
                <w:bCs/>
                <w:sz w:val="18"/>
                <w:szCs w:val="18"/>
              </w:rPr>
            </w:pPr>
          </w:p>
          <w:p w14:paraId="71842B45" w14:textId="39C7E135" w:rsidR="00C2422A" w:rsidRPr="00E3260D" w:rsidRDefault="00C2422A" w:rsidP="00C2422A">
            <w:pPr>
              <w:jc w:val="both"/>
              <w:rPr>
                <w:rFonts w:ascii="Arial" w:hAnsi="Arial" w:cs="Arial"/>
                <w:bCs/>
                <w:sz w:val="18"/>
                <w:szCs w:val="18"/>
              </w:rPr>
            </w:pPr>
            <w:r w:rsidRPr="00E3260D">
              <w:rPr>
                <w:rFonts w:ascii="Arial" w:hAnsi="Arial" w:cs="Arial"/>
                <w:bCs/>
                <w:sz w:val="18"/>
                <w:szCs w:val="18"/>
              </w:rPr>
              <w:t xml:space="preserve">In </w:t>
            </w:r>
            <w:r w:rsidR="000711D6">
              <w:rPr>
                <w:rFonts w:ascii="Arial" w:hAnsi="Arial" w:cs="Arial"/>
                <w:b/>
                <w:sz w:val="18"/>
                <w:szCs w:val="18"/>
              </w:rPr>
              <w:t xml:space="preserve">May </w:t>
            </w:r>
            <w:r w:rsidRPr="00E3260D">
              <w:rPr>
                <w:rFonts w:ascii="Arial" w:hAnsi="Arial" w:cs="Arial"/>
                <w:bCs/>
                <w:sz w:val="18"/>
                <w:szCs w:val="18"/>
              </w:rPr>
              <w:t xml:space="preserve">2026, value of exported goods was </w:t>
            </w:r>
            <w:r w:rsidRPr="00E3260D">
              <w:rPr>
                <w:rFonts w:ascii="Arial" w:hAnsi="Arial" w:cs="Arial"/>
                <w:b/>
                <w:sz w:val="18"/>
                <w:szCs w:val="18"/>
              </w:rPr>
              <w:t>USD</w:t>
            </w:r>
            <w:r w:rsidRPr="00E3260D">
              <w:rPr>
                <w:rFonts w:ascii="Arial" w:hAnsi="Arial" w:cs="Arial"/>
                <w:bCs/>
                <w:sz w:val="18"/>
                <w:szCs w:val="18"/>
              </w:rPr>
              <w:t xml:space="preserve"> </w:t>
            </w:r>
            <w:r w:rsidR="000711D6">
              <w:rPr>
                <w:rFonts w:ascii="Arial" w:hAnsi="Arial" w:cs="Arial"/>
                <w:b/>
                <w:sz w:val="18"/>
                <w:szCs w:val="18"/>
              </w:rPr>
              <w:t>3312.8</w:t>
            </w:r>
            <w:r w:rsidRPr="00E3260D">
              <w:rPr>
                <w:rFonts w:ascii="Arial" w:hAnsi="Arial" w:cs="Arial"/>
                <w:b/>
                <w:sz w:val="18"/>
                <w:szCs w:val="18"/>
              </w:rPr>
              <w:t xml:space="preserve"> million</w:t>
            </w:r>
            <w:r w:rsidRPr="00E3260D">
              <w:rPr>
                <w:rFonts w:ascii="Arial" w:hAnsi="Arial" w:cs="Arial"/>
                <w:bCs/>
                <w:sz w:val="18"/>
                <w:szCs w:val="18"/>
              </w:rPr>
              <w:t xml:space="preserve">, being an increase of </w:t>
            </w:r>
            <w:r w:rsidR="000711D6">
              <w:rPr>
                <w:rFonts w:ascii="Arial" w:hAnsi="Arial" w:cs="Arial"/>
                <w:bCs/>
                <w:sz w:val="18"/>
                <w:szCs w:val="18"/>
              </w:rPr>
              <w:t>6.8</w:t>
            </w:r>
            <w:r w:rsidRPr="00E3260D">
              <w:rPr>
                <w:rFonts w:ascii="Arial" w:hAnsi="Arial" w:cs="Arial"/>
                <w:bCs/>
                <w:sz w:val="18"/>
                <w:szCs w:val="18"/>
              </w:rPr>
              <w:t xml:space="preserve">% compared to the same month of the previous year. Imports amounted to </w:t>
            </w:r>
            <w:r w:rsidRPr="00E3260D">
              <w:rPr>
                <w:rFonts w:ascii="Arial" w:hAnsi="Arial" w:cs="Arial"/>
                <w:b/>
                <w:sz w:val="18"/>
                <w:szCs w:val="18"/>
              </w:rPr>
              <w:t>USD</w:t>
            </w:r>
            <w:r w:rsidRPr="00E3260D">
              <w:rPr>
                <w:rFonts w:ascii="Arial" w:hAnsi="Arial" w:cs="Arial"/>
                <w:bCs/>
                <w:sz w:val="18"/>
                <w:szCs w:val="18"/>
              </w:rPr>
              <w:t xml:space="preserve"> </w:t>
            </w:r>
            <w:r w:rsidR="000711D6">
              <w:rPr>
                <w:rFonts w:ascii="Arial" w:hAnsi="Arial" w:cs="Arial"/>
                <w:b/>
                <w:sz w:val="18"/>
                <w:szCs w:val="18"/>
              </w:rPr>
              <w:t>4033.2</w:t>
            </w:r>
            <w:r w:rsidRPr="00E3260D">
              <w:rPr>
                <w:rFonts w:ascii="Arial" w:hAnsi="Arial" w:cs="Arial"/>
                <w:b/>
                <w:sz w:val="18"/>
                <w:szCs w:val="18"/>
              </w:rPr>
              <w:t xml:space="preserve"> million</w:t>
            </w:r>
            <w:r w:rsidRPr="00E3260D">
              <w:rPr>
                <w:rFonts w:ascii="Arial" w:hAnsi="Arial" w:cs="Arial"/>
                <w:bCs/>
                <w:sz w:val="18"/>
                <w:szCs w:val="18"/>
              </w:rPr>
              <w:t xml:space="preserve">, presenting an increase of </w:t>
            </w:r>
            <w:r w:rsidR="000711D6">
              <w:rPr>
                <w:rFonts w:ascii="Arial" w:hAnsi="Arial" w:cs="Arial"/>
                <w:bCs/>
                <w:sz w:val="18"/>
                <w:szCs w:val="18"/>
              </w:rPr>
              <w:t>3.2</w:t>
            </w:r>
            <w:r w:rsidRPr="00E3260D">
              <w:rPr>
                <w:rFonts w:ascii="Arial" w:hAnsi="Arial" w:cs="Arial"/>
                <w:bCs/>
                <w:sz w:val="18"/>
                <w:szCs w:val="18"/>
              </w:rPr>
              <w:t>% compared to the same month of the previous year.</w:t>
            </w:r>
          </w:p>
          <w:p w14:paraId="3193772A" w14:textId="77777777" w:rsidR="00C2422A" w:rsidRPr="00E3260D" w:rsidRDefault="00C2422A" w:rsidP="00C2422A">
            <w:pPr>
              <w:jc w:val="both"/>
              <w:rPr>
                <w:rFonts w:ascii="Arial" w:hAnsi="Arial" w:cs="Arial"/>
                <w:bCs/>
                <w:sz w:val="18"/>
                <w:szCs w:val="18"/>
              </w:rPr>
            </w:pPr>
          </w:p>
          <w:p w14:paraId="685F259E" w14:textId="02103525" w:rsidR="00C2422A" w:rsidRDefault="00C2422A" w:rsidP="00C2422A">
            <w:pPr>
              <w:jc w:val="both"/>
              <w:rPr>
                <w:rFonts w:ascii="Arial" w:hAnsi="Arial" w:cs="Arial"/>
                <w:sz w:val="18"/>
                <w:szCs w:val="18"/>
              </w:rPr>
            </w:pPr>
            <w:r w:rsidRPr="00E3260D">
              <w:rPr>
                <w:rFonts w:ascii="Arial" w:hAnsi="Arial" w:cs="Arial"/>
                <w:sz w:val="18"/>
                <w:szCs w:val="18"/>
              </w:rPr>
              <w:t xml:space="preserve">Expressed in </w:t>
            </w:r>
            <w:r w:rsidR="00A30E27" w:rsidRPr="00E15A6E">
              <w:rPr>
                <w:rFonts w:ascii="Arial" w:hAnsi="Arial" w:cs="Arial"/>
                <w:b/>
                <w:bCs/>
                <w:sz w:val="18"/>
                <w:szCs w:val="18"/>
              </w:rPr>
              <w:t>E</w:t>
            </w:r>
            <w:r w:rsidRPr="00E15A6E">
              <w:rPr>
                <w:rFonts w:ascii="Arial" w:hAnsi="Arial" w:cs="Arial"/>
                <w:b/>
                <w:bCs/>
                <w:sz w:val="18"/>
                <w:szCs w:val="18"/>
              </w:rPr>
              <w:t>uros</w:t>
            </w:r>
            <w:r w:rsidRPr="00E3260D">
              <w:rPr>
                <w:rFonts w:ascii="Arial" w:hAnsi="Arial" w:cs="Arial"/>
                <w:sz w:val="18"/>
                <w:szCs w:val="18"/>
              </w:rPr>
              <w:t xml:space="preserve">, goods </w:t>
            </w:r>
            <w:r w:rsidR="000711D6">
              <w:rPr>
                <w:rFonts w:ascii="Arial" w:hAnsi="Arial" w:cs="Arial"/>
                <w:sz w:val="18"/>
                <w:szCs w:val="18"/>
              </w:rPr>
              <w:t xml:space="preserve">were </w:t>
            </w:r>
            <w:r w:rsidRPr="00E3260D">
              <w:rPr>
                <w:rFonts w:ascii="Arial" w:hAnsi="Arial" w:cs="Arial"/>
                <w:sz w:val="18"/>
                <w:szCs w:val="18"/>
              </w:rPr>
              <w:t xml:space="preserve">exported for </w:t>
            </w:r>
            <w:r w:rsidRPr="00E3260D">
              <w:rPr>
                <w:rFonts w:ascii="Arial" w:hAnsi="Arial" w:cs="Arial"/>
                <w:b/>
                <w:bCs/>
                <w:sz w:val="18"/>
                <w:szCs w:val="18"/>
              </w:rPr>
              <w:t xml:space="preserve">EUR </w:t>
            </w:r>
            <w:r w:rsidR="000711D6">
              <w:rPr>
                <w:rFonts w:ascii="Arial" w:hAnsi="Arial" w:cs="Arial"/>
                <w:b/>
                <w:bCs/>
                <w:sz w:val="18"/>
                <w:szCs w:val="18"/>
              </w:rPr>
              <w:t>2839.4</w:t>
            </w:r>
            <w:r w:rsidRPr="00E3260D">
              <w:rPr>
                <w:rFonts w:ascii="Arial" w:hAnsi="Arial" w:cs="Arial"/>
                <w:b/>
                <w:bCs/>
                <w:sz w:val="18"/>
                <w:szCs w:val="18"/>
              </w:rPr>
              <w:t xml:space="preserve"> million</w:t>
            </w:r>
            <w:r w:rsidRPr="00E3260D">
              <w:rPr>
                <w:rFonts w:ascii="Arial" w:hAnsi="Arial" w:cs="Arial"/>
                <w:sz w:val="18"/>
                <w:szCs w:val="18"/>
              </w:rPr>
              <w:t xml:space="preserve">, being an increase of </w:t>
            </w:r>
            <w:r w:rsidR="000711D6">
              <w:rPr>
                <w:rFonts w:ascii="Arial" w:hAnsi="Arial" w:cs="Arial"/>
                <w:sz w:val="18"/>
                <w:szCs w:val="18"/>
              </w:rPr>
              <w:t>3.3</w:t>
            </w:r>
            <w:r w:rsidRPr="00E3260D">
              <w:rPr>
                <w:rFonts w:ascii="Arial" w:hAnsi="Arial" w:cs="Arial"/>
                <w:sz w:val="18"/>
                <w:szCs w:val="18"/>
              </w:rPr>
              <w:t xml:space="preserve">% compared to the same month of the previous year. Imports amounted to </w:t>
            </w:r>
            <w:r w:rsidRPr="00E3260D">
              <w:rPr>
                <w:rFonts w:ascii="Arial" w:hAnsi="Arial" w:cs="Arial"/>
                <w:b/>
                <w:bCs/>
                <w:sz w:val="18"/>
                <w:szCs w:val="18"/>
              </w:rPr>
              <w:t xml:space="preserve">EUR </w:t>
            </w:r>
            <w:r w:rsidR="000711D6">
              <w:rPr>
                <w:rFonts w:ascii="Arial" w:hAnsi="Arial" w:cs="Arial"/>
                <w:b/>
                <w:bCs/>
                <w:sz w:val="18"/>
                <w:szCs w:val="18"/>
              </w:rPr>
              <w:t>3456.9</w:t>
            </w:r>
            <w:r w:rsidRPr="00E3260D">
              <w:rPr>
                <w:rFonts w:ascii="Arial" w:hAnsi="Arial" w:cs="Arial"/>
                <w:b/>
                <w:bCs/>
                <w:sz w:val="18"/>
                <w:szCs w:val="18"/>
              </w:rPr>
              <w:t xml:space="preserve"> million</w:t>
            </w:r>
            <w:r w:rsidRPr="00E3260D">
              <w:rPr>
                <w:rFonts w:ascii="Arial" w:hAnsi="Arial" w:cs="Arial"/>
                <w:sz w:val="18"/>
                <w:szCs w:val="18"/>
              </w:rPr>
              <w:t xml:space="preserve">, which is </w:t>
            </w:r>
            <w:r w:rsidR="000711D6">
              <w:rPr>
                <w:rFonts w:ascii="Arial" w:hAnsi="Arial" w:cs="Arial"/>
                <w:sz w:val="18"/>
                <w:szCs w:val="18"/>
              </w:rPr>
              <w:t xml:space="preserve">a decrease of </w:t>
            </w:r>
            <w:r w:rsidR="004962E2" w:rsidRPr="00E3260D">
              <w:rPr>
                <w:rFonts w:ascii="Arial" w:hAnsi="Arial" w:cs="Arial"/>
                <w:sz w:val="18"/>
                <w:szCs w:val="18"/>
              </w:rPr>
              <w:t>0</w:t>
            </w:r>
            <w:r w:rsidRPr="00E3260D">
              <w:rPr>
                <w:rFonts w:ascii="Arial" w:hAnsi="Arial" w:cs="Arial"/>
                <w:sz w:val="18"/>
                <w:szCs w:val="18"/>
              </w:rPr>
              <w:t>.</w:t>
            </w:r>
            <w:r w:rsidR="000711D6">
              <w:rPr>
                <w:rFonts w:ascii="Arial" w:hAnsi="Arial" w:cs="Arial"/>
                <w:sz w:val="18"/>
                <w:szCs w:val="18"/>
              </w:rPr>
              <w:t>1</w:t>
            </w:r>
            <w:r w:rsidRPr="00E3260D">
              <w:rPr>
                <w:rFonts w:ascii="Arial" w:hAnsi="Arial" w:cs="Arial"/>
                <w:sz w:val="18"/>
                <w:szCs w:val="18"/>
              </w:rPr>
              <w:t>% compared to the same month of the previous year.</w:t>
            </w:r>
          </w:p>
          <w:p w14:paraId="5732F3F5" w14:textId="77777777" w:rsidR="00E131C6" w:rsidRPr="00E3260D" w:rsidRDefault="00E131C6" w:rsidP="00C2422A">
            <w:pPr>
              <w:jc w:val="both"/>
              <w:rPr>
                <w:rFonts w:ascii="Arial" w:hAnsi="Arial" w:cs="Arial"/>
                <w:sz w:val="18"/>
                <w:szCs w:val="18"/>
              </w:rPr>
            </w:pPr>
          </w:p>
          <w:p w14:paraId="193A67B8" w14:textId="0B097ACD" w:rsidR="00FB3DD1" w:rsidRPr="0099070D" w:rsidRDefault="00FB3DD1" w:rsidP="00FB3DD1">
            <w:pPr>
              <w:jc w:val="both"/>
              <w:rPr>
                <w:rFonts w:ascii="Tahoma" w:hAnsi="Tahoma" w:cs="Tahoma"/>
                <w:sz w:val="18"/>
                <w:szCs w:val="18"/>
              </w:rPr>
            </w:pPr>
            <w:r w:rsidRPr="0099070D">
              <w:rPr>
                <w:rFonts w:ascii="Tahoma" w:hAnsi="Tahoma" w:cs="Tahoma"/>
                <w:sz w:val="18"/>
                <w:szCs w:val="18"/>
              </w:rPr>
              <w:t>The seasonally adjusted index</w:t>
            </w:r>
            <w:r w:rsidR="00F0494B" w:rsidRPr="0099070D">
              <w:rPr>
                <w:rFonts w:ascii="Tahoma" w:hAnsi="Tahoma" w:cs="Tahoma"/>
                <w:sz w:val="18"/>
                <w:szCs w:val="18"/>
              </w:rPr>
              <w:t xml:space="preserve"> May</w:t>
            </w:r>
            <w:r w:rsidR="009F3963" w:rsidRPr="0099070D">
              <w:rPr>
                <w:rFonts w:ascii="Tahoma" w:hAnsi="Tahoma" w:cs="Tahoma"/>
                <w:sz w:val="18"/>
                <w:szCs w:val="18"/>
              </w:rPr>
              <w:t xml:space="preserve"> </w:t>
            </w:r>
            <w:r w:rsidRPr="0099070D">
              <w:rPr>
                <w:rFonts w:ascii="Tahoma" w:hAnsi="Tahoma" w:cs="Tahoma"/>
                <w:sz w:val="18"/>
                <w:szCs w:val="18"/>
              </w:rPr>
              <w:t xml:space="preserve">2026/ </w:t>
            </w:r>
            <w:r w:rsidR="00F0494B" w:rsidRPr="0099070D">
              <w:rPr>
                <w:rFonts w:ascii="Tahoma" w:hAnsi="Tahoma" w:cs="Tahoma"/>
                <w:sz w:val="18"/>
                <w:szCs w:val="18"/>
              </w:rPr>
              <w:t>April</w:t>
            </w:r>
            <w:r w:rsidRPr="0099070D">
              <w:rPr>
                <w:rFonts w:ascii="Tahoma" w:hAnsi="Tahoma" w:cs="Tahoma"/>
                <w:sz w:val="18"/>
                <w:szCs w:val="18"/>
              </w:rPr>
              <w:t xml:space="preserve"> 202</w:t>
            </w:r>
            <w:r w:rsidR="00C2422A" w:rsidRPr="0099070D">
              <w:rPr>
                <w:rFonts w:ascii="Tahoma" w:hAnsi="Tahoma" w:cs="Tahoma"/>
                <w:sz w:val="18"/>
                <w:szCs w:val="18"/>
              </w:rPr>
              <w:t>6</w:t>
            </w:r>
            <w:r w:rsidRPr="0099070D">
              <w:rPr>
                <w:rFonts w:ascii="Tahoma" w:hAnsi="Tahoma" w:cs="Tahoma"/>
                <w:sz w:val="18"/>
                <w:szCs w:val="18"/>
              </w:rPr>
              <w:t xml:space="preserve"> shows that exports </w:t>
            </w:r>
            <w:r w:rsidR="008A48E6" w:rsidRPr="0099070D">
              <w:rPr>
                <w:rFonts w:ascii="Tahoma" w:hAnsi="Tahoma" w:cs="Tahoma"/>
                <w:sz w:val="18"/>
                <w:szCs w:val="18"/>
                <w:lang w:val="en-US"/>
              </w:rPr>
              <w:t>decrease</w:t>
            </w:r>
            <w:r w:rsidRPr="0099070D">
              <w:rPr>
                <w:rFonts w:ascii="Tahoma" w:hAnsi="Tahoma" w:cs="Tahoma"/>
                <w:sz w:val="18"/>
                <w:szCs w:val="18"/>
              </w:rPr>
              <w:t xml:space="preserve"> by </w:t>
            </w:r>
            <w:r w:rsidR="008A48E6" w:rsidRPr="0099070D">
              <w:rPr>
                <w:rFonts w:ascii="Tahoma" w:hAnsi="Tahoma" w:cs="Tahoma"/>
                <w:sz w:val="18"/>
                <w:szCs w:val="18"/>
              </w:rPr>
              <w:t>5.</w:t>
            </w:r>
            <w:r w:rsidR="00F0494B" w:rsidRPr="0099070D">
              <w:rPr>
                <w:rFonts w:ascii="Tahoma" w:hAnsi="Tahoma" w:cs="Tahoma"/>
                <w:sz w:val="18"/>
                <w:szCs w:val="18"/>
              </w:rPr>
              <w:t>1</w:t>
            </w:r>
            <w:r w:rsidRPr="0099070D">
              <w:rPr>
                <w:rFonts w:ascii="Tahoma" w:hAnsi="Tahoma" w:cs="Tahoma"/>
                <w:sz w:val="18"/>
                <w:szCs w:val="18"/>
              </w:rPr>
              <w:t xml:space="preserve">% and imports </w:t>
            </w:r>
            <w:r w:rsidR="00F0494B" w:rsidRPr="0099070D">
              <w:rPr>
                <w:rFonts w:ascii="Tahoma" w:hAnsi="Tahoma" w:cs="Tahoma"/>
                <w:sz w:val="18"/>
                <w:szCs w:val="18"/>
              </w:rPr>
              <w:t xml:space="preserve">decrease </w:t>
            </w:r>
            <w:r w:rsidRPr="0099070D">
              <w:rPr>
                <w:rFonts w:ascii="Tahoma" w:hAnsi="Tahoma" w:cs="Tahoma"/>
                <w:sz w:val="18"/>
                <w:szCs w:val="18"/>
              </w:rPr>
              <w:t xml:space="preserve">by </w:t>
            </w:r>
            <w:r w:rsidR="0099070D" w:rsidRPr="0099070D">
              <w:rPr>
                <w:rFonts w:ascii="Tahoma" w:hAnsi="Tahoma" w:cs="Tahoma"/>
                <w:sz w:val="18"/>
                <w:szCs w:val="18"/>
              </w:rPr>
              <w:t>7.5</w:t>
            </w:r>
            <w:r w:rsidRPr="0099070D">
              <w:rPr>
                <w:rFonts w:ascii="Tahoma" w:hAnsi="Tahoma" w:cs="Tahoma"/>
                <w:sz w:val="18"/>
                <w:szCs w:val="18"/>
              </w:rPr>
              <w:t xml:space="preserve">%, calculated/expressed in USD. Seasonally adjusted index </w:t>
            </w:r>
            <w:r w:rsidR="00F0494B" w:rsidRPr="0099070D">
              <w:rPr>
                <w:rFonts w:ascii="Tahoma" w:hAnsi="Tahoma" w:cs="Tahoma"/>
                <w:sz w:val="18"/>
                <w:szCs w:val="18"/>
              </w:rPr>
              <w:t>May</w:t>
            </w:r>
            <w:r w:rsidRPr="0099070D">
              <w:rPr>
                <w:rFonts w:ascii="Tahoma" w:hAnsi="Tahoma" w:cs="Tahoma"/>
                <w:sz w:val="18"/>
                <w:szCs w:val="18"/>
              </w:rPr>
              <w:t xml:space="preserve"> 2026/ </w:t>
            </w:r>
            <w:r w:rsidR="00F0494B" w:rsidRPr="0099070D">
              <w:rPr>
                <w:rFonts w:ascii="Tahoma" w:hAnsi="Tahoma" w:cs="Tahoma"/>
                <w:sz w:val="18"/>
                <w:szCs w:val="18"/>
              </w:rPr>
              <w:t>April</w:t>
            </w:r>
            <w:r w:rsidR="009F3963" w:rsidRPr="0099070D">
              <w:rPr>
                <w:rFonts w:ascii="Tahoma" w:hAnsi="Tahoma" w:cs="Tahoma"/>
                <w:sz w:val="18"/>
                <w:szCs w:val="18"/>
              </w:rPr>
              <w:t xml:space="preserve"> </w:t>
            </w:r>
            <w:r w:rsidRPr="0099070D">
              <w:rPr>
                <w:rFonts w:ascii="Tahoma" w:hAnsi="Tahoma" w:cs="Tahoma"/>
                <w:sz w:val="18"/>
                <w:szCs w:val="18"/>
              </w:rPr>
              <w:t>202</w:t>
            </w:r>
            <w:r w:rsidR="00C2422A" w:rsidRPr="0099070D">
              <w:rPr>
                <w:rFonts w:ascii="Tahoma" w:hAnsi="Tahoma" w:cs="Tahoma"/>
                <w:sz w:val="18"/>
                <w:szCs w:val="18"/>
              </w:rPr>
              <w:t>6</w:t>
            </w:r>
            <w:r w:rsidRPr="0099070D">
              <w:rPr>
                <w:rFonts w:ascii="Tahoma" w:hAnsi="Tahoma" w:cs="Tahoma"/>
                <w:sz w:val="18"/>
                <w:szCs w:val="18"/>
              </w:rPr>
              <w:t xml:space="preserve">, expressed in EUR, shows that exports </w:t>
            </w:r>
            <w:r w:rsidR="008A48E6" w:rsidRPr="0099070D">
              <w:rPr>
                <w:rFonts w:ascii="Tahoma" w:hAnsi="Tahoma" w:cs="Tahoma"/>
                <w:sz w:val="18"/>
                <w:szCs w:val="18"/>
              </w:rPr>
              <w:t>de</w:t>
            </w:r>
            <w:r w:rsidRPr="0099070D">
              <w:rPr>
                <w:rFonts w:ascii="Tahoma" w:hAnsi="Tahoma" w:cs="Tahoma"/>
                <w:sz w:val="18"/>
                <w:szCs w:val="18"/>
              </w:rPr>
              <w:t xml:space="preserve">crease by </w:t>
            </w:r>
            <w:r w:rsidR="008A48E6" w:rsidRPr="0099070D">
              <w:rPr>
                <w:rFonts w:ascii="Tahoma" w:hAnsi="Tahoma" w:cs="Tahoma"/>
                <w:sz w:val="18"/>
                <w:szCs w:val="18"/>
              </w:rPr>
              <w:t>5.</w:t>
            </w:r>
            <w:r w:rsidR="0099070D" w:rsidRPr="0099070D">
              <w:rPr>
                <w:rFonts w:ascii="Tahoma" w:hAnsi="Tahoma" w:cs="Tahoma"/>
                <w:sz w:val="18"/>
                <w:szCs w:val="18"/>
              </w:rPr>
              <w:t>0</w:t>
            </w:r>
            <w:r w:rsidRPr="0099070D">
              <w:rPr>
                <w:rFonts w:ascii="Tahoma" w:hAnsi="Tahoma" w:cs="Tahoma"/>
                <w:sz w:val="18"/>
                <w:szCs w:val="18"/>
              </w:rPr>
              <w:t>% and imports</w:t>
            </w:r>
            <w:r w:rsidR="008A48E6" w:rsidRPr="0099070D">
              <w:rPr>
                <w:rFonts w:ascii="Tahoma" w:hAnsi="Tahoma" w:cs="Tahoma"/>
                <w:sz w:val="18"/>
                <w:szCs w:val="18"/>
              </w:rPr>
              <w:t xml:space="preserve"> decrease by </w:t>
            </w:r>
            <w:r w:rsidR="0099070D" w:rsidRPr="0099070D">
              <w:rPr>
                <w:rFonts w:ascii="Tahoma" w:hAnsi="Tahoma" w:cs="Tahoma"/>
                <w:sz w:val="18"/>
                <w:szCs w:val="18"/>
              </w:rPr>
              <w:t>8.1</w:t>
            </w:r>
            <w:r w:rsidR="0087073D" w:rsidRPr="0099070D">
              <w:rPr>
                <w:rFonts w:ascii="Tahoma" w:hAnsi="Tahoma" w:cs="Tahoma"/>
                <w:sz w:val="18"/>
                <w:szCs w:val="18"/>
              </w:rPr>
              <w:t>%</w:t>
            </w:r>
            <w:r w:rsidRPr="0099070D">
              <w:rPr>
                <w:rFonts w:ascii="Tahoma" w:hAnsi="Tahoma" w:cs="Tahoma"/>
                <w:sz w:val="18"/>
                <w:szCs w:val="18"/>
              </w:rPr>
              <w:t>. </w:t>
            </w:r>
          </w:p>
          <w:p w14:paraId="3BAB0BF9" w14:textId="77777777" w:rsidR="00E131C6" w:rsidRDefault="00E131C6" w:rsidP="00FB3DD1">
            <w:pPr>
              <w:jc w:val="both"/>
              <w:rPr>
                <w:rFonts w:ascii="Tahoma" w:hAnsi="Tahoma" w:cs="Tahoma"/>
                <w:color w:val="EE0000"/>
                <w:sz w:val="18"/>
                <w:szCs w:val="18"/>
              </w:rPr>
            </w:pPr>
          </w:p>
          <w:p w14:paraId="7E1A30CD" w14:textId="7A5E6A7B" w:rsidR="00042B1D" w:rsidRPr="00E3260D" w:rsidRDefault="00042B1D" w:rsidP="00042B1D">
            <w:pPr>
              <w:tabs>
                <w:tab w:val="center" w:pos="7797"/>
              </w:tabs>
              <w:jc w:val="both"/>
              <w:rPr>
                <w:rFonts w:ascii="Tahoma" w:hAnsi="Tahoma" w:cs="Tahoma"/>
                <w:sz w:val="18"/>
                <w:szCs w:val="18"/>
              </w:rPr>
            </w:pPr>
            <w:r w:rsidRPr="00E3260D">
              <w:rPr>
                <w:rFonts w:ascii="Tahoma" w:hAnsi="Tahoma" w:cs="Tahoma"/>
                <w:sz w:val="18"/>
                <w:szCs w:val="18"/>
              </w:rPr>
              <w:lastRenderedPageBreak/>
              <w:t xml:space="preserve">According to the Nomenclature of the External Trade Statistics (NETS), </w:t>
            </w:r>
            <w:r w:rsidR="00D9300C">
              <w:rPr>
                <w:rFonts w:ascii="Tahoma" w:hAnsi="Tahoma" w:cs="Tahoma"/>
                <w:b/>
                <w:sz w:val="18"/>
                <w:szCs w:val="18"/>
              </w:rPr>
              <w:t>May</w:t>
            </w:r>
            <w:r w:rsidRPr="00E3260D">
              <w:rPr>
                <w:rFonts w:ascii="Tahoma" w:hAnsi="Tahoma" w:cs="Tahoma"/>
                <w:b/>
                <w:sz w:val="18"/>
                <w:szCs w:val="18"/>
              </w:rPr>
              <w:t xml:space="preserve"> </w:t>
            </w:r>
            <w:r w:rsidRPr="00E3260D">
              <w:rPr>
                <w:rFonts w:ascii="Tahoma" w:hAnsi="Tahoma" w:cs="Tahoma"/>
                <w:sz w:val="18"/>
                <w:szCs w:val="18"/>
              </w:rPr>
              <w:t xml:space="preserve">list is as follows: </w:t>
            </w:r>
          </w:p>
          <w:p w14:paraId="4DCF205B" w14:textId="77777777" w:rsidR="00042B1D" w:rsidRPr="00E3260D" w:rsidRDefault="00042B1D" w:rsidP="00042B1D">
            <w:pPr>
              <w:tabs>
                <w:tab w:val="center" w:pos="7797"/>
              </w:tabs>
              <w:jc w:val="both"/>
              <w:rPr>
                <w:rFonts w:ascii="Tahoma" w:hAnsi="Tahoma" w:cs="Tahoma"/>
                <w:sz w:val="18"/>
                <w:szCs w:val="18"/>
              </w:rPr>
            </w:pPr>
          </w:p>
          <w:p w14:paraId="1E1934E1" w14:textId="4D9F858B" w:rsidR="00042B1D" w:rsidRPr="00E3260D" w:rsidRDefault="00042B1D" w:rsidP="00042B1D">
            <w:pPr>
              <w:tabs>
                <w:tab w:val="center" w:pos="0"/>
              </w:tabs>
              <w:jc w:val="both"/>
              <w:rPr>
                <w:rFonts w:ascii="Tahoma" w:hAnsi="Tahoma" w:cs="Tahoma"/>
                <w:iCs/>
                <w:color w:val="EE0000"/>
                <w:sz w:val="18"/>
                <w:szCs w:val="18"/>
              </w:rPr>
            </w:pPr>
            <w:r w:rsidRPr="00E3260D">
              <w:rPr>
                <w:rFonts w:ascii="Tahoma" w:hAnsi="Tahoma" w:cs="Tahoma"/>
                <w:sz w:val="18"/>
                <w:szCs w:val="18"/>
              </w:rPr>
              <w:t xml:space="preserve">On the list of the first 5 products in </w:t>
            </w:r>
            <w:r w:rsidRPr="00E3260D">
              <w:rPr>
                <w:rFonts w:ascii="Tahoma" w:hAnsi="Tahoma" w:cs="Tahoma"/>
                <w:b/>
                <w:sz w:val="18"/>
                <w:szCs w:val="18"/>
              </w:rPr>
              <w:t>exports</w:t>
            </w:r>
            <w:r w:rsidRPr="00E3260D">
              <w:rPr>
                <w:rFonts w:ascii="Tahoma" w:hAnsi="Tahoma" w:cs="Tahoma"/>
                <w:sz w:val="18"/>
                <w:szCs w:val="18"/>
              </w:rPr>
              <w:t>, the first item refers to</w:t>
            </w:r>
            <w:r w:rsidR="007F25FF" w:rsidRPr="00E3260D">
              <w:rPr>
                <w:rFonts w:ascii="Tahoma" w:hAnsi="Tahoma" w:cs="Tahoma"/>
                <w:sz w:val="18"/>
                <w:szCs w:val="18"/>
              </w:rPr>
              <w:t xml:space="preserve"> </w:t>
            </w:r>
            <w:r w:rsidR="00D9300C" w:rsidRPr="00E3260D">
              <w:rPr>
                <w:rFonts w:ascii="Tahoma" w:hAnsi="Tahoma" w:cs="Tahoma"/>
                <w:i/>
                <w:sz w:val="18"/>
                <w:szCs w:val="18"/>
              </w:rPr>
              <w:t>ignition wiring sets for vehicles, aircrafts and ships</w:t>
            </w:r>
            <w:r w:rsidR="00D9300C" w:rsidRPr="00E3260D">
              <w:rPr>
                <w:rFonts w:ascii="Tahoma" w:hAnsi="Tahoma" w:cs="Tahoma"/>
                <w:sz w:val="18"/>
                <w:szCs w:val="18"/>
              </w:rPr>
              <w:t xml:space="preserve"> (USD </w:t>
            </w:r>
            <w:r w:rsidR="00D9300C">
              <w:rPr>
                <w:rFonts w:ascii="Tahoma" w:hAnsi="Tahoma" w:cs="Tahoma"/>
                <w:sz w:val="18"/>
                <w:szCs w:val="18"/>
              </w:rPr>
              <w:t>155</w:t>
            </w:r>
            <w:r w:rsidR="00D9300C" w:rsidRPr="00E3260D">
              <w:rPr>
                <w:rFonts w:ascii="Tahoma" w:hAnsi="Tahoma" w:cs="Tahoma"/>
                <w:sz w:val="18"/>
                <w:szCs w:val="18"/>
              </w:rPr>
              <w:t xml:space="preserve"> million)</w:t>
            </w:r>
            <w:r w:rsidR="00D9300C">
              <w:rPr>
                <w:rFonts w:ascii="Tahoma" w:hAnsi="Tahoma" w:cs="Tahoma"/>
                <w:sz w:val="18"/>
                <w:szCs w:val="18"/>
              </w:rPr>
              <w:t xml:space="preserve">, followed by </w:t>
            </w:r>
            <w:r w:rsidR="007F25FF" w:rsidRPr="00E3260D">
              <w:rPr>
                <w:rFonts w:ascii="Tahoma" w:hAnsi="Tahoma" w:cs="Tahoma"/>
                <w:i/>
                <w:sz w:val="18"/>
                <w:szCs w:val="18"/>
              </w:rPr>
              <w:t xml:space="preserve">copper ore and concentrates </w:t>
            </w:r>
            <w:r w:rsidR="007F25FF" w:rsidRPr="00E3260D">
              <w:rPr>
                <w:rFonts w:ascii="Tahoma" w:hAnsi="Tahoma" w:cs="Tahoma"/>
                <w:iCs/>
                <w:sz w:val="18"/>
                <w:szCs w:val="18"/>
              </w:rPr>
              <w:t xml:space="preserve">(USD </w:t>
            </w:r>
            <w:r w:rsidR="002C7ADE" w:rsidRPr="00E3260D">
              <w:rPr>
                <w:rFonts w:ascii="Tahoma" w:hAnsi="Tahoma" w:cs="Tahoma"/>
                <w:iCs/>
                <w:sz w:val="18"/>
                <w:szCs w:val="18"/>
              </w:rPr>
              <w:t>1</w:t>
            </w:r>
            <w:r w:rsidR="00D9300C">
              <w:rPr>
                <w:rFonts w:ascii="Tahoma" w:hAnsi="Tahoma" w:cs="Tahoma"/>
                <w:iCs/>
                <w:sz w:val="18"/>
                <w:szCs w:val="18"/>
              </w:rPr>
              <w:t>50</w:t>
            </w:r>
            <w:r w:rsidR="007F25FF" w:rsidRPr="00E3260D">
              <w:rPr>
                <w:rFonts w:ascii="Tahoma" w:hAnsi="Tahoma" w:cs="Tahoma"/>
                <w:iCs/>
                <w:sz w:val="18"/>
                <w:szCs w:val="18"/>
              </w:rPr>
              <w:t xml:space="preserve"> million);</w:t>
            </w:r>
            <w:r w:rsidR="00CB13A0" w:rsidRPr="00E3260D">
              <w:rPr>
                <w:rFonts w:ascii="Tahoma" w:hAnsi="Tahoma" w:cs="Tahoma"/>
                <w:sz w:val="18"/>
                <w:szCs w:val="18"/>
              </w:rPr>
              <w:t xml:space="preserve"> </w:t>
            </w:r>
            <w:r w:rsidR="00D9300C" w:rsidRPr="00E3260D">
              <w:rPr>
                <w:rFonts w:ascii="Tahoma" w:hAnsi="Tahoma" w:cs="Tahoma"/>
                <w:i/>
                <w:iCs/>
                <w:sz w:val="18"/>
                <w:szCs w:val="18"/>
              </w:rPr>
              <w:t>other</w:t>
            </w:r>
            <w:r w:rsidR="00D9300C" w:rsidRPr="00E3260D">
              <w:rPr>
                <w:rFonts w:ascii="Tahoma" w:hAnsi="Tahoma" w:cs="Tahoma"/>
                <w:sz w:val="18"/>
                <w:szCs w:val="18"/>
              </w:rPr>
              <w:t xml:space="preserve"> </w:t>
            </w:r>
            <w:r w:rsidR="00D9300C" w:rsidRPr="00E3260D">
              <w:rPr>
                <w:rFonts w:ascii="Tahoma" w:hAnsi="Tahoma" w:cs="Tahoma"/>
                <w:i/>
                <w:iCs/>
                <w:sz w:val="18"/>
                <w:szCs w:val="18"/>
              </w:rPr>
              <w:t>motor vehicles for the transport of persons, except buses</w:t>
            </w:r>
            <w:r w:rsidR="00D9300C" w:rsidRPr="00E3260D">
              <w:rPr>
                <w:rFonts w:ascii="Tahoma" w:hAnsi="Tahoma" w:cs="Tahoma"/>
                <w:sz w:val="18"/>
                <w:szCs w:val="18"/>
              </w:rPr>
              <w:t xml:space="preserve"> (USD </w:t>
            </w:r>
            <w:r w:rsidR="00D9300C">
              <w:rPr>
                <w:rFonts w:ascii="Tahoma" w:hAnsi="Tahoma" w:cs="Tahoma"/>
                <w:sz w:val="18"/>
                <w:szCs w:val="18"/>
              </w:rPr>
              <w:t>142</w:t>
            </w:r>
            <w:r w:rsidR="00D9300C" w:rsidRPr="00E3260D">
              <w:rPr>
                <w:rFonts w:ascii="Tahoma" w:hAnsi="Tahoma" w:cs="Tahoma"/>
                <w:sz w:val="18"/>
                <w:szCs w:val="18"/>
              </w:rPr>
              <w:t xml:space="preserve"> million)</w:t>
            </w:r>
            <w:r w:rsidR="00D9300C">
              <w:rPr>
                <w:rFonts w:ascii="Tahoma" w:hAnsi="Tahoma" w:cs="Tahoma"/>
                <w:sz w:val="18"/>
                <w:szCs w:val="18"/>
              </w:rPr>
              <w:t xml:space="preserve"> were third on the lists; followed by </w:t>
            </w:r>
            <w:r w:rsidR="00C2422A" w:rsidRPr="00E3260D">
              <w:rPr>
                <w:rFonts w:ascii="Tahoma" w:hAnsi="Tahoma" w:cs="Tahoma"/>
                <w:i/>
                <w:sz w:val="18"/>
                <w:szCs w:val="18"/>
              </w:rPr>
              <w:t>copper refined</w:t>
            </w:r>
            <w:r w:rsidR="00C2422A" w:rsidRPr="00E3260D">
              <w:rPr>
                <w:rFonts w:ascii="Tahoma" w:hAnsi="Tahoma" w:cs="Tahoma"/>
                <w:sz w:val="18"/>
                <w:szCs w:val="18"/>
              </w:rPr>
              <w:t xml:space="preserve">  (USD </w:t>
            </w:r>
            <w:r w:rsidR="00D9300C">
              <w:rPr>
                <w:rFonts w:ascii="Tahoma" w:hAnsi="Tahoma" w:cs="Tahoma"/>
                <w:sz w:val="18"/>
                <w:szCs w:val="18"/>
              </w:rPr>
              <w:t>133</w:t>
            </w:r>
            <w:r w:rsidR="00C2422A" w:rsidRPr="00E3260D">
              <w:rPr>
                <w:rFonts w:ascii="Tahoma" w:hAnsi="Tahoma" w:cs="Tahoma"/>
                <w:sz w:val="18"/>
                <w:szCs w:val="18"/>
              </w:rPr>
              <w:t xml:space="preserve"> million)</w:t>
            </w:r>
            <w:r w:rsidR="00D7571E">
              <w:rPr>
                <w:rFonts w:ascii="Tahoma" w:hAnsi="Tahoma" w:cs="Tahoma"/>
                <w:sz w:val="18"/>
                <w:szCs w:val="18"/>
              </w:rPr>
              <w:t>;</w:t>
            </w:r>
            <w:r w:rsidR="003C4232" w:rsidRPr="00E3260D">
              <w:rPr>
                <w:rFonts w:ascii="Tahoma" w:hAnsi="Tahoma" w:cs="Tahoma"/>
                <w:i/>
                <w:sz w:val="18"/>
                <w:szCs w:val="18"/>
              </w:rPr>
              <w:t xml:space="preserve"> </w:t>
            </w:r>
            <w:r w:rsidR="0089012F" w:rsidRPr="00E3260D">
              <w:rPr>
                <w:rFonts w:ascii="Tahoma" w:hAnsi="Tahoma" w:cs="Tahoma"/>
                <w:i/>
                <w:sz w:val="18"/>
                <w:szCs w:val="18"/>
              </w:rPr>
              <w:t xml:space="preserve">new tyres for passengers’ cars </w:t>
            </w:r>
            <w:r w:rsidR="0089012F" w:rsidRPr="00E3260D">
              <w:rPr>
                <w:rFonts w:ascii="Tahoma" w:hAnsi="Tahoma" w:cs="Tahoma"/>
                <w:iCs/>
                <w:sz w:val="18"/>
                <w:szCs w:val="18"/>
              </w:rPr>
              <w:t xml:space="preserve">(USD </w:t>
            </w:r>
            <w:r w:rsidR="00D7571E">
              <w:rPr>
                <w:rFonts w:ascii="Tahoma" w:hAnsi="Tahoma" w:cs="Tahoma"/>
                <w:iCs/>
                <w:sz w:val="18"/>
                <w:szCs w:val="18"/>
              </w:rPr>
              <w:t>86</w:t>
            </w:r>
            <w:r w:rsidR="0089012F" w:rsidRPr="00E3260D">
              <w:rPr>
                <w:rFonts w:ascii="Tahoma" w:hAnsi="Tahoma" w:cs="Tahoma"/>
                <w:iCs/>
                <w:sz w:val="18"/>
                <w:szCs w:val="18"/>
              </w:rPr>
              <w:t xml:space="preserve"> million)</w:t>
            </w:r>
            <w:r w:rsidR="0089012F" w:rsidRPr="00E3260D">
              <w:rPr>
                <w:rFonts w:ascii="Tahoma" w:hAnsi="Tahoma" w:cs="Tahoma"/>
                <w:i/>
                <w:sz w:val="18"/>
                <w:szCs w:val="18"/>
              </w:rPr>
              <w:t xml:space="preserve"> </w:t>
            </w:r>
            <w:r w:rsidR="0089012F" w:rsidRPr="00E3260D">
              <w:rPr>
                <w:rFonts w:ascii="Tahoma" w:hAnsi="Tahoma" w:cs="Tahoma"/>
                <w:iCs/>
                <w:sz w:val="18"/>
                <w:szCs w:val="18"/>
              </w:rPr>
              <w:t xml:space="preserve">was the last item in the list. </w:t>
            </w:r>
          </w:p>
          <w:p w14:paraId="67806878" w14:textId="77777777" w:rsidR="00042B1D" w:rsidRPr="00E3260D" w:rsidRDefault="00042B1D" w:rsidP="00042B1D">
            <w:pPr>
              <w:tabs>
                <w:tab w:val="center" w:pos="0"/>
              </w:tabs>
              <w:ind w:right="284"/>
              <w:jc w:val="both"/>
              <w:rPr>
                <w:rFonts w:ascii="Arial" w:hAnsi="Arial" w:cs="Arial"/>
                <w:iCs/>
                <w:sz w:val="18"/>
                <w:szCs w:val="18"/>
              </w:rPr>
            </w:pPr>
          </w:p>
          <w:p w14:paraId="286A8786" w14:textId="0DE5752C" w:rsidR="00C37499" w:rsidRPr="00E3260D" w:rsidRDefault="00D7571E" w:rsidP="00C37499">
            <w:pPr>
              <w:rPr>
                <w:rFonts w:ascii="Tahoma" w:hAnsi="Tahoma" w:cs="Tahoma"/>
                <w:sz w:val="18"/>
                <w:szCs w:val="18"/>
              </w:rPr>
            </w:pPr>
            <w:r>
              <w:rPr>
                <w:rFonts w:ascii="Tahoma" w:hAnsi="Tahoma" w:cs="Tahoma"/>
                <w:b/>
                <w:sz w:val="18"/>
                <w:szCs w:val="18"/>
              </w:rPr>
              <w:t>May</w:t>
            </w:r>
            <w:r w:rsidR="00E3714A" w:rsidRPr="00E3260D">
              <w:rPr>
                <w:rFonts w:ascii="Tahoma" w:hAnsi="Tahoma" w:cs="Tahoma"/>
                <w:b/>
                <w:sz w:val="18"/>
                <w:szCs w:val="18"/>
              </w:rPr>
              <w:t xml:space="preserve"> </w:t>
            </w:r>
            <w:r w:rsidR="009B6C97" w:rsidRPr="00E3260D">
              <w:rPr>
                <w:rFonts w:ascii="Tahoma" w:hAnsi="Tahoma" w:cs="Tahoma"/>
                <w:sz w:val="18"/>
                <w:szCs w:val="18"/>
              </w:rPr>
              <w:t xml:space="preserve">list of the first 5 </w:t>
            </w:r>
            <w:r w:rsidR="009B6C97" w:rsidRPr="00E3260D">
              <w:rPr>
                <w:rFonts w:ascii="Tahoma" w:hAnsi="Tahoma" w:cs="Tahoma"/>
                <w:b/>
                <w:sz w:val="18"/>
                <w:szCs w:val="18"/>
              </w:rPr>
              <w:t>imported</w:t>
            </w:r>
            <w:r w:rsidR="009B6C97" w:rsidRPr="00E3260D">
              <w:rPr>
                <w:rFonts w:ascii="Tahoma" w:hAnsi="Tahoma" w:cs="Tahoma"/>
                <w:sz w:val="18"/>
                <w:szCs w:val="18"/>
              </w:rPr>
              <w:t xml:space="preserve"> products shows that</w:t>
            </w:r>
            <w:r w:rsidR="008471B3" w:rsidRPr="00E3260D">
              <w:rPr>
                <w:rFonts w:ascii="Tahoma" w:hAnsi="Tahoma" w:cs="Tahoma"/>
                <w:sz w:val="18"/>
                <w:szCs w:val="18"/>
              </w:rPr>
              <w:t xml:space="preserve"> </w:t>
            </w:r>
            <w:r w:rsidRPr="00E3260D">
              <w:rPr>
                <w:rFonts w:ascii="Tahoma" w:hAnsi="Tahoma" w:cs="Tahoma"/>
                <w:i/>
                <w:iCs/>
                <w:sz w:val="18"/>
                <w:szCs w:val="18"/>
              </w:rPr>
              <w:t>r</w:t>
            </w:r>
            <w:r w:rsidRPr="00E3260D">
              <w:rPr>
                <w:rFonts w:ascii="Tahoma" w:hAnsi="Tahoma" w:cs="Tahoma"/>
                <w:i/>
                <w:sz w:val="18"/>
                <w:szCs w:val="18"/>
              </w:rPr>
              <w:t>etail trade medicaments</w:t>
            </w:r>
            <w:r w:rsidRPr="00E3260D">
              <w:rPr>
                <w:rFonts w:ascii="Tahoma" w:hAnsi="Tahoma" w:cs="Tahoma"/>
                <w:sz w:val="18"/>
                <w:szCs w:val="18"/>
              </w:rPr>
              <w:t xml:space="preserve"> (USD 1</w:t>
            </w:r>
            <w:r>
              <w:rPr>
                <w:rFonts w:ascii="Tahoma" w:hAnsi="Tahoma" w:cs="Tahoma"/>
                <w:sz w:val="18"/>
                <w:szCs w:val="18"/>
              </w:rPr>
              <w:t>47</w:t>
            </w:r>
            <w:r w:rsidRPr="00E3260D">
              <w:rPr>
                <w:rFonts w:ascii="Tahoma" w:hAnsi="Tahoma" w:cs="Tahoma"/>
                <w:sz w:val="18"/>
                <w:szCs w:val="18"/>
              </w:rPr>
              <w:t xml:space="preserve"> million)</w:t>
            </w:r>
            <w:r>
              <w:rPr>
                <w:rFonts w:ascii="Tahoma" w:hAnsi="Tahoma" w:cs="Tahoma"/>
                <w:sz w:val="18"/>
                <w:szCs w:val="18"/>
              </w:rPr>
              <w:t xml:space="preserve"> were the first imported products, followed by </w:t>
            </w:r>
            <w:r w:rsidR="00697B78" w:rsidRPr="00E3260D">
              <w:rPr>
                <w:rFonts w:ascii="Tahoma" w:hAnsi="Tahoma" w:cs="Tahoma"/>
                <w:i/>
                <w:iCs/>
                <w:sz w:val="18"/>
                <w:szCs w:val="18"/>
              </w:rPr>
              <w:t>crude oil and oils</w:t>
            </w:r>
            <w:r w:rsidR="006D1E24" w:rsidRPr="00E3260D">
              <w:rPr>
                <w:rFonts w:ascii="Tahoma" w:hAnsi="Tahoma" w:cs="Tahoma"/>
                <w:i/>
                <w:iCs/>
                <w:sz w:val="18"/>
                <w:szCs w:val="18"/>
              </w:rPr>
              <w:t xml:space="preserve"> </w:t>
            </w:r>
            <w:r w:rsidR="00697B78" w:rsidRPr="00E3260D">
              <w:rPr>
                <w:rFonts w:ascii="Tahoma" w:hAnsi="Tahoma" w:cs="Tahoma"/>
                <w:i/>
                <w:iCs/>
                <w:sz w:val="18"/>
                <w:szCs w:val="18"/>
              </w:rPr>
              <w:t>of bituminous minerals</w:t>
            </w:r>
            <w:r w:rsidR="006D1E24" w:rsidRPr="00E3260D">
              <w:rPr>
                <w:rFonts w:ascii="Tahoma" w:hAnsi="Tahoma" w:cs="Tahoma"/>
                <w:i/>
                <w:iCs/>
                <w:sz w:val="18"/>
                <w:szCs w:val="18"/>
              </w:rPr>
              <w:t xml:space="preserve"> </w:t>
            </w:r>
            <w:r w:rsidR="00070EC0" w:rsidRPr="00070EC0">
              <w:rPr>
                <w:rFonts w:ascii="Tahoma" w:hAnsi="Tahoma" w:cs="Tahoma"/>
                <w:sz w:val="18"/>
                <w:szCs w:val="18"/>
              </w:rPr>
              <w:t>(</w:t>
            </w:r>
            <w:r w:rsidR="006D1E24" w:rsidRPr="00E3260D">
              <w:rPr>
                <w:rFonts w:ascii="Tahoma" w:hAnsi="Tahoma" w:cs="Tahoma"/>
                <w:sz w:val="18"/>
                <w:szCs w:val="18"/>
              </w:rPr>
              <w:t xml:space="preserve">USD </w:t>
            </w:r>
            <w:r>
              <w:rPr>
                <w:rFonts w:ascii="Tahoma" w:hAnsi="Tahoma" w:cs="Tahoma"/>
                <w:sz w:val="18"/>
                <w:szCs w:val="18"/>
              </w:rPr>
              <w:t>142</w:t>
            </w:r>
            <w:r w:rsidR="006D1E24" w:rsidRPr="00E3260D">
              <w:rPr>
                <w:rFonts w:ascii="Tahoma" w:hAnsi="Tahoma" w:cs="Tahoma"/>
                <w:sz w:val="18"/>
                <w:szCs w:val="18"/>
              </w:rPr>
              <w:t xml:space="preserve"> million</w:t>
            </w:r>
            <w:r>
              <w:rPr>
                <w:rFonts w:ascii="Tahoma" w:hAnsi="Tahoma" w:cs="Tahoma"/>
                <w:sz w:val="18"/>
                <w:szCs w:val="18"/>
              </w:rPr>
              <w:t>),</w:t>
            </w:r>
            <w:r w:rsidR="006D1E24" w:rsidRPr="00E3260D">
              <w:rPr>
                <w:rFonts w:ascii="Tahoma" w:hAnsi="Tahoma" w:cs="Tahoma"/>
                <w:sz w:val="18"/>
                <w:szCs w:val="18"/>
              </w:rPr>
              <w:t xml:space="preserve"> </w:t>
            </w:r>
            <w:r w:rsidR="00697B78" w:rsidRPr="00E3260D">
              <w:rPr>
                <w:rFonts w:ascii="Tahoma" w:hAnsi="Tahoma" w:cs="Tahoma"/>
                <w:i/>
                <w:iCs/>
                <w:sz w:val="18"/>
                <w:szCs w:val="18"/>
              </w:rPr>
              <w:t>natural gas in gaseous state</w:t>
            </w:r>
            <w:r w:rsidR="0089012F" w:rsidRPr="00E3260D">
              <w:rPr>
                <w:rFonts w:ascii="Tahoma" w:hAnsi="Tahoma" w:cs="Tahoma"/>
                <w:sz w:val="18"/>
                <w:szCs w:val="18"/>
              </w:rPr>
              <w:t xml:space="preserve"> (USD </w:t>
            </w:r>
            <w:r>
              <w:rPr>
                <w:rFonts w:ascii="Tahoma" w:hAnsi="Tahoma" w:cs="Tahoma"/>
                <w:sz w:val="18"/>
                <w:szCs w:val="18"/>
              </w:rPr>
              <w:t>60</w:t>
            </w:r>
            <w:r w:rsidR="0089012F" w:rsidRPr="00E3260D">
              <w:rPr>
                <w:rFonts w:ascii="Tahoma" w:hAnsi="Tahoma" w:cs="Tahoma"/>
                <w:sz w:val="18"/>
                <w:szCs w:val="18"/>
              </w:rPr>
              <w:t xml:space="preserve"> million) was the third on the list, followed by </w:t>
            </w:r>
            <w:r>
              <w:rPr>
                <w:rFonts w:ascii="Tahoma" w:hAnsi="Tahoma" w:cs="Tahoma"/>
                <w:i/>
                <w:iCs/>
                <w:sz w:val="18"/>
                <w:szCs w:val="18"/>
              </w:rPr>
              <w:t>electricity</w:t>
            </w:r>
            <w:r w:rsidR="007F25FF" w:rsidRPr="00E3260D">
              <w:rPr>
                <w:rFonts w:ascii="Tahoma" w:hAnsi="Tahoma" w:cs="Tahoma"/>
                <w:sz w:val="18"/>
                <w:szCs w:val="18"/>
              </w:rPr>
              <w:t xml:space="preserve"> (USD </w:t>
            </w:r>
            <w:r w:rsidR="002C7ADE" w:rsidRPr="00E3260D">
              <w:rPr>
                <w:rFonts w:ascii="Tahoma" w:hAnsi="Tahoma" w:cs="Tahoma"/>
                <w:sz w:val="18"/>
                <w:szCs w:val="18"/>
              </w:rPr>
              <w:t>59</w:t>
            </w:r>
            <w:r w:rsidR="007F25FF" w:rsidRPr="00E3260D">
              <w:rPr>
                <w:rFonts w:ascii="Tahoma" w:hAnsi="Tahoma" w:cs="Tahoma"/>
                <w:sz w:val="18"/>
                <w:szCs w:val="18"/>
              </w:rPr>
              <w:t xml:space="preserve"> million);</w:t>
            </w:r>
            <w:r w:rsidR="002C7ADE" w:rsidRPr="00E3260D">
              <w:rPr>
                <w:rFonts w:ascii="Tahoma" w:hAnsi="Tahoma" w:cs="Tahoma"/>
                <w:sz w:val="18"/>
                <w:szCs w:val="18"/>
              </w:rPr>
              <w:t xml:space="preserve"> </w:t>
            </w:r>
            <w:r>
              <w:rPr>
                <w:rFonts w:ascii="Tahoma" w:hAnsi="Tahoma" w:cs="Tahoma"/>
                <w:i/>
                <w:iCs/>
                <w:sz w:val="18"/>
                <w:szCs w:val="18"/>
              </w:rPr>
              <w:t xml:space="preserve">other parts and accessories for motor vehicles </w:t>
            </w:r>
            <w:r w:rsidR="0089012F" w:rsidRPr="00E3260D">
              <w:rPr>
                <w:rFonts w:ascii="Tahoma" w:hAnsi="Tahoma" w:cs="Tahoma"/>
                <w:sz w:val="18"/>
                <w:szCs w:val="18"/>
              </w:rPr>
              <w:t>w</w:t>
            </w:r>
            <w:r>
              <w:rPr>
                <w:rFonts w:ascii="Tahoma" w:hAnsi="Tahoma" w:cs="Tahoma"/>
                <w:sz w:val="18"/>
                <w:szCs w:val="18"/>
              </w:rPr>
              <w:t>ere</w:t>
            </w:r>
            <w:r w:rsidR="0089012F" w:rsidRPr="00E3260D">
              <w:rPr>
                <w:rFonts w:ascii="Tahoma" w:hAnsi="Tahoma" w:cs="Tahoma"/>
                <w:sz w:val="18"/>
                <w:szCs w:val="18"/>
              </w:rPr>
              <w:t xml:space="preserve"> the last on the list, with the value of USD </w:t>
            </w:r>
            <w:r>
              <w:rPr>
                <w:rFonts w:ascii="Tahoma" w:hAnsi="Tahoma" w:cs="Tahoma"/>
                <w:sz w:val="18"/>
                <w:szCs w:val="18"/>
              </w:rPr>
              <w:t>48</w:t>
            </w:r>
            <w:r w:rsidR="0089012F" w:rsidRPr="00E3260D">
              <w:rPr>
                <w:rFonts w:ascii="Tahoma" w:hAnsi="Tahoma" w:cs="Tahoma"/>
                <w:sz w:val="18"/>
                <w:szCs w:val="18"/>
              </w:rPr>
              <w:t xml:space="preserve"> million.</w:t>
            </w:r>
            <w:r w:rsidR="008471B3" w:rsidRPr="00E3260D">
              <w:rPr>
                <w:rFonts w:ascii="Tahoma" w:hAnsi="Tahoma" w:cs="Tahoma"/>
                <w:sz w:val="18"/>
                <w:szCs w:val="18"/>
              </w:rPr>
              <w:t xml:space="preserve"> </w:t>
            </w:r>
            <w:r w:rsidR="008471B3" w:rsidRPr="00E3260D">
              <w:rPr>
                <w:rFonts w:ascii="Tahoma" w:hAnsi="Tahoma" w:cs="Tahoma"/>
                <w:i/>
                <w:iCs/>
                <w:sz w:val="18"/>
                <w:szCs w:val="18"/>
              </w:rPr>
              <w:t xml:space="preserve"> </w:t>
            </w:r>
            <w:r w:rsidR="00382EEE" w:rsidRPr="00E3260D">
              <w:rPr>
                <w:rFonts w:ascii="Tahoma" w:hAnsi="Tahoma" w:cs="Tahoma"/>
                <w:sz w:val="18"/>
                <w:szCs w:val="18"/>
              </w:rPr>
              <w:t xml:space="preserve"> </w:t>
            </w:r>
          </w:p>
          <w:p w14:paraId="5869B0DC" w14:textId="77777777" w:rsidR="0089012F" w:rsidRPr="00E3260D" w:rsidRDefault="0089012F" w:rsidP="005E1BA9">
            <w:pPr>
              <w:tabs>
                <w:tab w:val="center" w:pos="0"/>
              </w:tabs>
              <w:jc w:val="both"/>
              <w:rPr>
                <w:rFonts w:ascii="Tahoma" w:hAnsi="Tahoma" w:cs="Tahoma"/>
                <w:sz w:val="18"/>
                <w:szCs w:val="18"/>
              </w:rPr>
            </w:pPr>
          </w:p>
          <w:p w14:paraId="05B50836" w14:textId="35FA24FC" w:rsidR="005E1BA9" w:rsidRPr="00E3260D" w:rsidRDefault="005E1BA9" w:rsidP="005E1BA9">
            <w:pPr>
              <w:tabs>
                <w:tab w:val="center" w:pos="0"/>
              </w:tabs>
              <w:jc w:val="both"/>
              <w:rPr>
                <w:rFonts w:ascii="Tahoma" w:hAnsi="Tahoma" w:cs="Tahoma"/>
                <w:sz w:val="18"/>
                <w:szCs w:val="18"/>
              </w:rPr>
            </w:pPr>
            <w:r w:rsidRPr="00E3260D">
              <w:rPr>
                <w:rFonts w:ascii="Tahoma" w:hAnsi="Tahoma" w:cs="Tahoma"/>
                <w:sz w:val="18"/>
                <w:szCs w:val="18"/>
              </w:rPr>
              <w:t xml:space="preserve">Starting from 1999 the Statistical Office of the Republic of Serbia has not at disposal and may not provide available certain data relative to AP Kosovo and Metohija, and therefore these data are not included in the coverage for the Republic of Serbia (total). </w:t>
            </w:r>
          </w:p>
          <w:p w14:paraId="0D08A011" w14:textId="77777777" w:rsidR="00415AA4" w:rsidRPr="00E3260D" w:rsidRDefault="00415AA4" w:rsidP="00C6339C">
            <w:pPr>
              <w:tabs>
                <w:tab w:val="center" w:pos="0"/>
              </w:tabs>
              <w:jc w:val="both"/>
              <w:rPr>
                <w:rFonts w:ascii="Tahoma" w:hAnsi="Tahoma" w:cs="Tahoma"/>
                <w:i/>
                <w:sz w:val="18"/>
                <w:szCs w:val="18"/>
              </w:rPr>
            </w:pPr>
          </w:p>
          <w:p w14:paraId="5DD752CB" w14:textId="77777777" w:rsidR="009944F6" w:rsidRPr="00E3260D" w:rsidRDefault="009944F6" w:rsidP="00F260EC">
            <w:pPr>
              <w:tabs>
                <w:tab w:val="center" w:pos="0"/>
              </w:tabs>
              <w:jc w:val="both"/>
              <w:rPr>
                <w:rFonts w:ascii="Arial" w:hAnsi="Arial" w:cs="Arial"/>
                <w:i/>
                <w:color w:val="FF0000"/>
                <w:sz w:val="18"/>
                <w:szCs w:val="18"/>
              </w:rPr>
            </w:pPr>
          </w:p>
          <w:p w14:paraId="2DC6C9B9" w14:textId="77777777" w:rsidR="009944F6" w:rsidRPr="00E3260D" w:rsidRDefault="009944F6" w:rsidP="00F260EC">
            <w:pPr>
              <w:tabs>
                <w:tab w:val="center" w:pos="0"/>
              </w:tabs>
              <w:jc w:val="both"/>
              <w:rPr>
                <w:rFonts w:ascii="Arial" w:hAnsi="Arial" w:cs="Arial"/>
                <w:i/>
                <w:color w:val="FF0000"/>
                <w:sz w:val="18"/>
                <w:szCs w:val="18"/>
              </w:rPr>
            </w:pPr>
          </w:p>
          <w:p w14:paraId="29A0CFD3" w14:textId="77777777" w:rsidR="009944F6" w:rsidRPr="00E3260D" w:rsidRDefault="009944F6" w:rsidP="00F260EC">
            <w:pPr>
              <w:tabs>
                <w:tab w:val="center" w:pos="0"/>
              </w:tabs>
              <w:jc w:val="both"/>
              <w:rPr>
                <w:rFonts w:ascii="Arial" w:hAnsi="Arial" w:cs="Arial"/>
                <w:i/>
                <w:color w:val="FF0000"/>
                <w:sz w:val="18"/>
                <w:szCs w:val="18"/>
              </w:rPr>
            </w:pPr>
          </w:p>
          <w:p w14:paraId="6C359D91" w14:textId="77777777" w:rsidR="009944F6" w:rsidRPr="00E3260D" w:rsidRDefault="009944F6" w:rsidP="00F260EC">
            <w:pPr>
              <w:tabs>
                <w:tab w:val="center" w:pos="0"/>
              </w:tabs>
              <w:jc w:val="both"/>
              <w:rPr>
                <w:rFonts w:ascii="Arial" w:hAnsi="Arial" w:cs="Arial"/>
                <w:i/>
                <w:color w:val="FF0000"/>
                <w:sz w:val="18"/>
                <w:szCs w:val="18"/>
              </w:rPr>
            </w:pPr>
          </w:p>
          <w:p w14:paraId="47F713B3" w14:textId="77777777" w:rsidR="009944F6" w:rsidRPr="00E3260D" w:rsidRDefault="009944F6" w:rsidP="00F260EC">
            <w:pPr>
              <w:tabs>
                <w:tab w:val="center" w:pos="0"/>
              </w:tabs>
              <w:jc w:val="both"/>
              <w:rPr>
                <w:rFonts w:ascii="Arial" w:hAnsi="Arial" w:cs="Arial"/>
                <w:i/>
                <w:color w:val="FF0000"/>
                <w:sz w:val="18"/>
                <w:szCs w:val="18"/>
              </w:rPr>
            </w:pPr>
          </w:p>
          <w:p w14:paraId="71783096" w14:textId="77777777" w:rsidR="009944F6" w:rsidRPr="00E3260D" w:rsidRDefault="009944F6" w:rsidP="00F260EC">
            <w:pPr>
              <w:tabs>
                <w:tab w:val="center" w:pos="0"/>
              </w:tabs>
              <w:jc w:val="both"/>
              <w:rPr>
                <w:rFonts w:ascii="Arial" w:hAnsi="Arial" w:cs="Arial"/>
                <w:i/>
                <w:color w:val="FF0000"/>
                <w:sz w:val="18"/>
                <w:szCs w:val="18"/>
              </w:rPr>
            </w:pPr>
          </w:p>
          <w:p w14:paraId="5DEEC0AB" w14:textId="77777777" w:rsidR="009944F6" w:rsidRPr="00E3260D" w:rsidRDefault="009944F6" w:rsidP="00F260EC">
            <w:pPr>
              <w:tabs>
                <w:tab w:val="center" w:pos="0"/>
              </w:tabs>
              <w:jc w:val="both"/>
              <w:rPr>
                <w:rFonts w:ascii="Arial" w:hAnsi="Arial" w:cs="Arial"/>
                <w:i/>
                <w:color w:val="FF0000"/>
                <w:sz w:val="18"/>
                <w:szCs w:val="18"/>
              </w:rPr>
            </w:pPr>
          </w:p>
          <w:p w14:paraId="748CAA8F" w14:textId="77777777" w:rsidR="009944F6" w:rsidRPr="00E3260D" w:rsidRDefault="009944F6" w:rsidP="00F260EC">
            <w:pPr>
              <w:tabs>
                <w:tab w:val="center" w:pos="0"/>
              </w:tabs>
              <w:jc w:val="both"/>
              <w:rPr>
                <w:rFonts w:ascii="Arial" w:hAnsi="Arial" w:cs="Arial"/>
                <w:i/>
                <w:color w:val="FF0000"/>
                <w:sz w:val="18"/>
                <w:szCs w:val="18"/>
              </w:rPr>
            </w:pPr>
          </w:p>
          <w:p w14:paraId="43DC4580" w14:textId="77777777" w:rsidR="009944F6" w:rsidRPr="00E3260D" w:rsidRDefault="009944F6" w:rsidP="00F260EC">
            <w:pPr>
              <w:tabs>
                <w:tab w:val="center" w:pos="0"/>
              </w:tabs>
              <w:jc w:val="both"/>
              <w:rPr>
                <w:rFonts w:ascii="Arial" w:hAnsi="Arial" w:cs="Arial"/>
                <w:i/>
                <w:color w:val="FF0000"/>
                <w:sz w:val="18"/>
                <w:szCs w:val="18"/>
              </w:rPr>
            </w:pPr>
          </w:p>
          <w:p w14:paraId="184E961A" w14:textId="77777777" w:rsidR="009944F6" w:rsidRPr="00E3260D" w:rsidRDefault="009944F6" w:rsidP="00F260EC">
            <w:pPr>
              <w:tabs>
                <w:tab w:val="center" w:pos="0"/>
              </w:tabs>
              <w:jc w:val="both"/>
              <w:rPr>
                <w:rFonts w:ascii="Arial" w:hAnsi="Arial" w:cs="Arial"/>
                <w:i/>
                <w:color w:val="FF0000"/>
                <w:sz w:val="18"/>
                <w:szCs w:val="18"/>
              </w:rPr>
            </w:pPr>
          </w:p>
          <w:p w14:paraId="5A53E791" w14:textId="77777777" w:rsidR="00C33366" w:rsidRPr="00E3260D" w:rsidRDefault="00C33366" w:rsidP="00F260EC">
            <w:pPr>
              <w:tabs>
                <w:tab w:val="center" w:pos="0"/>
              </w:tabs>
              <w:jc w:val="both"/>
              <w:rPr>
                <w:rFonts w:ascii="Tahoma" w:hAnsi="Tahoma" w:cs="Tahoma"/>
                <w:sz w:val="18"/>
                <w:szCs w:val="18"/>
              </w:rPr>
            </w:pPr>
          </w:p>
          <w:tbl>
            <w:tblPr>
              <w:tblW w:w="11268" w:type="dxa"/>
              <w:tblLook w:val="01E0" w:firstRow="1" w:lastRow="1" w:firstColumn="1" w:lastColumn="1" w:noHBand="0" w:noVBand="0"/>
            </w:tblPr>
            <w:tblGrid>
              <w:gridCol w:w="8818"/>
              <w:gridCol w:w="218"/>
            </w:tblGrid>
            <w:tr w:rsidR="00B57735" w:rsidRPr="00E3260D" w14:paraId="62D6A235" w14:textId="77777777" w:rsidTr="00721435">
              <w:tc>
                <w:tcPr>
                  <w:tcW w:w="5868" w:type="dxa"/>
                </w:tcPr>
                <w:p w14:paraId="658BD62C" w14:textId="77777777" w:rsidR="004D3DCF" w:rsidRDefault="004D3DCF" w:rsidP="004D3DCF">
                  <w:pPr>
                    <w:tabs>
                      <w:tab w:val="center" w:pos="0"/>
                    </w:tabs>
                    <w:jc w:val="both"/>
                    <w:rPr>
                      <w:rFonts w:ascii="Arial" w:hAnsi="Arial" w:cs="Arial"/>
                      <w:i/>
                      <w:color w:val="FF0000"/>
                      <w:sz w:val="18"/>
                      <w:szCs w:val="18"/>
                    </w:rPr>
                  </w:pPr>
                </w:p>
                <w:tbl>
                  <w:tblPr>
                    <w:tblW w:w="23004" w:type="dxa"/>
                    <w:tblLook w:val="01E0" w:firstRow="1" w:lastRow="1" w:firstColumn="1" w:lastColumn="1" w:noHBand="0" w:noVBand="0"/>
                  </w:tblPr>
                  <w:tblGrid>
                    <w:gridCol w:w="5868"/>
                    <w:gridCol w:w="5868"/>
                    <w:gridCol w:w="5868"/>
                    <w:gridCol w:w="5400"/>
                  </w:tblGrid>
                  <w:tr w:rsidR="004D3DCF" w14:paraId="0F0C39FE" w14:textId="77777777" w:rsidTr="00884087">
                    <w:trPr>
                      <w:trHeight w:val="70"/>
                    </w:trPr>
                    <w:tc>
                      <w:tcPr>
                        <w:tcW w:w="5868" w:type="dxa"/>
                      </w:tcPr>
                      <w:p w14:paraId="40A448ED" w14:textId="77777777" w:rsidR="004D3DCF" w:rsidRDefault="004D3DCF" w:rsidP="004D3DCF">
                        <w:pPr>
                          <w:jc w:val="both"/>
                          <w:rPr>
                            <w:rFonts w:ascii="Tahoma" w:hAnsi="Tahoma" w:cs="Tahoma"/>
                            <w:color w:val="808080"/>
                            <w:sz w:val="20"/>
                            <w:szCs w:val="20"/>
                          </w:rPr>
                        </w:pPr>
                        <w:r>
                          <w:rPr>
                            <w:rFonts w:ascii="Tahoma" w:hAnsi="Tahoma" w:cs="Tahoma"/>
                            <w:color w:val="808080"/>
                            <w:sz w:val="20"/>
                            <w:szCs w:val="20"/>
                          </w:rPr>
                          <w:t>Contact person:</w:t>
                        </w:r>
                      </w:p>
                      <w:p w14:paraId="798E77FF" w14:textId="77777777" w:rsidR="004D3DCF" w:rsidRDefault="004D3DCF" w:rsidP="004D3DCF">
                        <w:pPr>
                          <w:rPr>
                            <w:rFonts w:ascii="Tahoma" w:hAnsi="Tahoma" w:cs="Tahoma"/>
                            <w:sz w:val="20"/>
                            <w:szCs w:val="20"/>
                          </w:rPr>
                        </w:pPr>
                        <w:r>
                          <w:rPr>
                            <w:rFonts w:ascii="Tahoma" w:hAnsi="Tahoma" w:cs="Tahoma"/>
                            <w:sz w:val="20"/>
                            <w:szCs w:val="20"/>
                          </w:rPr>
                          <w:t>Mirjana Stanković</w:t>
                        </w:r>
                      </w:p>
                      <w:p w14:paraId="699E71E9" w14:textId="77777777" w:rsidR="004D3DCF" w:rsidRDefault="004D3DCF" w:rsidP="004D3DCF">
                        <w:pPr>
                          <w:rPr>
                            <w:rFonts w:ascii="Tahoma" w:hAnsi="Tahoma" w:cs="Tahoma"/>
                            <w:sz w:val="20"/>
                            <w:szCs w:val="20"/>
                          </w:rPr>
                        </w:pPr>
                        <w:r>
                          <w:rPr>
                            <w:rFonts w:ascii="Tahoma" w:hAnsi="Tahoma" w:cs="Tahoma"/>
                            <w:sz w:val="20"/>
                            <w:szCs w:val="20"/>
                          </w:rPr>
                          <w:t>Section of external trade statistics</w:t>
                        </w:r>
                      </w:p>
                      <w:p w14:paraId="7E84F6A5" w14:textId="77777777" w:rsidR="004D3DCF" w:rsidRDefault="004D3DCF" w:rsidP="004D3DCF">
                        <w:pPr>
                          <w:rPr>
                            <w:rFonts w:ascii="Tahoma" w:hAnsi="Tahoma" w:cs="Tahoma"/>
                            <w:sz w:val="20"/>
                            <w:szCs w:val="20"/>
                          </w:rPr>
                        </w:pPr>
                        <w:r>
                          <w:rPr>
                            <w:rFonts w:ascii="Tahoma" w:hAnsi="Tahoma" w:cs="Tahoma"/>
                            <w:sz w:val="20"/>
                            <w:szCs w:val="20"/>
                          </w:rPr>
                          <w:t>Phone: 2412 922, Ext. 362</w:t>
                        </w:r>
                      </w:p>
                      <w:p w14:paraId="4DF71393" w14:textId="77777777" w:rsidR="004D3DCF" w:rsidRDefault="004D3DCF" w:rsidP="004D3DCF">
                        <w:pPr>
                          <w:jc w:val="both"/>
                          <w:rPr>
                            <w:rFonts w:ascii="Tahoma" w:hAnsi="Tahoma" w:cs="Tahoma"/>
                            <w:color w:val="808080"/>
                            <w:sz w:val="20"/>
                            <w:szCs w:val="20"/>
                          </w:rPr>
                        </w:pPr>
                      </w:p>
                      <w:p w14:paraId="1AB6BD28" w14:textId="77777777" w:rsidR="004D3DCF" w:rsidRDefault="004D3DCF" w:rsidP="004D3DCF">
                        <w:pPr>
                          <w:jc w:val="both"/>
                          <w:rPr>
                            <w:rFonts w:ascii="Tahoma" w:hAnsi="Tahoma" w:cs="Tahoma"/>
                            <w:color w:val="808080"/>
                            <w:sz w:val="20"/>
                            <w:szCs w:val="20"/>
                          </w:rPr>
                        </w:pPr>
                        <w:r>
                          <w:rPr>
                            <w:rFonts w:ascii="Tahoma" w:hAnsi="Tahoma" w:cs="Tahoma"/>
                            <w:color w:val="808080"/>
                            <w:sz w:val="20"/>
                            <w:szCs w:val="20"/>
                          </w:rPr>
                          <w:t>Information and Dissemination Unit</w:t>
                        </w:r>
                      </w:p>
                      <w:p w14:paraId="6F835755" w14:textId="77777777" w:rsidR="004D3DCF" w:rsidRDefault="004D3DCF" w:rsidP="004D3DCF">
                        <w:pPr>
                          <w:jc w:val="both"/>
                          <w:rPr>
                            <w:rFonts w:ascii="Tahoma" w:hAnsi="Tahoma" w:cs="Tahoma"/>
                            <w:color w:val="808080"/>
                            <w:sz w:val="20"/>
                            <w:szCs w:val="20"/>
                          </w:rPr>
                        </w:pPr>
                        <w:r>
                          <w:rPr>
                            <w:rFonts w:ascii="Tahoma" w:hAnsi="Tahoma" w:cs="Tahoma"/>
                            <w:color w:val="808080"/>
                            <w:sz w:val="20"/>
                            <w:szCs w:val="20"/>
                          </w:rPr>
                          <w:t>Phone: +381 11 2401-284</w:t>
                        </w:r>
                      </w:p>
                      <w:p w14:paraId="1CBA53BD" w14:textId="77777777" w:rsidR="004D3DCF" w:rsidRDefault="004D3DCF" w:rsidP="004D3DCF">
                        <w:pPr>
                          <w:jc w:val="both"/>
                          <w:rPr>
                            <w:rFonts w:ascii="Tahoma" w:hAnsi="Tahoma" w:cs="Tahoma"/>
                            <w:sz w:val="20"/>
                            <w:szCs w:val="20"/>
                          </w:rPr>
                        </w:pPr>
                        <w:r>
                          <w:rPr>
                            <w:rFonts w:ascii="Tahoma" w:hAnsi="Tahoma" w:cs="Tahoma"/>
                            <w:color w:val="808080"/>
                            <w:sz w:val="20"/>
                            <w:szCs w:val="20"/>
                          </w:rPr>
                          <w:t>stat@stat.gov.rs</w:t>
                        </w:r>
                      </w:p>
                      <w:p w14:paraId="332B36E1" w14:textId="77777777" w:rsidR="004D3DCF" w:rsidRDefault="004D3DCF" w:rsidP="004D3DCF">
                        <w:pPr>
                          <w:jc w:val="both"/>
                          <w:rPr>
                            <w:rFonts w:ascii="Tahoma" w:hAnsi="Tahoma" w:cs="Tahoma"/>
                            <w:sz w:val="22"/>
                            <w:szCs w:val="22"/>
                          </w:rPr>
                        </w:pPr>
                      </w:p>
                    </w:tc>
                    <w:tc>
                      <w:tcPr>
                        <w:tcW w:w="5868" w:type="dxa"/>
                      </w:tcPr>
                      <w:p w14:paraId="1BE51894" w14:textId="77777777" w:rsidR="004D3DCF" w:rsidRDefault="004D3DCF" w:rsidP="004D3DCF">
                        <w:pPr>
                          <w:ind w:left="981"/>
                          <w:rPr>
                            <w:rFonts w:ascii="Tahoma" w:hAnsi="Tahoma" w:cs="Tahoma"/>
                            <w:sz w:val="20"/>
                            <w:szCs w:val="20"/>
                          </w:rPr>
                        </w:pPr>
                        <w:r>
                          <w:rPr>
                            <w:rFonts w:ascii="Tahoma" w:hAnsi="Tahoma" w:cs="Tahoma"/>
                            <w:sz w:val="20"/>
                            <w:szCs w:val="20"/>
                          </w:rPr>
                          <w:t>Acting Director,</w:t>
                        </w:r>
                      </w:p>
                      <w:p w14:paraId="3EEC9A24" w14:textId="77777777" w:rsidR="004D3DCF" w:rsidRDefault="004D3DCF" w:rsidP="004D3DCF">
                        <w:pPr>
                          <w:ind w:left="981"/>
                          <w:jc w:val="both"/>
                          <w:rPr>
                            <w:rFonts w:ascii="Tahoma" w:hAnsi="Tahoma" w:cs="Tahoma"/>
                            <w:color w:val="808080"/>
                            <w:sz w:val="20"/>
                            <w:szCs w:val="20"/>
                          </w:rPr>
                        </w:pPr>
                        <w:r>
                          <w:rPr>
                            <w:rFonts w:ascii="Tahoma" w:hAnsi="Tahoma" w:cs="Tahoma"/>
                            <w:sz w:val="20"/>
                            <w:szCs w:val="20"/>
                          </w:rPr>
                          <w:t>Branko Josipović</w:t>
                        </w:r>
                      </w:p>
                      <w:p w14:paraId="15E22FA5" w14:textId="77777777" w:rsidR="004D3DCF" w:rsidRDefault="004D3DCF" w:rsidP="004D3DCF">
                        <w:pPr>
                          <w:ind w:left="981"/>
                          <w:jc w:val="both"/>
                          <w:rPr>
                            <w:rFonts w:ascii="Tahoma" w:hAnsi="Tahoma" w:cs="Tahoma"/>
                            <w:sz w:val="22"/>
                            <w:szCs w:val="22"/>
                          </w:rPr>
                        </w:pPr>
                      </w:p>
                    </w:tc>
                    <w:tc>
                      <w:tcPr>
                        <w:tcW w:w="5868" w:type="dxa"/>
                      </w:tcPr>
                      <w:p w14:paraId="214A9B3E" w14:textId="77777777" w:rsidR="004D3DCF" w:rsidRDefault="004D3DCF" w:rsidP="004D3DCF">
                        <w:pPr>
                          <w:jc w:val="both"/>
                          <w:rPr>
                            <w:rFonts w:ascii="Tahoma" w:hAnsi="Tahoma" w:cs="Tahoma"/>
                            <w:sz w:val="22"/>
                            <w:szCs w:val="22"/>
                          </w:rPr>
                        </w:pPr>
                      </w:p>
                    </w:tc>
                    <w:tc>
                      <w:tcPr>
                        <w:tcW w:w="5400" w:type="dxa"/>
                      </w:tcPr>
                      <w:p w14:paraId="46326C3F" w14:textId="77777777" w:rsidR="004D3DCF" w:rsidRDefault="004D3DCF" w:rsidP="004D3DCF">
                        <w:pPr>
                          <w:jc w:val="right"/>
                          <w:rPr>
                            <w:rFonts w:ascii="Tahoma" w:hAnsi="Tahoma" w:cs="Tahoma"/>
                            <w:sz w:val="18"/>
                            <w:szCs w:val="18"/>
                          </w:rPr>
                        </w:pPr>
                        <w:r>
                          <w:rPr>
                            <w:rFonts w:ascii="Tahoma" w:hAnsi="Tahoma" w:cs="Tahoma"/>
                            <w:sz w:val="18"/>
                            <w:szCs w:val="18"/>
                          </w:rPr>
                          <w:t>Acting Director,</w:t>
                        </w:r>
                      </w:p>
                      <w:p w14:paraId="176F74BF" w14:textId="77777777" w:rsidR="004D3DCF" w:rsidRDefault="004D3DCF" w:rsidP="004D3DCF">
                        <w:pPr>
                          <w:jc w:val="right"/>
                          <w:rPr>
                            <w:rFonts w:ascii="Tahoma" w:hAnsi="Tahoma" w:cs="Tahoma"/>
                            <w:sz w:val="18"/>
                            <w:szCs w:val="18"/>
                          </w:rPr>
                        </w:pPr>
                        <w:r>
                          <w:rPr>
                            <w:rFonts w:ascii="Tahoma" w:hAnsi="Tahoma" w:cs="Tahoma"/>
                            <w:sz w:val="18"/>
                            <w:szCs w:val="18"/>
                          </w:rPr>
                          <w:t>Branko Josipović</w:t>
                        </w:r>
                      </w:p>
                      <w:p w14:paraId="29DE7E48" w14:textId="77777777" w:rsidR="004D3DCF" w:rsidRDefault="004D3DCF" w:rsidP="004D3DCF">
                        <w:pPr>
                          <w:jc w:val="right"/>
                          <w:rPr>
                            <w:rFonts w:ascii="Tahoma" w:hAnsi="Tahoma" w:cs="Tahoma"/>
                            <w:sz w:val="18"/>
                            <w:szCs w:val="18"/>
                          </w:rPr>
                        </w:pPr>
                        <w:r>
                          <w:rPr>
                            <w:rFonts w:ascii="Tahoma" w:hAnsi="Tahoma" w:cs="Tahoma"/>
                            <w:sz w:val="18"/>
                            <w:szCs w:val="18"/>
                          </w:rPr>
                          <w:t>Acting Director,</w:t>
                        </w:r>
                      </w:p>
                      <w:p w14:paraId="579F6127" w14:textId="77777777" w:rsidR="004D3DCF" w:rsidRDefault="004D3DCF" w:rsidP="004D3DCF">
                        <w:pPr>
                          <w:jc w:val="right"/>
                          <w:rPr>
                            <w:rFonts w:ascii="Tahoma" w:hAnsi="Tahoma" w:cs="Tahoma"/>
                            <w:sz w:val="18"/>
                            <w:szCs w:val="18"/>
                          </w:rPr>
                        </w:pPr>
                        <w:r>
                          <w:rPr>
                            <w:rFonts w:ascii="Tahoma" w:hAnsi="Tahoma" w:cs="Tahoma"/>
                            <w:sz w:val="18"/>
                            <w:szCs w:val="18"/>
                          </w:rPr>
                          <w:t>Branko Josipović</w:t>
                        </w:r>
                      </w:p>
                      <w:p w14:paraId="185EFC92" w14:textId="77777777" w:rsidR="004D3DCF" w:rsidRDefault="004D3DCF" w:rsidP="004D3DCF">
                        <w:pPr>
                          <w:jc w:val="both"/>
                          <w:rPr>
                            <w:rFonts w:ascii="Tahoma" w:hAnsi="Tahoma" w:cs="Tahoma"/>
                            <w:sz w:val="20"/>
                            <w:szCs w:val="20"/>
                          </w:rPr>
                        </w:pPr>
                      </w:p>
                    </w:tc>
                  </w:tr>
                </w:tbl>
                <w:p w14:paraId="69B0DF91" w14:textId="77777777" w:rsidR="00B57735" w:rsidRPr="00E3260D" w:rsidRDefault="00B57735" w:rsidP="00B57735">
                  <w:pPr>
                    <w:jc w:val="both"/>
                    <w:rPr>
                      <w:rFonts w:ascii="Tahoma" w:hAnsi="Tahoma" w:cs="Tahoma"/>
                      <w:sz w:val="22"/>
                      <w:szCs w:val="22"/>
                    </w:rPr>
                  </w:pPr>
                </w:p>
              </w:tc>
              <w:tc>
                <w:tcPr>
                  <w:tcW w:w="5400" w:type="dxa"/>
                </w:tcPr>
                <w:p w14:paraId="48E3B654" w14:textId="77777777" w:rsidR="00B57735" w:rsidRPr="00E3260D" w:rsidRDefault="00B57735" w:rsidP="00B57735">
                  <w:pPr>
                    <w:jc w:val="both"/>
                    <w:rPr>
                      <w:rFonts w:ascii="Tahoma" w:hAnsi="Tahoma" w:cs="Tahoma"/>
                      <w:sz w:val="20"/>
                      <w:szCs w:val="20"/>
                    </w:rPr>
                  </w:pPr>
                </w:p>
              </w:tc>
            </w:tr>
            <w:tr w:rsidR="00BD40B5" w:rsidRPr="00E3260D" w14:paraId="53C60E02" w14:textId="77777777" w:rsidTr="00721435">
              <w:tc>
                <w:tcPr>
                  <w:tcW w:w="5868" w:type="dxa"/>
                </w:tcPr>
                <w:p w14:paraId="576B4134" w14:textId="77777777" w:rsidR="00BD40B5" w:rsidRPr="00E3260D" w:rsidRDefault="00BD40B5" w:rsidP="00B57735">
                  <w:pPr>
                    <w:jc w:val="both"/>
                    <w:rPr>
                      <w:rFonts w:ascii="Tahoma" w:hAnsi="Tahoma" w:cs="Tahoma"/>
                      <w:color w:val="808080"/>
                      <w:sz w:val="20"/>
                      <w:szCs w:val="20"/>
                    </w:rPr>
                  </w:pPr>
                </w:p>
              </w:tc>
              <w:tc>
                <w:tcPr>
                  <w:tcW w:w="5400" w:type="dxa"/>
                </w:tcPr>
                <w:p w14:paraId="48B1458D" w14:textId="77777777" w:rsidR="00BD40B5" w:rsidRPr="00E3260D" w:rsidRDefault="00BD40B5" w:rsidP="00BD40B5">
                  <w:pPr>
                    <w:jc w:val="right"/>
                    <w:rPr>
                      <w:rFonts w:ascii="Tahoma" w:hAnsi="Tahoma" w:cs="Tahoma"/>
                      <w:sz w:val="18"/>
                      <w:szCs w:val="18"/>
                    </w:rPr>
                  </w:pPr>
                </w:p>
              </w:tc>
            </w:tr>
            <w:tr w:rsidR="00BD40B5" w:rsidRPr="00E3260D" w14:paraId="3AEAECD8" w14:textId="77777777" w:rsidTr="00721435">
              <w:tc>
                <w:tcPr>
                  <w:tcW w:w="5868" w:type="dxa"/>
                </w:tcPr>
                <w:p w14:paraId="373C69B6" w14:textId="1B90FF47" w:rsidR="00BD40B5" w:rsidRPr="00E3260D" w:rsidRDefault="00BD40B5" w:rsidP="00B57735">
                  <w:pPr>
                    <w:jc w:val="both"/>
                    <w:rPr>
                      <w:rFonts w:ascii="Tahoma" w:hAnsi="Tahoma" w:cs="Tahoma"/>
                      <w:color w:val="808080"/>
                      <w:sz w:val="20"/>
                      <w:szCs w:val="20"/>
                    </w:rPr>
                  </w:pPr>
                </w:p>
              </w:tc>
              <w:tc>
                <w:tcPr>
                  <w:tcW w:w="5400" w:type="dxa"/>
                </w:tcPr>
                <w:p w14:paraId="23B03B98" w14:textId="77777777" w:rsidR="00BD40B5" w:rsidRPr="00E3260D" w:rsidRDefault="00BD40B5" w:rsidP="00BD40B5">
                  <w:pPr>
                    <w:jc w:val="right"/>
                    <w:rPr>
                      <w:rFonts w:ascii="Tahoma" w:hAnsi="Tahoma" w:cs="Tahoma"/>
                      <w:sz w:val="18"/>
                      <w:szCs w:val="18"/>
                    </w:rPr>
                  </w:pPr>
                </w:p>
              </w:tc>
            </w:tr>
          </w:tbl>
          <w:p w14:paraId="5F19C875" w14:textId="77777777" w:rsidR="0057695E" w:rsidRPr="00E3260D" w:rsidRDefault="0057695E" w:rsidP="00F260EC">
            <w:pPr>
              <w:tabs>
                <w:tab w:val="center" w:pos="0"/>
              </w:tabs>
              <w:jc w:val="both"/>
              <w:rPr>
                <w:rFonts w:ascii="Tahoma" w:hAnsi="Tahoma" w:cs="Tahoma"/>
                <w:color w:val="000000"/>
                <w:sz w:val="20"/>
                <w:szCs w:val="20"/>
              </w:rPr>
            </w:pPr>
          </w:p>
        </w:tc>
      </w:tr>
      <w:tr w:rsidR="00866C86" w:rsidRPr="00E3260D" w14:paraId="022414DB" w14:textId="77777777" w:rsidTr="00A850FC">
        <w:tc>
          <w:tcPr>
            <w:tcW w:w="10188" w:type="dxa"/>
          </w:tcPr>
          <w:p w14:paraId="6695211C" w14:textId="77777777" w:rsidR="00866C86" w:rsidRPr="00E3260D" w:rsidRDefault="00866C86" w:rsidP="00F260EC">
            <w:pPr>
              <w:jc w:val="right"/>
              <w:rPr>
                <w:rFonts w:ascii="Tahoma" w:hAnsi="Tahoma" w:cs="Tahoma"/>
                <w:sz w:val="22"/>
                <w:szCs w:val="22"/>
              </w:rPr>
            </w:pPr>
          </w:p>
        </w:tc>
      </w:tr>
    </w:tbl>
    <w:p w14:paraId="3D40B554" w14:textId="77777777" w:rsidR="002064CD" w:rsidRPr="00E3260D" w:rsidRDefault="002064CD" w:rsidP="002064CD"/>
    <w:p w14:paraId="767931F4" w14:textId="77777777" w:rsidR="00050B11" w:rsidRPr="00E3260D" w:rsidRDefault="00050B11"/>
    <w:sectPr w:rsidR="00050B11" w:rsidRPr="00E3260D" w:rsidSect="00B639C2">
      <w:headerReference w:type="default" r:id="rId7"/>
      <w:footerReference w:type="default" r:id="rId8"/>
      <w:headerReference w:type="first" r:id="rId9"/>
      <w:pgSz w:w="12240" w:h="15840" w:code="1"/>
      <w:pgMar w:top="1440" w:right="1440" w:bottom="1440" w:left="1440" w:header="432" w:footer="432"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6FADB" w14:textId="77777777" w:rsidR="00943D73" w:rsidRDefault="00943D73">
      <w:r>
        <w:separator/>
      </w:r>
    </w:p>
  </w:endnote>
  <w:endnote w:type="continuationSeparator" w:id="0">
    <w:p w14:paraId="58B48F1B" w14:textId="77777777" w:rsidR="00943D73" w:rsidRDefault="0094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400"/>
      <w:gridCol w:w="4960"/>
    </w:tblGrid>
    <w:tr w:rsidR="00D37225" w:rsidRPr="00F260EC" w14:paraId="7CB73079" w14:textId="77777777" w:rsidTr="00F260EC">
      <w:tc>
        <w:tcPr>
          <w:tcW w:w="4788" w:type="dxa"/>
        </w:tcPr>
        <w:p w14:paraId="0578B70A" w14:textId="77777777" w:rsidR="00D37225" w:rsidRPr="00F260EC" w:rsidRDefault="00D37225" w:rsidP="00C6339C">
          <w:pPr>
            <w:rPr>
              <w:rFonts w:ascii="Tahoma" w:hAnsi="Tahoma" w:cs="Tahoma"/>
              <w:color w:val="333333"/>
              <w:sz w:val="22"/>
              <w:szCs w:val="22"/>
            </w:rPr>
          </w:pPr>
        </w:p>
      </w:tc>
      <w:tc>
        <w:tcPr>
          <w:tcW w:w="5400" w:type="dxa"/>
        </w:tcPr>
        <w:p w14:paraId="0312A100" w14:textId="77777777" w:rsidR="00D37225" w:rsidRPr="00F260EC" w:rsidRDefault="00D37225" w:rsidP="002064CD">
          <w:pPr>
            <w:rPr>
              <w:rFonts w:ascii="Tahoma" w:hAnsi="Tahoma" w:cs="Tahoma"/>
              <w:color w:val="333333"/>
              <w:sz w:val="22"/>
              <w:szCs w:val="22"/>
              <w:lang w:val="sr-Cyrl-CS"/>
            </w:rPr>
          </w:pPr>
        </w:p>
      </w:tc>
    </w:tr>
    <w:tr w:rsidR="00D37225" w:rsidRPr="00F260EC" w14:paraId="13A3D627" w14:textId="77777777"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1ACB89FF" w14:textId="77777777" w:rsidR="00D37225" w:rsidRPr="00F260EC" w:rsidRDefault="00D37225" w:rsidP="00F260EC">
          <w:pPr>
            <w:jc w:val="both"/>
            <w:rPr>
              <w:rFonts w:ascii="Tahoma" w:hAnsi="Tahoma" w:cs="Tahoma"/>
              <w:sz w:val="22"/>
              <w:szCs w:val="22"/>
            </w:rPr>
          </w:pPr>
        </w:p>
      </w:tc>
      <w:tc>
        <w:tcPr>
          <w:tcW w:w="5400" w:type="dxa"/>
          <w:tcBorders>
            <w:top w:val="nil"/>
            <w:left w:val="nil"/>
            <w:bottom w:val="nil"/>
            <w:right w:val="nil"/>
          </w:tcBorders>
        </w:tcPr>
        <w:p w14:paraId="0D79C5BF" w14:textId="77777777" w:rsidR="00D37225" w:rsidRPr="00F260EC" w:rsidRDefault="00D37225" w:rsidP="00F260EC">
          <w:pPr>
            <w:ind w:left="972"/>
            <w:jc w:val="both"/>
            <w:rPr>
              <w:rFonts w:ascii="Tahoma" w:hAnsi="Tahoma" w:cs="Tahoma"/>
              <w:sz w:val="20"/>
              <w:szCs w:val="20"/>
            </w:rPr>
          </w:pPr>
        </w:p>
      </w:tc>
    </w:tr>
  </w:tbl>
  <w:p w14:paraId="0F5B5EA0" w14:textId="77777777" w:rsidR="00D37225" w:rsidRPr="00777121" w:rsidRDefault="00D37225" w:rsidP="002064CD">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4BC8A" w14:textId="77777777" w:rsidR="00943D73" w:rsidRDefault="00943D73">
      <w:r>
        <w:separator/>
      </w:r>
    </w:p>
  </w:footnote>
  <w:footnote w:type="continuationSeparator" w:id="0">
    <w:p w14:paraId="1A556595" w14:textId="77777777" w:rsidR="00943D73" w:rsidRDefault="00943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14:paraId="31D5F1EC" w14:textId="77777777" w:rsidTr="00F260EC">
      <w:tc>
        <w:tcPr>
          <w:tcW w:w="3708" w:type="dxa"/>
        </w:tcPr>
        <w:p w14:paraId="725E84A8" w14:textId="77777777" w:rsidR="00D37225" w:rsidRPr="00F260EC" w:rsidRDefault="00D37225" w:rsidP="002064CD">
          <w:pPr>
            <w:pStyle w:val="Header"/>
            <w:rPr>
              <w:rFonts w:ascii="Tahoma" w:hAnsi="Tahoma" w:cs="Tahoma"/>
              <w:sz w:val="20"/>
              <w:szCs w:val="20"/>
              <w:lang w:val="sr-Cyrl-CS"/>
            </w:rPr>
          </w:pPr>
        </w:p>
      </w:tc>
      <w:tc>
        <w:tcPr>
          <w:tcW w:w="6588" w:type="dxa"/>
        </w:tcPr>
        <w:p w14:paraId="2F141E2A" w14:textId="77777777" w:rsidR="00D37225" w:rsidRPr="00F260EC" w:rsidRDefault="00D37225" w:rsidP="00F260EC">
          <w:pPr>
            <w:pStyle w:val="Header"/>
            <w:jc w:val="right"/>
            <w:rPr>
              <w:rFonts w:ascii="Tahoma" w:hAnsi="Tahoma" w:cs="Tahoma"/>
              <w:sz w:val="20"/>
              <w:szCs w:val="20"/>
              <w:lang w:val="sr-Cyrl-CS"/>
            </w:rPr>
          </w:pPr>
        </w:p>
      </w:tc>
    </w:tr>
  </w:tbl>
  <w:p w14:paraId="77AEBB34" w14:textId="77777777" w:rsidR="00D37225" w:rsidRPr="00550E46" w:rsidRDefault="00D37225" w:rsidP="002064CD">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tblBorders>
        <w:insideH w:val="single" w:sz="4" w:space="0" w:color="auto"/>
      </w:tblBorders>
      <w:tblLayout w:type="fixed"/>
      <w:tblLook w:val="01E0" w:firstRow="1" w:lastRow="1" w:firstColumn="1" w:lastColumn="1" w:noHBand="0" w:noVBand="0"/>
    </w:tblPr>
    <w:tblGrid>
      <w:gridCol w:w="3888"/>
      <w:gridCol w:w="6588"/>
    </w:tblGrid>
    <w:tr w:rsidR="00D37225" w:rsidRPr="00F260EC" w14:paraId="2583BB24" w14:textId="77777777" w:rsidTr="005F0D4D">
      <w:tc>
        <w:tcPr>
          <w:tcW w:w="3888" w:type="dxa"/>
        </w:tcPr>
        <w:p w14:paraId="11FF01D0" w14:textId="77777777" w:rsidR="00D37225" w:rsidRPr="00F260EC" w:rsidRDefault="002424A7" w:rsidP="00F260EC">
          <w:pPr>
            <w:pStyle w:val="Header"/>
            <w:ind w:right="972"/>
            <w:rPr>
              <w:rFonts w:ascii="Tahoma" w:hAnsi="Tahoma" w:cs="Tahoma"/>
              <w:sz w:val="20"/>
              <w:szCs w:val="20"/>
            </w:rPr>
          </w:pPr>
          <w:r>
            <w:rPr>
              <w:noProof/>
              <w:lang w:val="en-US"/>
            </w:rPr>
            <w:drawing>
              <wp:inline distT="0" distB="0" distL="0" distR="0" wp14:anchorId="42B6DE63" wp14:editId="7C7E5FB1">
                <wp:extent cx="1569720" cy="708660"/>
                <wp:effectExtent l="1905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00D37225" w:rsidRPr="00F260EC">
            <w:rPr>
              <w:rFonts w:ascii="Tahoma" w:hAnsi="Tahoma" w:cs="Tahoma"/>
              <w:sz w:val="20"/>
              <w:szCs w:val="20"/>
            </w:rPr>
            <w:t>Republic of Serbia</w:t>
          </w:r>
        </w:p>
        <w:p w14:paraId="7EF54C98" w14:textId="77777777" w:rsidR="00D37225" w:rsidRPr="00F260EC" w:rsidRDefault="00D37225"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588" w:type="dxa"/>
        </w:tcPr>
        <w:p w14:paraId="238860BA" w14:textId="77777777" w:rsidR="00D37225" w:rsidRPr="00F260EC" w:rsidRDefault="00D37225" w:rsidP="00F260EC">
          <w:pPr>
            <w:pStyle w:val="Header"/>
            <w:jc w:val="right"/>
            <w:rPr>
              <w:rFonts w:ascii="Tahoma" w:hAnsi="Tahoma" w:cs="Tahoma"/>
              <w:sz w:val="32"/>
              <w:szCs w:val="32"/>
            </w:rPr>
          </w:pPr>
          <w:r w:rsidRPr="00F260EC">
            <w:rPr>
              <w:rFonts w:ascii="Tahoma" w:hAnsi="Tahoma" w:cs="Tahoma"/>
              <w:sz w:val="32"/>
              <w:szCs w:val="32"/>
            </w:rPr>
            <w:t>Press Release</w:t>
          </w:r>
        </w:p>
        <w:p w14:paraId="41F37CA3" w14:textId="77777777" w:rsidR="00D37225" w:rsidRPr="00F260EC" w:rsidRDefault="00D37225" w:rsidP="00F260EC">
          <w:pPr>
            <w:pStyle w:val="Header"/>
            <w:jc w:val="right"/>
            <w:rPr>
              <w:rFonts w:ascii="Tahoma" w:hAnsi="Tahoma" w:cs="Tahoma"/>
              <w:lang w:val="sr-Cyrl-CS"/>
            </w:rPr>
          </w:pPr>
        </w:p>
        <w:p w14:paraId="3501547A" w14:textId="77777777" w:rsidR="00D37225" w:rsidRPr="00F260EC" w:rsidRDefault="00D37225" w:rsidP="00F260EC">
          <w:pPr>
            <w:pStyle w:val="Header"/>
            <w:jc w:val="right"/>
            <w:rPr>
              <w:rFonts w:ascii="Tahoma" w:hAnsi="Tahoma" w:cs="Tahoma"/>
              <w:sz w:val="20"/>
              <w:szCs w:val="20"/>
              <w:lang w:val="sr-Cyrl-CS"/>
            </w:rPr>
          </w:pPr>
          <w:smartTag w:uri="urn:schemas-microsoft-com:office:smarttags" w:element="City">
            <w:smartTag w:uri="urn:schemas-microsoft-com:office:smarttags" w:element="place">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Milana Rakica</w:t>
          </w:r>
          <w:r w:rsidRPr="00F260EC">
            <w:rPr>
              <w:rFonts w:ascii="Tahoma" w:hAnsi="Tahoma" w:cs="Tahoma"/>
              <w:sz w:val="20"/>
              <w:szCs w:val="20"/>
              <w:lang w:val="sr-Cyrl-CS"/>
            </w:rPr>
            <w:t xml:space="preserve"> 5</w:t>
          </w:r>
        </w:p>
        <w:p w14:paraId="0F12AF4E"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 xml:space="preserve">Phone+381 11 </w:t>
          </w:r>
          <w:r w:rsidRPr="00F260EC">
            <w:rPr>
              <w:rFonts w:ascii="Tahoma" w:hAnsi="Tahoma" w:cs="Tahoma"/>
              <w:sz w:val="20"/>
              <w:szCs w:val="20"/>
              <w:lang w:val="sr-Cyrl-CS"/>
            </w:rPr>
            <w:t>2412-922</w:t>
          </w:r>
        </w:p>
        <w:p w14:paraId="5ADBF4CA"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r w:rsidRPr="00F260EC">
            <w:rPr>
              <w:rFonts w:ascii="Tahoma" w:hAnsi="Tahoma" w:cs="Tahoma"/>
              <w:sz w:val="20"/>
              <w:szCs w:val="20"/>
            </w:rPr>
            <w:t>rs</w:t>
          </w:r>
        </w:p>
        <w:p w14:paraId="434ABEBA" w14:textId="3CA29056" w:rsidR="00D37225" w:rsidRPr="00F260EC" w:rsidRDefault="007A6615" w:rsidP="00F260EC">
          <w:pPr>
            <w:pStyle w:val="Header"/>
            <w:jc w:val="right"/>
            <w:rPr>
              <w:rFonts w:ascii="Tahoma" w:hAnsi="Tahoma" w:cs="Tahoma"/>
              <w:sz w:val="20"/>
              <w:szCs w:val="20"/>
              <w:lang w:val="sr-Cyrl-CS"/>
            </w:rPr>
          </w:pPr>
          <w:hyperlink r:id="rId2" w:history="1">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gov</w:t>
            </w:r>
            <w:r w:rsidRPr="005B3E83">
              <w:rPr>
                <w:rStyle w:val="Hyperlink"/>
                <w:rFonts w:ascii="Tahoma" w:hAnsi="Tahoma" w:cs="Tahoma"/>
                <w:sz w:val="20"/>
                <w:szCs w:val="20"/>
                <w:lang w:val="sr-Cyrl-CS"/>
              </w:rPr>
              <w:t>.</w:t>
            </w:r>
            <w:r w:rsidRPr="005B3E83">
              <w:rPr>
                <w:rStyle w:val="Hyperlink"/>
                <w:rFonts w:ascii="Tahoma" w:hAnsi="Tahoma" w:cs="Tahoma"/>
                <w:sz w:val="20"/>
                <w:szCs w:val="20"/>
              </w:rPr>
              <w:t>rs</w:t>
            </w:r>
          </w:hyperlink>
        </w:p>
      </w:tc>
    </w:tr>
  </w:tbl>
  <w:p w14:paraId="49AF1830" w14:textId="77777777" w:rsidR="00D37225" w:rsidRPr="00E863C5" w:rsidRDefault="00D37225">
    <w:pPr>
      <w:pStyle w:val="Header"/>
      <w:rPr>
        <w:lang w:val="sr-Cyrl-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D"/>
    <w:rsid w:val="00001006"/>
    <w:rsid w:val="0000102B"/>
    <w:rsid w:val="00004237"/>
    <w:rsid w:val="00006C4F"/>
    <w:rsid w:val="00010892"/>
    <w:rsid w:val="00010B0D"/>
    <w:rsid w:val="00011270"/>
    <w:rsid w:val="00013305"/>
    <w:rsid w:val="0001411D"/>
    <w:rsid w:val="000157F5"/>
    <w:rsid w:val="00015B1B"/>
    <w:rsid w:val="000163BD"/>
    <w:rsid w:val="00020693"/>
    <w:rsid w:val="000214B7"/>
    <w:rsid w:val="0002232A"/>
    <w:rsid w:val="00022797"/>
    <w:rsid w:val="00022DCD"/>
    <w:rsid w:val="00024C5E"/>
    <w:rsid w:val="00024FE5"/>
    <w:rsid w:val="00025B72"/>
    <w:rsid w:val="00025B86"/>
    <w:rsid w:val="000261D3"/>
    <w:rsid w:val="00026F3F"/>
    <w:rsid w:val="000274DA"/>
    <w:rsid w:val="00030738"/>
    <w:rsid w:val="00032DA6"/>
    <w:rsid w:val="00033C3A"/>
    <w:rsid w:val="00034102"/>
    <w:rsid w:val="000351CD"/>
    <w:rsid w:val="00035F8C"/>
    <w:rsid w:val="00036104"/>
    <w:rsid w:val="00042317"/>
    <w:rsid w:val="00042B1D"/>
    <w:rsid w:val="000447BE"/>
    <w:rsid w:val="00045581"/>
    <w:rsid w:val="0005037F"/>
    <w:rsid w:val="00050A4D"/>
    <w:rsid w:val="00050B11"/>
    <w:rsid w:val="00050B87"/>
    <w:rsid w:val="00051634"/>
    <w:rsid w:val="00051A1E"/>
    <w:rsid w:val="000527D7"/>
    <w:rsid w:val="00052B59"/>
    <w:rsid w:val="00052F49"/>
    <w:rsid w:val="00053517"/>
    <w:rsid w:val="00053D5D"/>
    <w:rsid w:val="00053E3E"/>
    <w:rsid w:val="00054002"/>
    <w:rsid w:val="0005404D"/>
    <w:rsid w:val="00055CAA"/>
    <w:rsid w:val="00060E49"/>
    <w:rsid w:val="00061112"/>
    <w:rsid w:val="00062EF7"/>
    <w:rsid w:val="00065657"/>
    <w:rsid w:val="00066E14"/>
    <w:rsid w:val="00066EEB"/>
    <w:rsid w:val="0006788E"/>
    <w:rsid w:val="00070570"/>
    <w:rsid w:val="00070EC0"/>
    <w:rsid w:val="000711D6"/>
    <w:rsid w:val="00074176"/>
    <w:rsid w:val="00076034"/>
    <w:rsid w:val="00076D6D"/>
    <w:rsid w:val="00077648"/>
    <w:rsid w:val="00077697"/>
    <w:rsid w:val="0008074D"/>
    <w:rsid w:val="00080B40"/>
    <w:rsid w:val="000825BC"/>
    <w:rsid w:val="00082EF9"/>
    <w:rsid w:val="0008336A"/>
    <w:rsid w:val="00083DA0"/>
    <w:rsid w:val="00086649"/>
    <w:rsid w:val="00087475"/>
    <w:rsid w:val="0008757E"/>
    <w:rsid w:val="000908A5"/>
    <w:rsid w:val="0009187E"/>
    <w:rsid w:val="00091A66"/>
    <w:rsid w:val="00094006"/>
    <w:rsid w:val="0009401E"/>
    <w:rsid w:val="00094860"/>
    <w:rsid w:val="00095DBA"/>
    <w:rsid w:val="00095E10"/>
    <w:rsid w:val="00096BF7"/>
    <w:rsid w:val="00096F1C"/>
    <w:rsid w:val="00097910"/>
    <w:rsid w:val="00097BB0"/>
    <w:rsid w:val="000A025E"/>
    <w:rsid w:val="000A1A31"/>
    <w:rsid w:val="000A1D32"/>
    <w:rsid w:val="000A2F0C"/>
    <w:rsid w:val="000A5183"/>
    <w:rsid w:val="000A5200"/>
    <w:rsid w:val="000A59A2"/>
    <w:rsid w:val="000B12FC"/>
    <w:rsid w:val="000B1380"/>
    <w:rsid w:val="000B2ED9"/>
    <w:rsid w:val="000B3C16"/>
    <w:rsid w:val="000B4A78"/>
    <w:rsid w:val="000B5509"/>
    <w:rsid w:val="000B71C9"/>
    <w:rsid w:val="000C0619"/>
    <w:rsid w:val="000C3511"/>
    <w:rsid w:val="000C405C"/>
    <w:rsid w:val="000C458F"/>
    <w:rsid w:val="000C467C"/>
    <w:rsid w:val="000C7FDC"/>
    <w:rsid w:val="000D0C00"/>
    <w:rsid w:val="000D29B6"/>
    <w:rsid w:val="000D2C9F"/>
    <w:rsid w:val="000D2F1A"/>
    <w:rsid w:val="000D3282"/>
    <w:rsid w:val="000D34AC"/>
    <w:rsid w:val="000D3790"/>
    <w:rsid w:val="000D3DF9"/>
    <w:rsid w:val="000D4AAB"/>
    <w:rsid w:val="000D7FA3"/>
    <w:rsid w:val="000E1DC0"/>
    <w:rsid w:val="000E30FD"/>
    <w:rsid w:val="000E4464"/>
    <w:rsid w:val="000E5925"/>
    <w:rsid w:val="000E60FE"/>
    <w:rsid w:val="000E618C"/>
    <w:rsid w:val="000E6318"/>
    <w:rsid w:val="000E6911"/>
    <w:rsid w:val="000F24DD"/>
    <w:rsid w:val="000F3F9D"/>
    <w:rsid w:val="000F5328"/>
    <w:rsid w:val="00102A47"/>
    <w:rsid w:val="00105A4C"/>
    <w:rsid w:val="001064BE"/>
    <w:rsid w:val="00110438"/>
    <w:rsid w:val="00110949"/>
    <w:rsid w:val="00111FEA"/>
    <w:rsid w:val="00112394"/>
    <w:rsid w:val="00112526"/>
    <w:rsid w:val="00116A08"/>
    <w:rsid w:val="00117561"/>
    <w:rsid w:val="00120790"/>
    <w:rsid w:val="00120FC2"/>
    <w:rsid w:val="00121A78"/>
    <w:rsid w:val="00121C95"/>
    <w:rsid w:val="00122520"/>
    <w:rsid w:val="00122CFE"/>
    <w:rsid w:val="00124037"/>
    <w:rsid w:val="00125538"/>
    <w:rsid w:val="001259F1"/>
    <w:rsid w:val="0012600A"/>
    <w:rsid w:val="00126DAD"/>
    <w:rsid w:val="0013016F"/>
    <w:rsid w:val="001307D4"/>
    <w:rsid w:val="001312DA"/>
    <w:rsid w:val="0013202A"/>
    <w:rsid w:val="00132DF9"/>
    <w:rsid w:val="001338C0"/>
    <w:rsid w:val="00133FFB"/>
    <w:rsid w:val="00134CB7"/>
    <w:rsid w:val="001359FB"/>
    <w:rsid w:val="00140615"/>
    <w:rsid w:val="00140E79"/>
    <w:rsid w:val="00142B55"/>
    <w:rsid w:val="00143691"/>
    <w:rsid w:val="00144205"/>
    <w:rsid w:val="001451A9"/>
    <w:rsid w:val="0014558A"/>
    <w:rsid w:val="001457F4"/>
    <w:rsid w:val="001474C7"/>
    <w:rsid w:val="0014763F"/>
    <w:rsid w:val="0015075A"/>
    <w:rsid w:val="001507E7"/>
    <w:rsid w:val="00151200"/>
    <w:rsid w:val="0015422A"/>
    <w:rsid w:val="001542CC"/>
    <w:rsid w:val="001561CB"/>
    <w:rsid w:val="001619BD"/>
    <w:rsid w:val="00161E67"/>
    <w:rsid w:val="001647E8"/>
    <w:rsid w:val="00165196"/>
    <w:rsid w:val="001656E7"/>
    <w:rsid w:val="00165C8A"/>
    <w:rsid w:val="00170319"/>
    <w:rsid w:val="00170C51"/>
    <w:rsid w:val="001710D4"/>
    <w:rsid w:val="0017164D"/>
    <w:rsid w:val="00171B68"/>
    <w:rsid w:val="0017237B"/>
    <w:rsid w:val="00172A75"/>
    <w:rsid w:val="00173BC0"/>
    <w:rsid w:val="0017488C"/>
    <w:rsid w:val="001757DC"/>
    <w:rsid w:val="00175FF9"/>
    <w:rsid w:val="00177B59"/>
    <w:rsid w:val="001804FF"/>
    <w:rsid w:val="001808D4"/>
    <w:rsid w:val="00182260"/>
    <w:rsid w:val="001822BD"/>
    <w:rsid w:val="00182DDF"/>
    <w:rsid w:val="00184FCF"/>
    <w:rsid w:val="0018573F"/>
    <w:rsid w:val="00186F2C"/>
    <w:rsid w:val="00190A37"/>
    <w:rsid w:val="00191278"/>
    <w:rsid w:val="001927E3"/>
    <w:rsid w:val="00192E05"/>
    <w:rsid w:val="00196156"/>
    <w:rsid w:val="001963CE"/>
    <w:rsid w:val="00196C24"/>
    <w:rsid w:val="001970F4"/>
    <w:rsid w:val="00197D10"/>
    <w:rsid w:val="001A002A"/>
    <w:rsid w:val="001A0181"/>
    <w:rsid w:val="001A0862"/>
    <w:rsid w:val="001A0FDE"/>
    <w:rsid w:val="001A1174"/>
    <w:rsid w:val="001A187D"/>
    <w:rsid w:val="001A1D8A"/>
    <w:rsid w:val="001A378E"/>
    <w:rsid w:val="001A3F8E"/>
    <w:rsid w:val="001A596C"/>
    <w:rsid w:val="001A6D9A"/>
    <w:rsid w:val="001A6E9A"/>
    <w:rsid w:val="001B08C6"/>
    <w:rsid w:val="001B2BE3"/>
    <w:rsid w:val="001B2D8D"/>
    <w:rsid w:val="001B2E4A"/>
    <w:rsid w:val="001B3305"/>
    <w:rsid w:val="001B333F"/>
    <w:rsid w:val="001B4940"/>
    <w:rsid w:val="001B5720"/>
    <w:rsid w:val="001B7589"/>
    <w:rsid w:val="001B792E"/>
    <w:rsid w:val="001B7DC3"/>
    <w:rsid w:val="001C0541"/>
    <w:rsid w:val="001C058A"/>
    <w:rsid w:val="001C06F2"/>
    <w:rsid w:val="001C5EBB"/>
    <w:rsid w:val="001C681D"/>
    <w:rsid w:val="001C7082"/>
    <w:rsid w:val="001D0431"/>
    <w:rsid w:val="001D0515"/>
    <w:rsid w:val="001D1687"/>
    <w:rsid w:val="001D22A4"/>
    <w:rsid w:val="001D2907"/>
    <w:rsid w:val="001D2B98"/>
    <w:rsid w:val="001D2BFD"/>
    <w:rsid w:val="001D339A"/>
    <w:rsid w:val="001D446E"/>
    <w:rsid w:val="001D468C"/>
    <w:rsid w:val="001D6088"/>
    <w:rsid w:val="001D731B"/>
    <w:rsid w:val="001E0963"/>
    <w:rsid w:val="001E2108"/>
    <w:rsid w:val="001E319B"/>
    <w:rsid w:val="001E420B"/>
    <w:rsid w:val="001E50E4"/>
    <w:rsid w:val="001F02E5"/>
    <w:rsid w:val="001F0C98"/>
    <w:rsid w:val="001F29F8"/>
    <w:rsid w:val="001F30A2"/>
    <w:rsid w:val="001F42A2"/>
    <w:rsid w:val="001F4C88"/>
    <w:rsid w:val="001F5D08"/>
    <w:rsid w:val="00202135"/>
    <w:rsid w:val="0020227B"/>
    <w:rsid w:val="00203F83"/>
    <w:rsid w:val="002056E7"/>
    <w:rsid w:val="002064CD"/>
    <w:rsid w:val="00206D7C"/>
    <w:rsid w:val="002107A3"/>
    <w:rsid w:val="00213399"/>
    <w:rsid w:val="00213D03"/>
    <w:rsid w:val="00215352"/>
    <w:rsid w:val="0021776E"/>
    <w:rsid w:val="0022163D"/>
    <w:rsid w:val="002233C6"/>
    <w:rsid w:val="00225F8D"/>
    <w:rsid w:val="00227D28"/>
    <w:rsid w:val="002301FB"/>
    <w:rsid w:val="00230E43"/>
    <w:rsid w:val="00231492"/>
    <w:rsid w:val="0023398B"/>
    <w:rsid w:val="002344B9"/>
    <w:rsid w:val="00234735"/>
    <w:rsid w:val="002348EF"/>
    <w:rsid w:val="002353E0"/>
    <w:rsid w:val="002378D7"/>
    <w:rsid w:val="002379BA"/>
    <w:rsid w:val="00237AB4"/>
    <w:rsid w:val="00240DBA"/>
    <w:rsid w:val="002424A7"/>
    <w:rsid w:val="00242C16"/>
    <w:rsid w:val="00243444"/>
    <w:rsid w:val="00243787"/>
    <w:rsid w:val="00243B8D"/>
    <w:rsid w:val="0024481C"/>
    <w:rsid w:val="00250A43"/>
    <w:rsid w:val="00250B1F"/>
    <w:rsid w:val="00250C71"/>
    <w:rsid w:val="00250F55"/>
    <w:rsid w:val="0025226C"/>
    <w:rsid w:val="00253171"/>
    <w:rsid w:val="0025554E"/>
    <w:rsid w:val="00257B4C"/>
    <w:rsid w:val="00263BC6"/>
    <w:rsid w:val="002677F1"/>
    <w:rsid w:val="0026790A"/>
    <w:rsid w:val="0027084C"/>
    <w:rsid w:val="0027110D"/>
    <w:rsid w:val="00271485"/>
    <w:rsid w:val="00271603"/>
    <w:rsid w:val="002729A8"/>
    <w:rsid w:val="00272D26"/>
    <w:rsid w:val="00272D99"/>
    <w:rsid w:val="00273993"/>
    <w:rsid w:val="0027436A"/>
    <w:rsid w:val="00275B6C"/>
    <w:rsid w:val="00277E98"/>
    <w:rsid w:val="00280CE9"/>
    <w:rsid w:val="00281322"/>
    <w:rsid w:val="0028222B"/>
    <w:rsid w:val="0028238C"/>
    <w:rsid w:val="00284F00"/>
    <w:rsid w:val="002857EE"/>
    <w:rsid w:val="0028640E"/>
    <w:rsid w:val="002875DE"/>
    <w:rsid w:val="002900A1"/>
    <w:rsid w:val="002912C2"/>
    <w:rsid w:val="0029404E"/>
    <w:rsid w:val="00294241"/>
    <w:rsid w:val="00295D78"/>
    <w:rsid w:val="00296FBB"/>
    <w:rsid w:val="00297A8D"/>
    <w:rsid w:val="002A0678"/>
    <w:rsid w:val="002A12FB"/>
    <w:rsid w:val="002A197A"/>
    <w:rsid w:val="002A31E9"/>
    <w:rsid w:val="002A3F78"/>
    <w:rsid w:val="002A403A"/>
    <w:rsid w:val="002A44EF"/>
    <w:rsid w:val="002A6247"/>
    <w:rsid w:val="002B0108"/>
    <w:rsid w:val="002B1B26"/>
    <w:rsid w:val="002B23E0"/>
    <w:rsid w:val="002B3D07"/>
    <w:rsid w:val="002B3D0F"/>
    <w:rsid w:val="002B4387"/>
    <w:rsid w:val="002B4CA5"/>
    <w:rsid w:val="002B6B01"/>
    <w:rsid w:val="002B79D9"/>
    <w:rsid w:val="002C1B80"/>
    <w:rsid w:val="002C2D2D"/>
    <w:rsid w:val="002C35A6"/>
    <w:rsid w:val="002C53FA"/>
    <w:rsid w:val="002C76C8"/>
    <w:rsid w:val="002C7ADE"/>
    <w:rsid w:val="002D230F"/>
    <w:rsid w:val="002D240E"/>
    <w:rsid w:val="002D573C"/>
    <w:rsid w:val="002D5C43"/>
    <w:rsid w:val="002D7302"/>
    <w:rsid w:val="002E1508"/>
    <w:rsid w:val="002E3978"/>
    <w:rsid w:val="002E3DAA"/>
    <w:rsid w:val="002E43B0"/>
    <w:rsid w:val="002E4FFA"/>
    <w:rsid w:val="002E5FCE"/>
    <w:rsid w:val="002E6C1D"/>
    <w:rsid w:val="002E77BD"/>
    <w:rsid w:val="002F3C31"/>
    <w:rsid w:val="002F473B"/>
    <w:rsid w:val="002F4C67"/>
    <w:rsid w:val="0030240D"/>
    <w:rsid w:val="00302CCF"/>
    <w:rsid w:val="003035D0"/>
    <w:rsid w:val="00304102"/>
    <w:rsid w:val="0030554A"/>
    <w:rsid w:val="00305F34"/>
    <w:rsid w:val="00306104"/>
    <w:rsid w:val="0030613F"/>
    <w:rsid w:val="00306AB1"/>
    <w:rsid w:val="003076BA"/>
    <w:rsid w:val="00307DBF"/>
    <w:rsid w:val="003111FB"/>
    <w:rsid w:val="00311BB5"/>
    <w:rsid w:val="00312EB6"/>
    <w:rsid w:val="00312F65"/>
    <w:rsid w:val="003131D9"/>
    <w:rsid w:val="00313366"/>
    <w:rsid w:val="00313E37"/>
    <w:rsid w:val="00313E3F"/>
    <w:rsid w:val="003144F3"/>
    <w:rsid w:val="0031566F"/>
    <w:rsid w:val="00316312"/>
    <w:rsid w:val="00316840"/>
    <w:rsid w:val="00317A0E"/>
    <w:rsid w:val="00317EEA"/>
    <w:rsid w:val="00320582"/>
    <w:rsid w:val="00321D8B"/>
    <w:rsid w:val="0032559E"/>
    <w:rsid w:val="00326A17"/>
    <w:rsid w:val="00327A79"/>
    <w:rsid w:val="0033054D"/>
    <w:rsid w:val="00333DE1"/>
    <w:rsid w:val="003363D3"/>
    <w:rsid w:val="0033699E"/>
    <w:rsid w:val="003373A7"/>
    <w:rsid w:val="00340784"/>
    <w:rsid w:val="003425D7"/>
    <w:rsid w:val="00344672"/>
    <w:rsid w:val="003451A1"/>
    <w:rsid w:val="00345607"/>
    <w:rsid w:val="00351CA7"/>
    <w:rsid w:val="00353093"/>
    <w:rsid w:val="00353D72"/>
    <w:rsid w:val="0035465D"/>
    <w:rsid w:val="0035541E"/>
    <w:rsid w:val="00356072"/>
    <w:rsid w:val="0035646B"/>
    <w:rsid w:val="0035756D"/>
    <w:rsid w:val="00357B34"/>
    <w:rsid w:val="00361810"/>
    <w:rsid w:val="0036219A"/>
    <w:rsid w:val="003621B6"/>
    <w:rsid w:val="00362339"/>
    <w:rsid w:val="00362AA7"/>
    <w:rsid w:val="003636EA"/>
    <w:rsid w:val="00363DF0"/>
    <w:rsid w:val="003641BD"/>
    <w:rsid w:val="00364DC2"/>
    <w:rsid w:val="00365F44"/>
    <w:rsid w:val="00366DB9"/>
    <w:rsid w:val="00367719"/>
    <w:rsid w:val="0037188B"/>
    <w:rsid w:val="0037233D"/>
    <w:rsid w:val="00372874"/>
    <w:rsid w:val="00372CFD"/>
    <w:rsid w:val="00373F15"/>
    <w:rsid w:val="00374884"/>
    <w:rsid w:val="003819AE"/>
    <w:rsid w:val="00382C4A"/>
    <w:rsid w:val="00382EEE"/>
    <w:rsid w:val="0038437C"/>
    <w:rsid w:val="003865D8"/>
    <w:rsid w:val="00386E0F"/>
    <w:rsid w:val="0039132B"/>
    <w:rsid w:val="003926FB"/>
    <w:rsid w:val="00392DBF"/>
    <w:rsid w:val="003938D5"/>
    <w:rsid w:val="003948F0"/>
    <w:rsid w:val="00394B71"/>
    <w:rsid w:val="00394BBE"/>
    <w:rsid w:val="00394EEB"/>
    <w:rsid w:val="00395B97"/>
    <w:rsid w:val="00395BED"/>
    <w:rsid w:val="00397D04"/>
    <w:rsid w:val="003A02A2"/>
    <w:rsid w:val="003A0C28"/>
    <w:rsid w:val="003A0C84"/>
    <w:rsid w:val="003A1657"/>
    <w:rsid w:val="003A2451"/>
    <w:rsid w:val="003A254B"/>
    <w:rsid w:val="003A4126"/>
    <w:rsid w:val="003A44FF"/>
    <w:rsid w:val="003A5308"/>
    <w:rsid w:val="003A54D5"/>
    <w:rsid w:val="003A6C13"/>
    <w:rsid w:val="003A6C94"/>
    <w:rsid w:val="003A6CDD"/>
    <w:rsid w:val="003B22A3"/>
    <w:rsid w:val="003B275C"/>
    <w:rsid w:val="003B29D9"/>
    <w:rsid w:val="003B38F9"/>
    <w:rsid w:val="003B3A87"/>
    <w:rsid w:val="003B4213"/>
    <w:rsid w:val="003B4440"/>
    <w:rsid w:val="003B452C"/>
    <w:rsid w:val="003B539E"/>
    <w:rsid w:val="003B6450"/>
    <w:rsid w:val="003B648C"/>
    <w:rsid w:val="003B6A63"/>
    <w:rsid w:val="003C0B17"/>
    <w:rsid w:val="003C3291"/>
    <w:rsid w:val="003C3551"/>
    <w:rsid w:val="003C4232"/>
    <w:rsid w:val="003C4812"/>
    <w:rsid w:val="003C4DFD"/>
    <w:rsid w:val="003C4E38"/>
    <w:rsid w:val="003C52A5"/>
    <w:rsid w:val="003C7494"/>
    <w:rsid w:val="003D011A"/>
    <w:rsid w:val="003D06B6"/>
    <w:rsid w:val="003D23C1"/>
    <w:rsid w:val="003D247D"/>
    <w:rsid w:val="003D3DD8"/>
    <w:rsid w:val="003D4CC6"/>
    <w:rsid w:val="003D52F8"/>
    <w:rsid w:val="003D54EB"/>
    <w:rsid w:val="003D6185"/>
    <w:rsid w:val="003D6D1A"/>
    <w:rsid w:val="003D724A"/>
    <w:rsid w:val="003E03FD"/>
    <w:rsid w:val="003E0F59"/>
    <w:rsid w:val="003E1F63"/>
    <w:rsid w:val="003E3E26"/>
    <w:rsid w:val="003E40D0"/>
    <w:rsid w:val="003E4CCB"/>
    <w:rsid w:val="003E7E46"/>
    <w:rsid w:val="003F0BBC"/>
    <w:rsid w:val="003F0C6B"/>
    <w:rsid w:val="003F1B59"/>
    <w:rsid w:val="003F1F78"/>
    <w:rsid w:val="003F2274"/>
    <w:rsid w:val="003F2B0D"/>
    <w:rsid w:val="003F3151"/>
    <w:rsid w:val="003F52E3"/>
    <w:rsid w:val="003F5D48"/>
    <w:rsid w:val="003F709C"/>
    <w:rsid w:val="003F73B2"/>
    <w:rsid w:val="00400DF2"/>
    <w:rsid w:val="00400F0C"/>
    <w:rsid w:val="00401C36"/>
    <w:rsid w:val="00402297"/>
    <w:rsid w:val="00404ECC"/>
    <w:rsid w:val="00405308"/>
    <w:rsid w:val="0040581F"/>
    <w:rsid w:val="00407345"/>
    <w:rsid w:val="004106BB"/>
    <w:rsid w:val="00411A99"/>
    <w:rsid w:val="00412024"/>
    <w:rsid w:val="004126D3"/>
    <w:rsid w:val="00412BF0"/>
    <w:rsid w:val="0041484A"/>
    <w:rsid w:val="004152D8"/>
    <w:rsid w:val="0041586D"/>
    <w:rsid w:val="00415AA4"/>
    <w:rsid w:val="00417086"/>
    <w:rsid w:val="004206C9"/>
    <w:rsid w:val="00420FEE"/>
    <w:rsid w:val="00421A11"/>
    <w:rsid w:val="00423393"/>
    <w:rsid w:val="004267F0"/>
    <w:rsid w:val="004274C1"/>
    <w:rsid w:val="00427BF8"/>
    <w:rsid w:val="00430099"/>
    <w:rsid w:val="004303DA"/>
    <w:rsid w:val="00431E59"/>
    <w:rsid w:val="00433A5B"/>
    <w:rsid w:val="004346CE"/>
    <w:rsid w:val="00435FA7"/>
    <w:rsid w:val="00436D2F"/>
    <w:rsid w:val="004376BC"/>
    <w:rsid w:val="0044182B"/>
    <w:rsid w:val="004464E7"/>
    <w:rsid w:val="0045008A"/>
    <w:rsid w:val="004505E6"/>
    <w:rsid w:val="00452C21"/>
    <w:rsid w:val="0045350B"/>
    <w:rsid w:val="0045439F"/>
    <w:rsid w:val="00456415"/>
    <w:rsid w:val="00462595"/>
    <w:rsid w:val="00464DBA"/>
    <w:rsid w:val="00466A29"/>
    <w:rsid w:val="00466AFF"/>
    <w:rsid w:val="004672A5"/>
    <w:rsid w:val="00467EDB"/>
    <w:rsid w:val="004709E0"/>
    <w:rsid w:val="0047220A"/>
    <w:rsid w:val="0047287A"/>
    <w:rsid w:val="00472FED"/>
    <w:rsid w:val="004737CA"/>
    <w:rsid w:val="00473DC2"/>
    <w:rsid w:val="00473E1A"/>
    <w:rsid w:val="00473F0C"/>
    <w:rsid w:val="00474A2A"/>
    <w:rsid w:val="0047669C"/>
    <w:rsid w:val="004769BE"/>
    <w:rsid w:val="00477BE7"/>
    <w:rsid w:val="00481DFA"/>
    <w:rsid w:val="00482DB7"/>
    <w:rsid w:val="004832F5"/>
    <w:rsid w:val="004854A2"/>
    <w:rsid w:val="00486906"/>
    <w:rsid w:val="0048729C"/>
    <w:rsid w:val="0049418B"/>
    <w:rsid w:val="004962E2"/>
    <w:rsid w:val="00496987"/>
    <w:rsid w:val="00497529"/>
    <w:rsid w:val="004A1969"/>
    <w:rsid w:val="004A1B7D"/>
    <w:rsid w:val="004A2511"/>
    <w:rsid w:val="004A3932"/>
    <w:rsid w:val="004A4326"/>
    <w:rsid w:val="004A4B66"/>
    <w:rsid w:val="004A6D80"/>
    <w:rsid w:val="004A722D"/>
    <w:rsid w:val="004B0315"/>
    <w:rsid w:val="004B3F70"/>
    <w:rsid w:val="004B414C"/>
    <w:rsid w:val="004B41B1"/>
    <w:rsid w:val="004B5DFA"/>
    <w:rsid w:val="004B60F0"/>
    <w:rsid w:val="004B697D"/>
    <w:rsid w:val="004B7CF0"/>
    <w:rsid w:val="004C2B0B"/>
    <w:rsid w:val="004C37AF"/>
    <w:rsid w:val="004C4EAE"/>
    <w:rsid w:val="004C5198"/>
    <w:rsid w:val="004C7DE3"/>
    <w:rsid w:val="004D0690"/>
    <w:rsid w:val="004D0B6E"/>
    <w:rsid w:val="004D15D7"/>
    <w:rsid w:val="004D3121"/>
    <w:rsid w:val="004D3DCF"/>
    <w:rsid w:val="004D3FAD"/>
    <w:rsid w:val="004D559C"/>
    <w:rsid w:val="004D68F3"/>
    <w:rsid w:val="004E0BD6"/>
    <w:rsid w:val="004E111D"/>
    <w:rsid w:val="004E337A"/>
    <w:rsid w:val="004E5225"/>
    <w:rsid w:val="004E54E9"/>
    <w:rsid w:val="004E623F"/>
    <w:rsid w:val="004E7571"/>
    <w:rsid w:val="004E7FFC"/>
    <w:rsid w:val="004F2160"/>
    <w:rsid w:val="004F2165"/>
    <w:rsid w:val="004F2518"/>
    <w:rsid w:val="004F3E1E"/>
    <w:rsid w:val="004F4F59"/>
    <w:rsid w:val="004F52CB"/>
    <w:rsid w:val="004F6CE8"/>
    <w:rsid w:val="005007A3"/>
    <w:rsid w:val="00500E1C"/>
    <w:rsid w:val="00501581"/>
    <w:rsid w:val="00501BA3"/>
    <w:rsid w:val="005024B4"/>
    <w:rsid w:val="00502FD4"/>
    <w:rsid w:val="0050306E"/>
    <w:rsid w:val="005051FD"/>
    <w:rsid w:val="00505D61"/>
    <w:rsid w:val="005064C0"/>
    <w:rsid w:val="0050661F"/>
    <w:rsid w:val="005132A7"/>
    <w:rsid w:val="00514C65"/>
    <w:rsid w:val="00515008"/>
    <w:rsid w:val="005155FB"/>
    <w:rsid w:val="005160C5"/>
    <w:rsid w:val="0051705A"/>
    <w:rsid w:val="00517F8B"/>
    <w:rsid w:val="0052005F"/>
    <w:rsid w:val="005202A6"/>
    <w:rsid w:val="00523941"/>
    <w:rsid w:val="00523E3E"/>
    <w:rsid w:val="00527A8C"/>
    <w:rsid w:val="00533A3C"/>
    <w:rsid w:val="00535304"/>
    <w:rsid w:val="005359B7"/>
    <w:rsid w:val="0053690C"/>
    <w:rsid w:val="00540AD9"/>
    <w:rsid w:val="005422E6"/>
    <w:rsid w:val="00542E68"/>
    <w:rsid w:val="0054511E"/>
    <w:rsid w:val="0054666A"/>
    <w:rsid w:val="0055050E"/>
    <w:rsid w:val="005512B2"/>
    <w:rsid w:val="00552289"/>
    <w:rsid w:val="0055254D"/>
    <w:rsid w:val="00555114"/>
    <w:rsid w:val="005563F3"/>
    <w:rsid w:val="005564B3"/>
    <w:rsid w:val="00557109"/>
    <w:rsid w:val="005603C6"/>
    <w:rsid w:val="005606D6"/>
    <w:rsid w:val="0056163A"/>
    <w:rsid w:val="005628B7"/>
    <w:rsid w:val="00562A76"/>
    <w:rsid w:val="005635CE"/>
    <w:rsid w:val="00565F32"/>
    <w:rsid w:val="00566C5C"/>
    <w:rsid w:val="00567280"/>
    <w:rsid w:val="005704E4"/>
    <w:rsid w:val="00570562"/>
    <w:rsid w:val="00570869"/>
    <w:rsid w:val="00571D39"/>
    <w:rsid w:val="00572C91"/>
    <w:rsid w:val="00575D3B"/>
    <w:rsid w:val="00575DC2"/>
    <w:rsid w:val="0057695E"/>
    <w:rsid w:val="00576C77"/>
    <w:rsid w:val="005772B2"/>
    <w:rsid w:val="00577502"/>
    <w:rsid w:val="00577665"/>
    <w:rsid w:val="00581BEE"/>
    <w:rsid w:val="00581E7F"/>
    <w:rsid w:val="00583385"/>
    <w:rsid w:val="005844D9"/>
    <w:rsid w:val="005871B9"/>
    <w:rsid w:val="005940C1"/>
    <w:rsid w:val="00594860"/>
    <w:rsid w:val="005969C2"/>
    <w:rsid w:val="00596B56"/>
    <w:rsid w:val="005A074A"/>
    <w:rsid w:val="005A1924"/>
    <w:rsid w:val="005A25BA"/>
    <w:rsid w:val="005A2B9A"/>
    <w:rsid w:val="005A2FF1"/>
    <w:rsid w:val="005A315C"/>
    <w:rsid w:val="005A6F7E"/>
    <w:rsid w:val="005A70F1"/>
    <w:rsid w:val="005A79D6"/>
    <w:rsid w:val="005B001F"/>
    <w:rsid w:val="005B249C"/>
    <w:rsid w:val="005B3449"/>
    <w:rsid w:val="005B519F"/>
    <w:rsid w:val="005B5644"/>
    <w:rsid w:val="005B66D2"/>
    <w:rsid w:val="005B6CE4"/>
    <w:rsid w:val="005B709B"/>
    <w:rsid w:val="005C196C"/>
    <w:rsid w:val="005C1E2D"/>
    <w:rsid w:val="005C2575"/>
    <w:rsid w:val="005C2587"/>
    <w:rsid w:val="005C2F7C"/>
    <w:rsid w:val="005C3335"/>
    <w:rsid w:val="005C3501"/>
    <w:rsid w:val="005C49FC"/>
    <w:rsid w:val="005C5332"/>
    <w:rsid w:val="005C5CE0"/>
    <w:rsid w:val="005C600D"/>
    <w:rsid w:val="005D0BEF"/>
    <w:rsid w:val="005D1997"/>
    <w:rsid w:val="005D6D89"/>
    <w:rsid w:val="005D7D55"/>
    <w:rsid w:val="005E0D0D"/>
    <w:rsid w:val="005E1BA9"/>
    <w:rsid w:val="005E28A8"/>
    <w:rsid w:val="005E6927"/>
    <w:rsid w:val="005E7F61"/>
    <w:rsid w:val="005F0D4D"/>
    <w:rsid w:val="005F0FA2"/>
    <w:rsid w:val="005F10D6"/>
    <w:rsid w:val="005F22C1"/>
    <w:rsid w:val="005F2D7A"/>
    <w:rsid w:val="005F31E2"/>
    <w:rsid w:val="005F3AA5"/>
    <w:rsid w:val="005F3D7A"/>
    <w:rsid w:val="005F3EC3"/>
    <w:rsid w:val="005F41BA"/>
    <w:rsid w:val="005F42B3"/>
    <w:rsid w:val="005F7494"/>
    <w:rsid w:val="00600970"/>
    <w:rsid w:val="006011C5"/>
    <w:rsid w:val="0060124E"/>
    <w:rsid w:val="00601DA3"/>
    <w:rsid w:val="006020ED"/>
    <w:rsid w:val="00605706"/>
    <w:rsid w:val="00607115"/>
    <w:rsid w:val="00607A6D"/>
    <w:rsid w:val="00607A90"/>
    <w:rsid w:val="00610C65"/>
    <w:rsid w:val="00611607"/>
    <w:rsid w:val="00612FF3"/>
    <w:rsid w:val="00614F2C"/>
    <w:rsid w:val="0061691D"/>
    <w:rsid w:val="00622100"/>
    <w:rsid w:val="006236B0"/>
    <w:rsid w:val="006247A0"/>
    <w:rsid w:val="00625BDC"/>
    <w:rsid w:val="00626442"/>
    <w:rsid w:val="00626B89"/>
    <w:rsid w:val="0063569D"/>
    <w:rsid w:val="00635E7D"/>
    <w:rsid w:val="00636107"/>
    <w:rsid w:val="0063680E"/>
    <w:rsid w:val="00636C20"/>
    <w:rsid w:val="0064230E"/>
    <w:rsid w:val="00644B30"/>
    <w:rsid w:val="006452AD"/>
    <w:rsid w:val="0065224D"/>
    <w:rsid w:val="00652D2C"/>
    <w:rsid w:val="00653F90"/>
    <w:rsid w:val="0065439D"/>
    <w:rsid w:val="00656CB0"/>
    <w:rsid w:val="006572A6"/>
    <w:rsid w:val="00657D3B"/>
    <w:rsid w:val="00660053"/>
    <w:rsid w:val="00662ACA"/>
    <w:rsid w:val="0066327D"/>
    <w:rsid w:val="00664EA6"/>
    <w:rsid w:val="00667E8D"/>
    <w:rsid w:val="00670366"/>
    <w:rsid w:val="00671F7A"/>
    <w:rsid w:val="006726C9"/>
    <w:rsid w:val="00672B23"/>
    <w:rsid w:val="0067431F"/>
    <w:rsid w:val="00674B03"/>
    <w:rsid w:val="006764FB"/>
    <w:rsid w:val="00677C04"/>
    <w:rsid w:val="00680159"/>
    <w:rsid w:val="00680F91"/>
    <w:rsid w:val="00681A5E"/>
    <w:rsid w:val="00681E93"/>
    <w:rsid w:val="00681F7A"/>
    <w:rsid w:val="00684078"/>
    <w:rsid w:val="00684596"/>
    <w:rsid w:val="00685030"/>
    <w:rsid w:val="00685512"/>
    <w:rsid w:val="006860EC"/>
    <w:rsid w:val="006901E2"/>
    <w:rsid w:val="00690BD4"/>
    <w:rsid w:val="006921CA"/>
    <w:rsid w:val="00692EFB"/>
    <w:rsid w:val="00693962"/>
    <w:rsid w:val="00694466"/>
    <w:rsid w:val="00696945"/>
    <w:rsid w:val="00696DFE"/>
    <w:rsid w:val="00696E2F"/>
    <w:rsid w:val="00696F77"/>
    <w:rsid w:val="0069747C"/>
    <w:rsid w:val="00697B78"/>
    <w:rsid w:val="006A059C"/>
    <w:rsid w:val="006A22E7"/>
    <w:rsid w:val="006A2545"/>
    <w:rsid w:val="006A2AEE"/>
    <w:rsid w:val="006A2EFF"/>
    <w:rsid w:val="006A34A9"/>
    <w:rsid w:val="006A448D"/>
    <w:rsid w:val="006A57C5"/>
    <w:rsid w:val="006B0C45"/>
    <w:rsid w:val="006B1E81"/>
    <w:rsid w:val="006B33F8"/>
    <w:rsid w:val="006B3941"/>
    <w:rsid w:val="006B3CE1"/>
    <w:rsid w:val="006B5449"/>
    <w:rsid w:val="006B54A1"/>
    <w:rsid w:val="006B7236"/>
    <w:rsid w:val="006B78A3"/>
    <w:rsid w:val="006C1FCA"/>
    <w:rsid w:val="006C3302"/>
    <w:rsid w:val="006C3963"/>
    <w:rsid w:val="006C42D6"/>
    <w:rsid w:val="006C6708"/>
    <w:rsid w:val="006C6A97"/>
    <w:rsid w:val="006D00FB"/>
    <w:rsid w:val="006D1E24"/>
    <w:rsid w:val="006D2D60"/>
    <w:rsid w:val="006D6D6D"/>
    <w:rsid w:val="006D76C3"/>
    <w:rsid w:val="006E0A3F"/>
    <w:rsid w:val="006E16BA"/>
    <w:rsid w:val="006E3146"/>
    <w:rsid w:val="006E408F"/>
    <w:rsid w:val="006E49C6"/>
    <w:rsid w:val="006E6420"/>
    <w:rsid w:val="006F0AB9"/>
    <w:rsid w:val="006F23C7"/>
    <w:rsid w:val="006F34A7"/>
    <w:rsid w:val="006F63E2"/>
    <w:rsid w:val="006F652A"/>
    <w:rsid w:val="006F6EC3"/>
    <w:rsid w:val="006F7BF3"/>
    <w:rsid w:val="00701880"/>
    <w:rsid w:val="00701BC5"/>
    <w:rsid w:val="007026DA"/>
    <w:rsid w:val="00704021"/>
    <w:rsid w:val="0070524C"/>
    <w:rsid w:val="0070707B"/>
    <w:rsid w:val="00707D34"/>
    <w:rsid w:val="00717FF4"/>
    <w:rsid w:val="00722429"/>
    <w:rsid w:val="007236B1"/>
    <w:rsid w:val="00725153"/>
    <w:rsid w:val="007254C6"/>
    <w:rsid w:val="00727FC8"/>
    <w:rsid w:val="00730107"/>
    <w:rsid w:val="00735FA3"/>
    <w:rsid w:val="00737845"/>
    <w:rsid w:val="007409B9"/>
    <w:rsid w:val="00740BD2"/>
    <w:rsid w:val="00740C84"/>
    <w:rsid w:val="007432BB"/>
    <w:rsid w:val="00743BF5"/>
    <w:rsid w:val="00744CC7"/>
    <w:rsid w:val="00745A69"/>
    <w:rsid w:val="00754863"/>
    <w:rsid w:val="00754F8B"/>
    <w:rsid w:val="007558E6"/>
    <w:rsid w:val="00756B68"/>
    <w:rsid w:val="00756C9A"/>
    <w:rsid w:val="007576E1"/>
    <w:rsid w:val="007605F1"/>
    <w:rsid w:val="007609AD"/>
    <w:rsid w:val="00761077"/>
    <w:rsid w:val="00761A30"/>
    <w:rsid w:val="00762B96"/>
    <w:rsid w:val="00763B48"/>
    <w:rsid w:val="00764C1E"/>
    <w:rsid w:val="00766293"/>
    <w:rsid w:val="007665C4"/>
    <w:rsid w:val="00766A96"/>
    <w:rsid w:val="007675FC"/>
    <w:rsid w:val="007700F8"/>
    <w:rsid w:val="00770C9E"/>
    <w:rsid w:val="007711B2"/>
    <w:rsid w:val="00771F74"/>
    <w:rsid w:val="00777229"/>
    <w:rsid w:val="00777B9E"/>
    <w:rsid w:val="00780EAB"/>
    <w:rsid w:val="00781F03"/>
    <w:rsid w:val="00782435"/>
    <w:rsid w:val="00782A2C"/>
    <w:rsid w:val="00782B2B"/>
    <w:rsid w:val="007831A9"/>
    <w:rsid w:val="00784605"/>
    <w:rsid w:val="00785006"/>
    <w:rsid w:val="00787A79"/>
    <w:rsid w:val="00787EFC"/>
    <w:rsid w:val="00790E7D"/>
    <w:rsid w:val="00791058"/>
    <w:rsid w:val="00791E77"/>
    <w:rsid w:val="00794898"/>
    <w:rsid w:val="007953E2"/>
    <w:rsid w:val="007962AD"/>
    <w:rsid w:val="007976DA"/>
    <w:rsid w:val="007A1262"/>
    <w:rsid w:val="007A27B6"/>
    <w:rsid w:val="007A2944"/>
    <w:rsid w:val="007A40E5"/>
    <w:rsid w:val="007A51D0"/>
    <w:rsid w:val="007A5814"/>
    <w:rsid w:val="007A6615"/>
    <w:rsid w:val="007A68D0"/>
    <w:rsid w:val="007A6E39"/>
    <w:rsid w:val="007A79F4"/>
    <w:rsid w:val="007B063B"/>
    <w:rsid w:val="007B15E1"/>
    <w:rsid w:val="007B32E7"/>
    <w:rsid w:val="007B4C39"/>
    <w:rsid w:val="007B64F2"/>
    <w:rsid w:val="007B6597"/>
    <w:rsid w:val="007B6A43"/>
    <w:rsid w:val="007B7590"/>
    <w:rsid w:val="007B75D1"/>
    <w:rsid w:val="007B7C13"/>
    <w:rsid w:val="007C0383"/>
    <w:rsid w:val="007C0702"/>
    <w:rsid w:val="007C1336"/>
    <w:rsid w:val="007C2FD2"/>
    <w:rsid w:val="007C4683"/>
    <w:rsid w:val="007C5E83"/>
    <w:rsid w:val="007C654A"/>
    <w:rsid w:val="007D3C78"/>
    <w:rsid w:val="007D4EB1"/>
    <w:rsid w:val="007D5D5D"/>
    <w:rsid w:val="007D7CEB"/>
    <w:rsid w:val="007E1510"/>
    <w:rsid w:val="007E2178"/>
    <w:rsid w:val="007E2D97"/>
    <w:rsid w:val="007E2FB5"/>
    <w:rsid w:val="007E3273"/>
    <w:rsid w:val="007E3DE5"/>
    <w:rsid w:val="007E4212"/>
    <w:rsid w:val="007E4B9D"/>
    <w:rsid w:val="007F1564"/>
    <w:rsid w:val="007F22F1"/>
    <w:rsid w:val="007F25FF"/>
    <w:rsid w:val="007F2A8A"/>
    <w:rsid w:val="007F2E53"/>
    <w:rsid w:val="007F3BAC"/>
    <w:rsid w:val="007F41B1"/>
    <w:rsid w:val="007F54B5"/>
    <w:rsid w:val="007F5863"/>
    <w:rsid w:val="007F6A3D"/>
    <w:rsid w:val="007F759C"/>
    <w:rsid w:val="007F7942"/>
    <w:rsid w:val="00800DE8"/>
    <w:rsid w:val="008011DE"/>
    <w:rsid w:val="00801FC0"/>
    <w:rsid w:val="008042A9"/>
    <w:rsid w:val="008052E5"/>
    <w:rsid w:val="008053DE"/>
    <w:rsid w:val="00805EAC"/>
    <w:rsid w:val="00807333"/>
    <w:rsid w:val="0081007A"/>
    <w:rsid w:val="0081012F"/>
    <w:rsid w:val="008106B4"/>
    <w:rsid w:val="008117E0"/>
    <w:rsid w:val="00811B6B"/>
    <w:rsid w:val="00812330"/>
    <w:rsid w:val="008127C7"/>
    <w:rsid w:val="0081390B"/>
    <w:rsid w:val="00813BD7"/>
    <w:rsid w:val="008150F7"/>
    <w:rsid w:val="00817648"/>
    <w:rsid w:val="00825257"/>
    <w:rsid w:val="00826744"/>
    <w:rsid w:val="008274CD"/>
    <w:rsid w:val="008276F7"/>
    <w:rsid w:val="00827CB3"/>
    <w:rsid w:val="00830096"/>
    <w:rsid w:val="008306E5"/>
    <w:rsid w:val="00830CE1"/>
    <w:rsid w:val="00836274"/>
    <w:rsid w:val="0083671F"/>
    <w:rsid w:val="0083750B"/>
    <w:rsid w:val="0084143B"/>
    <w:rsid w:val="00842668"/>
    <w:rsid w:val="00843A32"/>
    <w:rsid w:val="00844ED2"/>
    <w:rsid w:val="008471B3"/>
    <w:rsid w:val="00847E3B"/>
    <w:rsid w:val="00851529"/>
    <w:rsid w:val="00852BA2"/>
    <w:rsid w:val="0085437D"/>
    <w:rsid w:val="00857DE1"/>
    <w:rsid w:val="00860999"/>
    <w:rsid w:val="008632C0"/>
    <w:rsid w:val="008647D4"/>
    <w:rsid w:val="00866C86"/>
    <w:rsid w:val="0087073D"/>
    <w:rsid w:val="0087134D"/>
    <w:rsid w:val="00871D2F"/>
    <w:rsid w:val="00871EA0"/>
    <w:rsid w:val="008733D5"/>
    <w:rsid w:val="008736EC"/>
    <w:rsid w:val="008737C7"/>
    <w:rsid w:val="00876A1F"/>
    <w:rsid w:val="008844D0"/>
    <w:rsid w:val="00885001"/>
    <w:rsid w:val="008851D6"/>
    <w:rsid w:val="00885CA2"/>
    <w:rsid w:val="00886993"/>
    <w:rsid w:val="008877EC"/>
    <w:rsid w:val="0089012F"/>
    <w:rsid w:val="00891355"/>
    <w:rsid w:val="00891ED5"/>
    <w:rsid w:val="00893AFD"/>
    <w:rsid w:val="008952BB"/>
    <w:rsid w:val="008953D3"/>
    <w:rsid w:val="00895B18"/>
    <w:rsid w:val="00896BE4"/>
    <w:rsid w:val="00897BD7"/>
    <w:rsid w:val="008A0364"/>
    <w:rsid w:val="008A0908"/>
    <w:rsid w:val="008A1223"/>
    <w:rsid w:val="008A27B3"/>
    <w:rsid w:val="008A3DEB"/>
    <w:rsid w:val="008A3E08"/>
    <w:rsid w:val="008A475C"/>
    <w:rsid w:val="008A48E6"/>
    <w:rsid w:val="008A4D29"/>
    <w:rsid w:val="008A52E2"/>
    <w:rsid w:val="008A6ABD"/>
    <w:rsid w:val="008A6F1D"/>
    <w:rsid w:val="008A7B29"/>
    <w:rsid w:val="008B1CF5"/>
    <w:rsid w:val="008B2337"/>
    <w:rsid w:val="008B2D54"/>
    <w:rsid w:val="008B333D"/>
    <w:rsid w:val="008B4558"/>
    <w:rsid w:val="008B5730"/>
    <w:rsid w:val="008B5938"/>
    <w:rsid w:val="008B64B4"/>
    <w:rsid w:val="008B7C94"/>
    <w:rsid w:val="008C040C"/>
    <w:rsid w:val="008C0BF0"/>
    <w:rsid w:val="008C0F36"/>
    <w:rsid w:val="008C1208"/>
    <w:rsid w:val="008C1F36"/>
    <w:rsid w:val="008C24A8"/>
    <w:rsid w:val="008C4F78"/>
    <w:rsid w:val="008C5794"/>
    <w:rsid w:val="008D0017"/>
    <w:rsid w:val="008D10AE"/>
    <w:rsid w:val="008D1C64"/>
    <w:rsid w:val="008D27AA"/>
    <w:rsid w:val="008D41B0"/>
    <w:rsid w:val="008D4944"/>
    <w:rsid w:val="008D5939"/>
    <w:rsid w:val="008D6610"/>
    <w:rsid w:val="008D68F1"/>
    <w:rsid w:val="008D78BB"/>
    <w:rsid w:val="008E01F2"/>
    <w:rsid w:val="008E19B1"/>
    <w:rsid w:val="008E2D19"/>
    <w:rsid w:val="008E6E8B"/>
    <w:rsid w:val="008E7EC8"/>
    <w:rsid w:val="008F2FBB"/>
    <w:rsid w:val="008F4A17"/>
    <w:rsid w:val="008F4BA4"/>
    <w:rsid w:val="008F5E24"/>
    <w:rsid w:val="008F66FB"/>
    <w:rsid w:val="009014D2"/>
    <w:rsid w:val="009016C9"/>
    <w:rsid w:val="009016CD"/>
    <w:rsid w:val="009019B8"/>
    <w:rsid w:val="0090304F"/>
    <w:rsid w:val="009035F2"/>
    <w:rsid w:val="0090365E"/>
    <w:rsid w:val="0090558F"/>
    <w:rsid w:val="009056D1"/>
    <w:rsid w:val="00907CBA"/>
    <w:rsid w:val="00910E66"/>
    <w:rsid w:val="00911682"/>
    <w:rsid w:val="00911BDC"/>
    <w:rsid w:val="00912303"/>
    <w:rsid w:val="0091322B"/>
    <w:rsid w:val="00913E33"/>
    <w:rsid w:val="009157B1"/>
    <w:rsid w:val="0092215D"/>
    <w:rsid w:val="00922E7D"/>
    <w:rsid w:val="00923656"/>
    <w:rsid w:val="00923FF6"/>
    <w:rsid w:val="00924BDF"/>
    <w:rsid w:val="0092644E"/>
    <w:rsid w:val="0093014F"/>
    <w:rsid w:val="00932C48"/>
    <w:rsid w:val="009332D1"/>
    <w:rsid w:val="0093414B"/>
    <w:rsid w:val="009351CF"/>
    <w:rsid w:val="00935757"/>
    <w:rsid w:val="00935B4C"/>
    <w:rsid w:val="00937EAC"/>
    <w:rsid w:val="00941692"/>
    <w:rsid w:val="00942494"/>
    <w:rsid w:val="00942BDA"/>
    <w:rsid w:val="00943D73"/>
    <w:rsid w:val="009451CF"/>
    <w:rsid w:val="00946FA3"/>
    <w:rsid w:val="0094770E"/>
    <w:rsid w:val="0095193D"/>
    <w:rsid w:val="00953026"/>
    <w:rsid w:val="00953404"/>
    <w:rsid w:val="00955045"/>
    <w:rsid w:val="00955998"/>
    <w:rsid w:val="00957134"/>
    <w:rsid w:val="009633D1"/>
    <w:rsid w:val="00963ADA"/>
    <w:rsid w:val="009640CA"/>
    <w:rsid w:val="00964EB9"/>
    <w:rsid w:val="009653F1"/>
    <w:rsid w:val="009675BD"/>
    <w:rsid w:val="00967906"/>
    <w:rsid w:val="00970B94"/>
    <w:rsid w:val="009733D5"/>
    <w:rsid w:val="00973C87"/>
    <w:rsid w:val="00975BA4"/>
    <w:rsid w:val="00976369"/>
    <w:rsid w:val="009767FC"/>
    <w:rsid w:val="009777D9"/>
    <w:rsid w:val="00985169"/>
    <w:rsid w:val="009871A7"/>
    <w:rsid w:val="0098776E"/>
    <w:rsid w:val="0099043A"/>
    <w:rsid w:val="0099070D"/>
    <w:rsid w:val="00993845"/>
    <w:rsid w:val="009944F6"/>
    <w:rsid w:val="0099561B"/>
    <w:rsid w:val="009964D2"/>
    <w:rsid w:val="009973DC"/>
    <w:rsid w:val="009977BA"/>
    <w:rsid w:val="009A0244"/>
    <w:rsid w:val="009A25CE"/>
    <w:rsid w:val="009A25D6"/>
    <w:rsid w:val="009A2A89"/>
    <w:rsid w:val="009A3017"/>
    <w:rsid w:val="009A3374"/>
    <w:rsid w:val="009A3561"/>
    <w:rsid w:val="009A483E"/>
    <w:rsid w:val="009A5A9A"/>
    <w:rsid w:val="009A5F3E"/>
    <w:rsid w:val="009A752A"/>
    <w:rsid w:val="009B0FF6"/>
    <w:rsid w:val="009B1805"/>
    <w:rsid w:val="009B2183"/>
    <w:rsid w:val="009B2F9A"/>
    <w:rsid w:val="009B6C97"/>
    <w:rsid w:val="009C034C"/>
    <w:rsid w:val="009C17E2"/>
    <w:rsid w:val="009C2905"/>
    <w:rsid w:val="009C2EB0"/>
    <w:rsid w:val="009C41C1"/>
    <w:rsid w:val="009C4285"/>
    <w:rsid w:val="009C44F7"/>
    <w:rsid w:val="009C4879"/>
    <w:rsid w:val="009C4A33"/>
    <w:rsid w:val="009C4D95"/>
    <w:rsid w:val="009D0B15"/>
    <w:rsid w:val="009D12C9"/>
    <w:rsid w:val="009D226B"/>
    <w:rsid w:val="009D2710"/>
    <w:rsid w:val="009D5BB3"/>
    <w:rsid w:val="009D75C0"/>
    <w:rsid w:val="009D76FE"/>
    <w:rsid w:val="009D7BBD"/>
    <w:rsid w:val="009E1F26"/>
    <w:rsid w:val="009E2589"/>
    <w:rsid w:val="009E451A"/>
    <w:rsid w:val="009E54E5"/>
    <w:rsid w:val="009E7C05"/>
    <w:rsid w:val="009F199D"/>
    <w:rsid w:val="009F1EC5"/>
    <w:rsid w:val="009F27AC"/>
    <w:rsid w:val="009F2855"/>
    <w:rsid w:val="009F2AD6"/>
    <w:rsid w:val="009F3963"/>
    <w:rsid w:val="009F6F55"/>
    <w:rsid w:val="009F7E82"/>
    <w:rsid w:val="00A006D8"/>
    <w:rsid w:val="00A03D2B"/>
    <w:rsid w:val="00A03DB9"/>
    <w:rsid w:val="00A0420A"/>
    <w:rsid w:val="00A04B75"/>
    <w:rsid w:val="00A078F4"/>
    <w:rsid w:val="00A10D66"/>
    <w:rsid w:val="00A11C72"/>
    <w:rsid w:val="00A13052"/>
    <w:rsid w:val="00A13392"/>
    <w:rsid w:val="00A16988"/>
    <w:rsid w:val="00A171C8"/>
    <w:rsid w:val="00A172DB"/>
    <w:rsid w:val="00A17734"/>
    <w:rsid w:val="00A21B5F"/>
    <w:rsid w:val="00A226DC"/>
    <w:rsid w:val="00A25AA7"/>
    <w:rsid w:val="00A27D0C"/>
    <w:rsid w:val="00A305B0"/>
    <w:rsid w:val="00A30E27"/>
    <w:rsid w:val="00A330BD"/>
    <w:rsid w:val="00A353DB"/>
    <w:rsid w:val="00A35C4E"/>
    <w:rsid w:val="00A36E86"/>
    <w:rsid w:val="00A402B0"/>
    <w:rsid w:val="00A42906"/>
    <w:rsid w:val="00A42A48"/>
    <w:rsid w:val="00A42DAC"/>
    <w:rsid w:val="00A43B66"/>
    <w:rsid w:val="00A444B5"/>
    <w:rsid w:val="00A445BE"/>
    <w:rsid w:val="00A4477A"/>
    <w:rsid w:val="00A449CD"/>
    <w:rsid w:val="00A454A1"/>
    <w:rsid w:val="00A45962"/>
    <w:rsid w:val="00A45C14"/>
    <w:rsid w:val="00A45D8D"/>
    <w:rsid w:val="00A51EB1"/>
    <w:rsid w:val="00A51F88"/>
    <w:rsid w:val="00A52FAD"/>
    <w:rsid w:val="00A532A3"/>
    <w:rsid w:val="00A5680F"/>
    <w:rsid w:val="00A56A7F"/>
    <w:rsid w:val="00A578FC"/>
    <w:rsid w:val="00A5795A"/>
    <w:rsid w:val="00A63FCA"/>
    <w:rsid w:val="00A64E41"/>
    <w:rsid w:val="00A64F63"/>
    <w:rsid w:val="00A65062"/>
    <w:rsid w:val="00A65A89"/>
    <w:rsid w:val="00A65E52"/>
    <w:rsid w:val="00A66A02"/>
    <w:rsid w:val="00A66CCB"/>
    <w:rsid w:val="00A67233"/>
    <w:rsid w:val="00A705EE"/>
    <w:rsid w:val="00A7106B"/>
    <w:rsid w:val="00A769C9"/>
    <w:rsid w:val="00A82274"/>
    <w:rsid w:val="00A822FC"/>
    <w:rsid w:val="00A831B7"/>
    <w:rsid w:val="00A84519"/>
    <w:rsid w:val="00A850FC"/>
    <w:rsid w:val="00A8761A"/>
    <w:rsid w:val="00A91A79"/>
    <w:rsid w:val="00A93658"/>
    <w:rsid w:val="00A96FE8"/>
    <w:rsid w:val="00AA225D"/>
    <w:rsid w:val="00AA4261"/>
    <w:rsid w:val="00AA4769"/>
    <w:rsid w:val="00AA65E5"/>
    <w:rsid w:val="00AA7F5E"/>
    <w:rsid w:val="00AB18D2"/>
    <w:rsid w:val="00AB1A62"/>
    <w:rsid w:val="00AB25AD"/>
    <w:rsid w:val="00AB27B0"/>
    <w:rsid w:val="00AB4517"/>
    <w:rsid w:val="00AB46A7"/>
    <w:rsid w:val="00AB4A71"/>
    <w:rsid w:val="00AB4B0B"/>
    <w:rsid w:val="00AB551E"/>
    <w:rsid w:val="00AB5FE0"/>
    <w:rsid w:val="00AC0A12"/>
    <w:rsid w:val="00AC12D8"/>
    <w:rsid w:val="00AC1FFD"/>
    <w:rsid w:val="00AC2B74"/>
    <w:rsid w:val="00AC3160"/>
    <w:rsid w:val="00AC6F31"/>
    <w:rsid w:val="00AC705E"/>
    <w:rsid w:val="00AC76E4"/>
    <w:rsid w:val="00AC7ED7"/>
    <w:rsid w:val="00AD050D"/>
    <w:rsid w:val="00AD1229"/>
    <w:rsid w:val="00AD1749"/>
    <w:rsid w:val="00AD4232"/>
    <w:rsid w:val="00AD62EB"/>
    <w:rsid w:val="00AD6772"/>
    <w:rsid w:val="00AD6899"/>
    <w:rsid w:val="00AD7850"/>
    <w:rsid w:val="00AD7C59"/>
    <w:rsid w:val="00AE23BA"/>
    <w:rsid w:val="00AE3569"/>
    <w:rsid w:val="00AE36F0"/>
    <w:rsid w:val="00AE74F6"/>
    <w:rsid w:val="00AE7F01"/>
    <w:rsid w:val="00AE7F9A"/>
    <w:rsid w:val="00AF1A02"/>
    <w:rsid w:val="00AF1E44"/>
    <w:rsid w:val="00AF2396"/>
    <w:rsid w:val="00AF628F"/>
    <w:rsid w:val="00AF68EA"/>
    <w:rsid w:val="00AF7748"/>
    <w:rsid w:val="00AF7FAC"/>
    <w:rsid w:val="00B005EC"/>
    <w:rsid w:val="00B04205"/>
    <w:rsid w:val="00B074B0"/>
    <w:rsid w:val="00B07977"/>
    <w:rsid w:val="00B07F9D"/>
    <w:rsid w:val="00B1046D"/>
    <w:rsid w:val="00B10DCB"/>
    <w:rsid w:val="00B1184E"/>
    <w:rsid w:val="00B11B49"/>
    <w:rsid w:val="00B12561"/>
    <w:rsid w:val="00B1293D"/>
    <w:rsid w:val="00B133BD"/>
    <w:rsid w:val="00B136E0"/>
    <w:rsid w:val="00B13B5E"/>
    <w:rsid w:val="00B14F59"/>
    <w:rsid w:val="00B1556D"/>
    <w:rsid w:val="00B168F6"/>
    <w:rsid w:val="00B177CF"/>
    <w:rsid w:val="00B17815"/>
    <w:rsid w:val="00B179DD"/>
    <w:rsid w:val="00B17C9F"/>
    <w:rsid w:val="00B204AF"/>
    <w:rsid w:val="00B2189D"/>
    <w:rsid w:val="00B23284"/>
    <w:rsid w:val="00B235F4"/>
    <w:rsid w:val="00B241D1"/>
    <w:rsid w:val="00B2452E"/>
    <w:rsid w:val="00B25525"/>
    <w:rsid w:val="00B31C88"/>
    <w:rsid w:val="00B361D0"/>
    <w:rsid w:val="00B36D74"/>
    <w:rsid w:val="00B372C4"/>
    <w:rsid w:val="00B3798E"/>
    <w:rsid w:val="00B379DA"/>
    <w:rsid w:val="00B412E2"/>
    <w:rsid w:val="00B41397"/>
    <w:rsid w:val="00B4370E"/>
    <w:rsid w:val="00B44089"/>
    <w:rsid w:val="00B446D4"/>
    <w:rsid w:val="00B44720"/>
    <w:rsid w:val="00B45414"/>
    <w:rsid w:val="00B454B2"/>
    <w:rsid w:val="00B46F63"/>
    <w:rsid w:val="00B473B6"/>
    <w:rsid w:val="00B47BBE"/>
    <w:rsid w:val="00B520EA"/>
    <w:rsid w:val="00B52705"/>
    <w:rsid w:val="00B53027"/>
    <w:rsid w:val="00B5335E"/>
    <w:rsid w:val="00B56BFA"/>
    <w:rsid w:val="00B57735"/>
    <w:rsid w:val="00B57F24"/>
    <w:rsid w:val="00B6169E"/>
    <w:rsid w:val="00B62094"/>
    <w:rsid w:val="00B62652"/>
    <w:rsid w:val="00B62CE5"/>
    <w:rsid w:val="00B62F6E"/>
    <w:rsid w:val="00B639C2"/>
    <w:rsid w:val="00B63BC2"/>
    <w:rsid w:val="00B655EF"/>
    <w:rsid w:val="00B65757"/>
    <w:rsid w:val="00B665A9"/>
    <w:rsid w:val="00B676F5"/>
    <w:rsid w:val="00B6775A"/>
    <w:rsid w:val="00B70D00"/>
    <w:rsid w:val="00B736E7"/>
    <w:rsid w:val="00B74449"/>
    <w:rsid w:val="00B76904"/>
    <w:rsid w:val="00B80528"/>
    <w:rsid w:val="00B8112E"/>
    <w:rsid w:val="00B82E08"/>
    <w:rsid w:val="00B838EE"/>
    <w:rsid w:val="00B8559A"/>
    <w:rsid w:val="00B8630E"/>
    <w:rsid w:val="00B8689A"/>
    <w:rsid w:val="00B87C9B"/>
    <w:rsid w:val="00B87E79"/>
    <w:rsid w:val="00B90166"/>
    <w:rsid w:val="00B92B34"/>
    <w:rsid w:val="00B93B85"/>
    <w:rsid w:val="00B953BC"/>
    <w:rsid w:val="00B95481"/>
    <w:rsid w:val="00B95F38"/>
    <w:rsid w:val="00B9629E"/>
    <w:rsid w:val="00BA07F9"/>
    <w:rsid w:val="00BA0E27"/>
    <w:rsid w:val="00BA18A7"/>
    <w:rsid w:val="00BA371C"/>
    <w:rsid w:val="00BA5260"/>
    <w:rsid w:val="00BA70F4"/>
    <w:rsid w:val="00BA781B"/>
    <w:rsid w:val="00BB1C0F"/>
    <w:rsid w:val="00BB2F96"/>
    <w:rsid w:val="00BB39AD"/>
    <w:rsid w:val="00BB53BA"/>
    <w:rsid w:val="00BB6915"/>
    <w:rsid w:val="00BB6B97"/>
    <w:rsid w:val="00BB6BEB"/>
    <w:rsid w:val="00BB6D9B"/>
    <w:rsid w:val="00BB742B"/>
    <w:rsid w:val="00BC02A1"/>
    <w:rsid w:val="00BC15F6"/>
    <w:rsid w:val="00BC316B"/>
    <w:rsid w:val="00BC42B3"/>
    <w:rsid w:val="00BC46DE"/>
    <w:rsid w:val="00BC5F68"/>
    <w:rsid w:val="00BC6B46"/>
    <w:rsid w:val="00BD0D33"/>
    <w:rsid w:val="00BD15B4"/>
    <w:rsid w:val="00BD162C"/>
    <w:rsid w:val="00BD2AD1"/>
    <w:rsid w:val="00BD2B26"/>
    <w:rsid w:val="00BD3909"/>
    <w:rsid w:val="00BD3C6A"/>
    <w:rsid w:val="00BD40B5"/>
    <w:rsid w:val="00BD438D"/>
    <w:rsid w:val="00BD43C8"/>
    <w:rsid w:val="00BD4983"/>
    <w:rsid w:val="00BD6D43"/>
    <w:rsid w:val="00BD7B9C"/>
    <w:rsid w:val="00BE3D9D"/>
    <w:rsid w:val="00BE56D3"/>
    <w:rsid w:val="00BE5D6C"/>
    <w:rsid w:val="00BE6315"/>
    <w:rsid w:val="00BE6925"/>
    <w:rsid w:val="00BE7141"/>
    <w:rsid w:val="00BE7C63"/>
    <w:rsid w:val="00BF566E"/>
    <w:rsid w:val="00BF5887"/>
    <w:rsid w:val="00BF5DE5"/>
    <w:rsid w:val="00BF6FEA"/>
    <w:rsid w:val="00BF7D86"/>
    <w:rsid w:val="00C00B78"/>
    <w:rsid w:val="00C022DA"/>
    <w:rsid w:val="00C02D20"/>
    <w:rsid w:val="00C037E3"/>
    <w:rsid w:val="00C04BDB"/>
    <w:rsid w:val="00C05CD6"/>
    <w:rsid w:val="00C0657A"/>
    <w:rsid w:val="00C0693F"/>
    <w:rsid w:val="00C06F65"/>
    <w:rsid w:val="00C072AC"/>
    <w:rsid w:val="00C10F73"/>
    <w:rsid w:val="00C124D0"/>
    <w:rsid w:val="00C14707"/>
    <w:rsid w:val="00C147DB"/>
    <w:rsid w:val="00C1578C"/>
    <w:rsid w:val="00C15B34"/>
    <w:rsid w:val="00C170AC"/>
    <w:rsid w:val="00C203A3"/>
    <w:rsid w:val="00C2422A"/>
    <w:rsid w:val="00C24380"/>
    <w:rsid w:val="00C24ADC"/>
    <w:rsid w:val="00C26432"/>
    <w:rsid w:val="00C2660D"/>
    <w:rsid w:val="00C269FB"/>
    <w:rsid w:val="00C30D34"/>
    <w:rsid w:val="00C31085"/>
    <w:rsid w:val="00C317B7"/>
    <w:rsid w:val="00C330FE"/>
    <w:rsid w:val="00C33366"/>
    <w:rsid w:val="00C338B6"/>
    <w:rsid w:val="00C34BC6"/>
    <w:rsid w:val="00C350F1"/>
    <w:rsid w:val="00C3665F"/>
    <w:rsid w:val="00C37499"/>
    <w:rsid w:val="00C4131A"/>
    <w:rsid w:val="00C43F76"/>
    <w:rsid w:val="00C451C3"/>
    <w:rsid w:val="00C469F9"/>
    <w:rsid w:val="00C46E8F"/>
    <w:rsid w:val="00C47469"/>
    <w:rsid w:val="00C50290"/>
    <w:rsid w:val="00C50293"/>
    <w:rsid w:val="00C518AE"/>
    <w:rsid w:val="00C52682"/>
    <w:rsid w:val="00C5393E"/>
    <w:rsid w:val="00C53E9E"/>
    <w:rsid w:val="00C540B7"/>
    <w:rsid w:val="00C54801"/>
    <w:rsid w:val="00C54BDC"/>
    <w:rsid w:val="00C54CD4"/>
    <w:rsid w:val="00C551AA"/>
    <w:rsid w:val="00C563DC"/>
    <w:rsid w:val="00C57935"/>
    <w:rsid w:val="00C6214B"/>
    <w:rsid w:val="00C62484"/>
    <w:rsid w:val="00C62C73"/>
    <w:rsid w:val="00C6339C"/>
    <w:rsid w:val="00C64D16"/>
    <w:rsid w:val="00C66C70"/>
    <w:rsid w:val="00C67B0F"/>
    <w:rsid w:val="00C72A07"/>
    <w:rsid w:val="00C72C78"/>
    <w:rsid w:val="00C7723A"/>
    <w:rsid w:val="00C80A1E"/>
    <w:rsid w:val="00C83C60"/>
    <w:rsid w:val="00C84D0E"/>
    <w:rsid w:val="00C8694B"/>
    <w:rsid w:val="00C86C44"/>
    <w:rsid w:val="00C91426"/>
    <w:rsid w:val="00C91529"/>
    <w:rsid w:val="00C96439"/>
    <w:rsid w:val="00C97492"/>
    <w:rsid w:val="00C97ACB"/>
    <w:rsid w:val="00CA06E9"/>
    <w:rsid w:val="00CA3B9D"/>
    <w:rsid w:val="00CA3C83"/>
    <w:rsid w:val="00CA4542"/>
    <w:rsid w:val="00CA7362"/>
    <w:rsid w:val="00CB13A0"/>
    <w:rsid w:val="00CB1856"/>
    <w:rsid w:val="00CB1FCC"/>
    <w:rsid w:val="00CB3BD7"/>
    <w:rsid w:val="00CB49A0"/>
    <w:rsid w:val="00CB50B0"/>
    <w:rsid w:val="00CB6563"/>
    <w:rsid w:val="00CB7E6F"/>
    <w:rsid w:val="00CC11A2"/>
    <w:rsid w:val="00CC19BB"/>
    <w:rsid w:val="00CC1EEC"/>
    <w:rsid w:val="00CC2409"/>
    <w:rsid w:val="00CC3955"/>
    <w:rsid w:val="00CC6BA5"/>
    <w:rsid w:val="00CC769D"/>
    <w:rsid w:val="00CD1887"/>
    <w:rsid w:val="00CD2F1C"/>
    <w:rsid w:val="00CD3481"/>
    <w:rsid w:val="00CD35CD"/>
    <w:rsid w:val="00CD430B"/>
    <w:rsid w:val="00CD46BC"/>
    <w:rsid w:val="00CD4F54"/>
    <w:rsid w:val="00CD5BEE"/>
    <w:rsid w:val="00CD6539"/>
    <w:rsid w:val="00CD672C"/>
    <w:rsid w:val="00CD729C"/>
    <w:rsid w:val="00CD7E9C"/>
    <w:rsid w:val="00CE10FB"/>
    <w:rsid w:val="00CE14F2"/>
    <w:rsid w:val="00CE3394"/>
    <w:rsid w:val="00CE43CE"/>
    <w:rsid w:val="00CE4ECA"/>
    <w:rsid w:val="00CE63DD"/>
    <w:rsid w:val="00CF11E1"/>
    <w:rsid w:val="00CF1D07"/>
    <w:rsid w:val="00CF32BD"/>
    <w:rsid w:val="00CF60EA"/>
    <w:rsid w:val="00D007DA"/>
    <w:rsid w:val="00D03DCC"/>
    <w:rsid w:val="00D064E7"/>
    <w:rsid w:val="00D070BE"/>
    <w:rsid w:val="00D071C9"/>
    <w:rsid w:val="00D07921"/>
    <w:rsid w:val="00D11BB7"/>
    <w:rsid w:val="00D1408A"/>
    <w:rsid w:val="00D164D4"/>
    <w:rsid w:val="00D178F1"/>
    <w:rsid w:val="00D2022D"/>
    <w:rsid w:val="00D20D9A"/>
    <w:rsid w:val="00D256DD"/>
    <w:rsid w:val="00D30195"/>
    <w:rsid w:val="00D301E2"/>
    <w:rsid w:val="00D31752"/>
    <w:rsid w:val="00D34D0B"/>
    <w:rsid w:val="00D35351"/>
    <w:rsid w:val="00D35A02"/>
    <w:rsid w:val="00D36D2D"/>
    <w:rsid w:val="00D37225"/>
    <w:rsid w:val="00D414F0"/>
    <w:rsid w:val="00D433EF"/>
    <w:rsid w:val="00D43957"/>
    <w:rsid w:val="00D4482A"/>
    <w:rsid w:val="00D44A4E"/>
    <w:rsid w:val="00D51999"/>
    <w:rsid w:val="00D51EE2"/>
    <w:rsid w:val="00D52FD1"/>
    <w:rsid w:val="00D548C3"/>
    <w:rsid w:val="00D5575F"/>
    <w:rsid w:val="00D57A65"/>
    <w:rsid w:val="00D60177"/>
    <w:rsid w:val="00D60C19"/>
    <w:rsid w:val="00D61684"/>
    <w:rsid w:val="00D62CAB"/>
    <w:rsid w:val="00D62F5A"/>
    <w:rsid w:val="00D641DB"/>
    <w:rsid w:val="00D64EE7"/>
    <w:rsid w:val="00D654C5"/>
    <w:rsid w:val="00D65C75"/>
    <w:rsid w:val="00D66366"/>
    <w:rsid w:val="00D663BC"/>
    <w:rsid w:val="00D70742"/>
    <w:rsid w:val="00D71052"/>
    <w:rsid w:val="00D731C7"/>
    <w:rsid w:val="00D73965"/>
    <w:rsid w:val="00D75576"/>
    <w:rsid w:val="00D7571E"/>
    <w:rsid w:val="00D7583C"/>
    <w:rsid w:val="00D760CD"/>
    <w:rsid w:val="00D766BB"/>
    <w:rsid w:val="00D80035"/>
    <w:rsid w:val="00D80ECB"/>
    <w:rsid w:val="00D82A2D"/>
    <w:rsid w:val="00D82D6E"/>
    <w:rsid w:val="00D83F70"/>
    <w:rsid w:val="00D84394"/>
    <w:rsid w:val="00D84EC5"/>
    <w:rsid w:val="00D8511C"/>
    <w:rsid w:val="00D86ABF"/>
    <w:rsid w:val="00D87692"/>
    <w:rsid w:val="00D87933"/>
    <w:rsid w:val="00D87F0A"/>
    <w:rsid w:val="00D87FFE"/>
    <w:rsid w:val="00D9080A"/>
    <w:rsid w:val="00D92254"/>
    <w:rsid w:val="00D929DC"/>
    <w:rsid w:val="00D92FF6"/>
    <w:rsid w:val="00D9300C"/>
    <w:rsid w:val="00D9346F"/>
    <w:rsid w:val="00D93922"/>
    <w:rsid w:val="00D9582D"/>
    <w:rsid w:val="00D95CBC"/>
    <w:rsid w:val="00D960F0"/>
    <w:rsid w:val="00D96340"/>
    <w:rsid w:val="00D976C4"/>
    <w:rsid w:val="00DA03CC"/>
    <w:rsid w:val="00DA0AB6"/>
    <w:rsid w:val="00DA112A"/>
    <w:rsid w:val="00DA2330"/>
    <w:rsid w:val="00DA339B"/>
    <w:rsid w:val="00DA41F3"/>
    <w:rsid w:val="00DA559E"/>
    <w:rsid w:val="00DB33FA"/>
    <w:rsid w:val="00DC14EF"/>
    <w:rsid w:val="00DC2D4D"/>
    <w:rsid w:val="00DC3871"/>
    <w:rsid w:val="00DC3DAE"/>
    <w:rsid w:val="00DC5185"/>
    <w:rsid w:val="00DC51DE"/>
    <w:rsid w:val="00DC6085"/>
    <w:rsid w:val="00DC608A"/>
    <w:rsid w:val="00DC7518"/>
    <w:rsid w:val="00DC7AB9"/>
    <w:rsid w:val="00DD04BB"/>
    <w:rsid w:val="00DD10BF"/>
    <w:rsid w:val="00DD28F3"/>
    <w:rsid w:val="00DD5C7C"/>
    <w:rsid w:val="00DD61DC"/>
    <w:rsid w:val="00DD687A"/>
    <w:rsid w:val="00DD798F"/>
    <w:rsid w:val="00DE0A85"/>
    <w:rsid w:val="00DE0D16"/>
    <w:rsid w:val="00DE1015"/>
    <w:rsid w:val="00DE3CAB"/>
    <w:rsid w:val="00DE4538"/>
    <w:rsid w:val="00DE5104"/>
    <w:rsid w:val="00DE5DDD"/>
    <w:rsid w:val="00DE67EE"/>
    <w:rsid w:val="00DF09E8"/>
    <w:rsid w:val="00DF5722"/>
    <w:rsid w:val="00DF5B2A"/>
    <w:rsid w:val="00DF61DC"/>
    <w:rsid w:val="00DF6722"/>
    <w:rsid w:val="00DF685E"/>
    <w:rsid w:val="00DF7EA0"/>
    <w:rsid w:val="00E00C72"/>
    <w:rsid w:val="00E01164"/>
    <w:rsid w:val="00E01A5F"/>
    <w:rsid w:val="00E01DB4"/>
    <w:rsid w:val="00E01E2D"/>
    <w:rsid w:val="00E021C4"/>
    <w:rsid w:val="00E02D46"/>
    <w:rsid w:val="00E04659"/>
    <w:rsid w:val="00E05DF3"/>
    <w:rsid w:val="00E05E56"/>
    <w:rsid w:val="00E07889"/>
    <w:rsid w:val="00E07D42"/>
    <w:rsid w:val="00E1111B"/>
    <w:rsid w:val="00E12D27"/>
    <w:rsid w:val="00E131C6"/>
    <w:rsid w:val="00E144ED"/>
    <w:rsid w:val="00E15A6E"/>
    <w:rsid w:val="00E15CD7"/>
    <w:rsid w:val="00E21D1B"/>
    <w:rsid w:val="00E21FB8"/>
    <w:rsid w:val="00E22357"/>
    <w:rsid w:val="00E23539"/>
    <w:rsid w:val="00E23F95"/>
    <w:rsid w:val="00E241DD"/>
    <w:rsid w:val="00E2470C"/>
    <w:rsid w:val="00E24AB0"/>
    <w:rsid w:val="00E27500"/>
    <w:rsid w:val="00E30C86"/>
    <w:rsid w:val="00E31881"/>
    <w:rsid w:val="00E31ECD"/>
    <w:rsid w:val="00E323BB"/>
    <w:rsid w:val="00E3260D"/>
    <w:rsid w:val="00E3446A"/>
    <w:rsid w:val="00E36197"/>
    <w:rsid w:val="00E36FBF"/>
    <w:rsid w:val="00E3714A"/>
    <w:rsid w:val="00E406AC"/>
    <w:rsid w:val="00E41B86"/>
    <w:rsid w:val="00E43927"/>
    <w:rsid w:val="00E4538D"/>
    <w:rsid w:val="00E479AB"/>
    <w:rsid w:val="00E501B1"/>
    <w:rsid w:val="00E53685"/>
    <w:rsid w:val="00E55BB9"/>
    <w:rsid w:val="00E57DEB"/>
    <w:rsid w:val="00E612DC"/>
    <w:rsid w:val="00E62300"/>
    <w:rsid w:val="00E62B01"/>
    <w:rsid w:val="00E634C4"/>
    <w:rsid w:val="00E64559"/>
    <w:rsid w:val="00E64A3E"/>
    <w:rsid w:val="00E65329"/>
    <w:rsid w:val="00E66220"/>
    <w:rsid w:val="00E70078"/>
    <w:rsid w:val="00E71312"/>
    <w:rsid w:val="00E76371"/>
    <w:rsid w:val="00E76A97"/>
    <w:rsid w:val="00E775D6"/>
    <w:rsid w:val="00E81012"/>
    <w:rsid w:val="00E812C4"/>
    <w:rsid w:val="00E822B2"/>
    <w:rsid w:val="00E837F9"/>
    <w:rsid w:val="00E83879"/>
    <w:rsid w:val="00E85929"/>
    <w:rsid w:val="00E8668F"/>
    <w:rsid w:val="00E87043"/>
    <w:rsid w:val="00E87582"/>
    <w:rsid w:val="00E87EB5"/>
    <w:rsid w:val="00E942F5"/>
    <w:rsid w:val="00E94669"/>
    <w:rsid w:val="00EA0547"/>
    <w:rsid w:val="00EA09CB"/>
    <w:rsid w:val="00EA2A50"/>
    <w:rsid w:val="00EA3351"/>
    <w:rsid w:val="00EA78B0"/>
    <w:rsid w:val="00EA7A20"/>
    <w:rsid w:val="00EB0540"/>
    <w:rsid w:val="00EB138F"/>
    <w:rsid w:val="00EB60AB"/>
    <w:rsid w:val="00EB7BF8"/>
    <w:rsid w:val="00EC20B1"/>
    <w:rsid w:val="00EC314E"/>
    <w:rsid w:val="00EC379B"/>
    <w:rsid w:val="00EC3D5E"/>
    <w:rsid w:val="00EC58DA"/>
    <w:rsid w:val="00EC5CA0"/>
    <w:rsid w:val="00EC7ACD"/>
    <w:rsid w:val="00ED095A"/>
    <w:rsid w:val="00ED1526"/>
    <w:rsid w:val="00ED301D"/>
    <w:rsid w:val="00ED3374"/>
    <w:rsid w:val="00ED3BDB"/>
    <w:rsid w:val="00ED5097"/>
    <w:rsid w:val="00ED5513"/>
    <w:rsid w:val="00ED59FC"/>
    <w:rsid w:val="00ED6086"/>
    <w:rsid w:val="00ED71D8"/>
    <w:rsid w:val="00EE17C8"/>
    <w:rsid w:val="00EE4C22"/>
    <w:rsid w:val="00EE5337"/>
    <w:rsid w:val="00EE6489"/>
    <w:rsid w:val="00EF0592"/>
    <w:rsid w:val="00EF0C4E"/>
    <w:rsid w:val="00EF1247"/>
    <w:rsid w:val="00EF326B"/>
    <w:rsid w:val="00EF416A"/>
    <w:rsid w:val="00EF45A8"/>
    <w:rsid w:val="00EF5C08"/>
    <w:rsid w:val="00EF6913"/>
    <w:rsid w:val="00EF7BA2"/>
    <w:rsid w:val="00F010B4"/>
    <w:rsid w:val="00F01D32"/>
    <w:rsid w:val="00F02767"/>
    <w:rsid w:val="00F02C2C"/>
    <w:rsid w:val="00F030F1"/>
    <w:rsid w:val="00F031DB"/>
    <w:rsid w:val="00F03367"/>
    <w:rsid w:val="00F03D6D"/>
    <w:rsid w:val="00F0494B"/>
    <w:rsid w:val="00F04A70"/>
    <w:rsid w:val="00F04C54"/>
    <w:rsid w:val="00F05084"/>
    <w:rsid w:val="00F10DB4"/>
    <w:rsid w:val="00F12BF6"/>
    <w:rsid w:val="00F132BB"/>
    <w:rsid w:val="00F13D8C"/>
    <w:rsid w:val="00F16B67"/>
    <w:rsid w:val="00F16D28"/>
    <w:rsid w:val="00F16D55"/>
    <w:rsid w:val="00F17016"/>
    <w:rsid w:val="00F202B5"/>
    <w:rsid w:val="00F207E4"/>
    <w:rsid w:val="00F21190"/>
    <w:rsid w:val="00F227FA"/>
    <w:rsid w:val="00F229D6"/>
    <w:rsid w:val="00F23B8F"/>
    <w:rsid w:val="00F260EC"/>
    <w:rsid w:val="00F26C9C"/>
    <w:rsid w:val="00F33E34"/>
    <w:rsid w:val="00F3559C"/>
    <w:rsid w:val="00F3600C"/>
    <w:rsid w:val="00F407D0"/>
    <w:rsid w:val="00F42234"/>
    <w:rsid w:val="00F422B3"/>
    <w:rsid w:val="00F42AB5"/>
    <w:rsid w:val="00F4300E"/>
    <w:rsid w:val="00F431B0"/>
    <w:rsid w:val="00F43386"/>
    <w:rsid w:val="00F46DE1"/>
    <w:rsid w:val="00F47D5F"/>
    <w:rsid w:val="00F51CD5"/>
    <w:rsid w:val="00F5261F"/>
    <w:rsid w:val="00F54556"/>
    <w:rsid w:val="00F5679E"/>
    <w:rsid w:val="00F567D3"/>
    <w:rsid w:val="00F63B2A"/>
    <w:rsid w:val="00F64704"/>
    <w:rsid w:val="00F64B2D"/>
    <w:rsid w:val="00F66374"/>
    <w:rsid w:val="00F66772"/>
    <w:rsid w:val="00F70075"/>
    <w:rsid w:val="00F724DF"/>
    <w:rsid w:val="00F733FD"/>
    <w:rsid w:val="00F750F7"/>
    <w:rsid w:val="00F76A0F"/>
    <w:rsid w:val="00F76D5D"/>
    <w:rsid w:val="00F804D5"/>
    <w:rsid w:val="00F826DA"/>
    <w:rsid w:val="00F82B7B"/>
    <w:rsid w:val="00F83129"/>
    <w:rsid w:val="00F83144"/>
    <w:rsid w:val="00F8419D"/>
    <w:rsid w:val="00F84E1F"/>
    <w:rsid w:val="00F84F2A"/>
    <w:rsid w:val="00F84FF5"/>
    <w:rsid w:val="00F853F0"/>
    <w:rsid w:val="00F9006C"/>
    <w:rsid w:val="00F9113C"/>
    <w:rsid w:val="00F93D5D"/>
    <w:rsid w:val="00F94A53"/>
    <w:rsid w:val="00F950CA"/>
    <w:rsid w:val="00F95654"/>
    <w:rsid w:val="00F96907"/>
    <w:rsid w:val="00FA097A"/>
    <w:rsid w:val="00FA0B83"/>
    <w:rsid w:val="00FA0EA2"/>
    <w:rsid w:val="00FA0EED"/>
    <w:rsid w:val="00FA42C3"/>
    <w:rsid w:val="00FA4FE2"/>
    <w:rsid w:val="00FA54E0"/>
    <w:rsid w:val="00FA6454"/>
    <w:rsid w:val="00FA6A10"/>
    <w:rsid w:val="00FA6D94"/>
    <w:rsid w:val="00FB0CD0"/>
    <w:rsid w:val="00FB1116"/>
    <w:rsid w:val="00FB1FB0"/>
    <w:rsid w:val="00FB3DD1"/>
    <w:rsid w:val="00FB4B93"/>
    <w:rsid w:val="00FB52FD"/>
    <w:rsid w:val="00FC0837"/>
    <w:rsid w:val="00FC39F6"/>
    <w:rsid w:val="00FC7979"/>
    <w:rsid w:val="00FD0A8E"/>
    <w:rsid w:val="00FD0FB6"/>
    <w:rsid w:val="00FD3536"/>
    <w:rsid w:val="00FD3F63"/>
    <w:rsid w:val="00FD4678"/>
    <w:rsid w:val="00FD4C37"/>
    <w:rsid w:val="00FD51AC"/>
    <w:rsid w:val="00FE0E6C"/>
    <w:rsid w:val="00FE1BC8"/>
    <w:rsid w:val="00FE1ECC"/>
    <w:rsid w:val="00FE38C5"/>
    <w:rsid w:val="00FE4814"/>
    <w:rsid w:val="00FE682E"/>
    <w:rsid w:val="00FE76B6"/>
    <w:rsid w:val="00FE7E18"/>
    <w:rsid w:val="00FE7FE7"/>
    <w:rsid w:val="00FF0EBD"/>
    <w:rsid w:val="00FF3964"/>
    <w:rsid w:val="00FF4164"/>
    <w:rsid w:val="00FF61FD"/>
    <w:rsid w:val="00FF78A5"/>
    <w:rsid w:val="00FF7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5F9B55"/>
  <w15:docId w15:val="{D19DF9E8-414E-4AF8-AB99-C3F1224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4C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4CD"/>
    <w:pPr>
      <w:tabs>
        <w:tab w:val="center" w:pos="4320"/>
        <w:tab w:val="right" w:pos="8640"/>
      </w:tabs>
    </w:pPr>
  </w:style>
  <w:style w:type="paragraph" w:styleId="Footer">
    <w:name w:val="footer"/>
    <w:basedOn w:val="Normal"/>
    <w:rsid w:val="002064CD"/>
    <w:pPr>
      <w:tabs>
        <w:tab w:val="center" w:pos="4320"/>
        <w:tab w:val="right" w:pos="8640"/>
      </w:tabs>
    </w:pPr>
  </w:style>
  <w:style w:type="table" w:styleId="TableGrid">
    <w:name w:val="Table Grid"/>
    <w:basedOn w:val="TableNormal"/>
    <w:rsid w:val="002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064CD"/>
    <w:pPr>
      <w:spacing w:after="120"/>
    </w:pPr>
  </w:style>
  <w:style w:type="character" w:styleId="PageNumber">
    <w:name w:val="page number"/>
    <w:basedOn w:val="DefaultParagraphFont"/>
    <w:rsid w:val="002064CD"/>
  </w:style>
  <w:style w:type="paragraph" w:styleId="BodyTextIndent">
    <w:name w:val="Body Text Indent"/>
    <w:basedOn w:val="Normal"/>
    <w:rsid w:val="002064CD"/>
    <w:pPr>
      <w:spacing w:after="120"/>
      <w:ind w:left="360"/>
    </w:pPr>
  </w:style>
  <w:style w:type="paragraph" w:styleId="BodyText2">
    <w:name w:val="Body Text 2"/>
    <w:basedOn w:val="Normal"/>
    <w:rsid w:val="002064CD"/>
    <w:pPr>
      <w:spacing w:after="120" w:line="480" w:lineRule="auto"/>
    </w:pPr>
  </w:style>
  <w:style w:type="paragraph" w:styleId="BodyText3">
    <w:name w:val="Body Text 3"/>
    <w:basedOn w:val="Normal"/>
    <w:rsid w:val="002064CD"/>
    <w:pPr>
      <w:spacing w:after="120"/>
    </w:pPr>
    <w:rPr>
      <w:sz w:val="16"/>
      <w:szCs w:val="16"/>
    </w:rPr>
  </w:style>
  <w:style w:type="paragraph" w:customStyle="1" w:styleId="Default">
    <w:name w:val="Default"/>
    <w:rsid w:val="009B2183"/>
    <w:pPr>
      <w:autoSpaceDE w:val="0"/>
      <w:autoSpaceDN w:val="0"/>
      <w:adjustRightInd w:val="0"/>
    </w:pPr>
    <w:rPr>
      <w:rFonts w:ascii="Arial" w:hAnsi="Arial" w:cs="Arial"/>
      <w:color w:val="000000"/>
      <w:sz w:val="24"/>
      <w:szCs w:val="24"/>
    </w:rPr>
  </w:style>
  <w:style w:type="paragraph" w:styleId="BodyTextIndent2">
    <w:name w:val="Body Text Indent 2"/>
    <w:basedOn w:val="Normal"/>
    <w:rsid w:val="002B23E0"/>
    <w:pPr>
      <w:spacing w:after="120" w:line="480" w:lineRule="auto"/>
      <w:ind w:left="360"/>
    </w:pPr>
  </w:style>
  <w:style w:type="character" w:customStyle="1" w:styleId="apple-converted-space">
    <w:name w:val="apple-converted-space"/>
    <w:basedOn w:val="DefaultParagraphFont"/>
    <w:rsid w:val="00D80ECB"/>
  </w:style>
  <w:style w:type="paragraph" w:customStyle="1" w:styleId="CarCar">
    <w:name w:val="Car Car"/>
    <w:basedOn w:val="Normal"/>
    <w:rsid w:val="00306104"/>
    <w:pPr>
      <w:spacing w:after="160" w:line="240" w:lineRule="exact"/>
    </w:pPr>
    <w:rPr>
      <w:rFonts w:ascii="Verdana" w:hAnsi="Verdana"/>
      <w:i/>
      <w:sz w:val="20"/>
      <w:szCs w:val="20"/>
    </w:rPr>
  </w:style>
  <w:style w:type="character" w:styleId="Emphasis">
    <w:name w:val="Emphasis"/>
    <w:uiPriority w:val="20"/>
    <w:qFormat/>
    <w:rsid w:val="00312F65"/>
    <w:rPr>
      <w:i/>
      <w:iCs/>
    </w:rPr>
  </w:style>
  <w:style w:type="paragraph" w:styleId="BalloonText">
    <w:name w:val="Balloon Text"/>
    <w:basedOn w:val="Normal"/>
    <w:link w:val="BalloonTextChar"/>
    <w:rsid w:val="00DC7518"/>
    <w:rPr>
      <w:rFonts w:ascii="Tahoma" w:hAnsi="Tahoma" w:cs="Tahoma"/>
      <w:sz w:val="16"/>
      <w:szCs w:val="16"/>
    </w:rPr>
  </w:style>
  <w:style w:type="character" w:customStyle="1" w:styleId="BalloonTextChar">
    <w:name w:val="Balloon Text Char"/>
    <w:basedOn w:val="DefaultParagraphFont"/>
    <w:link w:val="BalloonText"/>
    <w:rsid w:val="00DC7518"/>
    <w:rPr>
      <w:rFonts w:ascii="Tahoma" w:hAnsi="Tahoma" w:cs="Tahoma"/>
      <w:sz w:val="16"/>
      <w:szCs w:val="16"/>
      <w:lang w:val="en-GB"/>
    </w:rPr>
  </w:style>
  <w:style w:type="character" w:styleId="Hyperlink">
    <w:name w:val="Hyperlink"/>
    <w:basedOn w:val="DefaultParagraphFont"/>
    <w:unhideWhenUsed/>
    <w:rsid w:val="007A6615"/>
    <w:rPr>
      <w:color w:val="0000FF" w:themeColor="hyperlink"/>
      <w:u w:val="single"/>
    </w:rPr>
  </w:style>
  <w:style w:type="character" w:styleId="UnresolvedMention">
    <w:name w:val="Unresolved Mention"/>
    <w:basedOn w:val="DefaultParagraphFont"/>
    <w:uiPriority w:val="99"/>
    <w:semiHidden/>
    <w:unhideWhenUsed/>
    <w:rsid w:val="007A6615"/>
    <w:rPr>
      <w:color w:val="605E5C"/>
      <w:shd w:val="clear" w:color="auto" w:fill="E1DFDD"/>
    </w:rPr>
  </w:style>
  <w:style w:type="paragraph" w:customStyle="1" w:styleId="xmsonormal">
    <w:name w:val="x_msonormal"/>
    <w:basedOn w:val="Normal"/>
    <w:rsid w:val="006A2EFF"/>
    <w:pPr>
      <w:spacing w:before="100" w:beforeAutospacing="1" w:after="100" w:afterAutospacing="1"/>
    </w:pPr>
    <w:rPr>
      <w:lang w:eastAsia="en-GB"/>
    </w:rPr>
  </w:style>
  <w:style w:type="paragraph" w:styleId="HTMLPreformatted">
    <w:name w:val="HTML Preformatted"/>
    <w:basedOn w:val="Normal"/>
    <w:link w:val="HTMLPreformattedChar"/>
    <w:uiPriority w:val="99"/>
    <w:semiHidden/>
    <w:unhideWhenUsed/>
    <w:rsid w:val="00C3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37499"/>
    <w:rPr>
      <w:rFonts w:ascii="Courier New" w:hAnsi="Courier New" w:cs="Courier New"/>
    </w:rPr>
  </w:style>
  <w:style w:type="character" w:customStyle="1" w:styleId="y2iqfc">
    <w:name w:val="y2iqfc"/>
    <w:basedOn w:val="DefaultParagraphFont"/>
    <w:rsid w:val="00C3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407">
      <w:bodyDiv w:val="1"/>
      <w:marLeft w:val="0"/>
      <w:marRight w:val="0"/>
      <w:marTop w:val="0"/>
      <w:marBottom w:val="0"/>
      <w:divBdr>
        <w:top w:val="none" w:sz="0" w:space="0" w:color="auto"/>
        <w:left w:val="none" w:sz="0" w:space="0" w:color="auto"/>
        <w:bottom w:val="none" w:sz="0" w:space="0" w:color="auto"/>
        <w:right w:val="none" w:sz="0" w:space="0" w:color="auto"/>
      </w:divBdr>
    </w:div>
    <w:div w:id="281115334">
      <w:bodyDiv w:val="1"/>
      <w:marLeft w:val="0"/>
      <w:marRight w:val="0"/>
      <w:marTop w:val="0"/>
      <w:marBottom w:val="0"/>
      <w:divBdr>
        <w:top w:val="none" w:sz="0" w:space="0" w:color="auto"/>
        <w:left w:val="none" w:sz="0" w:space="0" w:color="auto"/>
        <w:bottom w:val="none" w:sz="0" w:space="0" w:color="auto"/>
        <w:right w:val="none" w:sz="0" w:space="0" w:color="auto"/>
      </w:divBdr>
    </w:div>
    <w:div w:id="428277904">
      <w:bodyDiv w:val="1"/>
      <w:marLeft w:val="0"/>
      <w:marRight w:val="0"/>
      <w:marTop w:val="0"/>
      <w:marBottom w:val="0"/>
      <w:divBdr>
        <w:top w:val="none" w:sz="0" w:space="0" w:color="auto"/>
        <w:left w:val="none" w:sz="0" w:space="0" w:color="auto"/>
        <w:bottom w:val="none" w:sz="0" w:space="0" w:color="auto"/>
        <w:right w:val="none" w:sz="0" w:space="0" w:color="auto"/>
      </w:divBdr>
    </w:div>
    <w:div w:id="500975973">
      <w:bodyDiv w:val="1"/>
      <w:marLeft w:val="0"/>
      <w:marRight w:val="0"/>
      <w:marTop w:val="0"/>
      <w:marBottom w:val="0"/>
      <w:divBdr>
        <w:top w:val="none" w:sz="0" w:space="0" w:color="auto"/>
        <w:left w:val="none" w:sz="0" w:space="0" w:color="auto"/>
        <w:bottom w:val="none" w:sz="0" w:space="0" w:color="auto"/>
        <w:right w:val="none" w:sz="0" w:space="0" w:color="auto"/>
      </w:divBdr>
    </w:div>
    <w:div w:id="565192716">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615984918">
      <w:bodyDiv w:val="1"/>
      <w:marLeft w:val="0"/>
      <w:marRight w:val="0"/>
      <w:marTop w:val="0"/>
      <w:marBottom w:val="0"/>
      <w:divBdr>
        <w:top w:val="none" w:sz="0" w:space="0" w:color="auto"/>
        <w:left w:val="none" w:sz="0" w:space="0" w:color="auto"/>
        <w:bottom w:val="none" w:sz="0" w:space="0" w:color="auto"/>
        <w:right w:val="none" w:sz="0" w:space="0" w:color="auto"/>
      </w:divBdr>
    </w:div>
    <w:div w:id="662468638">
      <w:bodyDiv w:val="1"/>
      <w:marLeft w:val="0"/>
      <w:marRight w:val="0"/>
      <w:marTop w:val="0"/>
      <w:marBottom w:val="0"/>
      <w:divBdr>
        <w:top w:val="none" w:sz="0" w:space="0" w:color="auto"/>
        <w:left w:val="none" w:sz="0" w:space="0" w:color="auto"/>
        <w:bottom w:val="none" w:sz="0" w:space="0" w:color="auto"/>
        <w:right w:val="none" w:sz="0" w:space="0" w:color="auto"/>
      </w:divBdr>
    </w:div>
    <w:div w:id="781732274">
      <w:bodyDiv w:val="1"/>
      <w:marLeft w:val="0"/>
      <w:marRight w:val="0"/>
      <w:marTop w:val="0"/>
      <w:marBottom w:val="0"/>
      <w:divBdr>
        <w:top w:val="none" w:sz="0" w:space="0" w:color="auto"/>
        <w:left w:val="none" w:sz="0" w:space="0" w:color="auto"/>
        <w:bottom w:val="none" w:sz="0" w:space="0" w:color="auto"/>
        <w:right w:val="none" w:sz="0" w:space="0" w:color="auto"/>
      </w:divBdr>
    </w:div>
    <w:div w:id="873151078">
      <w:bodyDiv w:val="1"/>
      <w:marLeft w:val="0"/>
      <w:marRight w:val="0"/>
      <w:marTop w:val="0"/>
      <w:marBottom w:val="0"/>
      <w:divBdr>
        <w:top w:val="none" w:sz="0" w:space="0" w:color="auto"/>
        <w:left w:val="none" w:sz="0" w:space="0" w:color="auto"/>
        <w:bottom w:val="none" w:sz="0" w:space="0" w:color="auto"/>
        <w:right w:val="none" w:sz="0" w:space="0" w:color="auto"/>
      </w:divBdr>
    </w:div>
    <w:div w:id="920336060">
      <w:bodyDiv w:val="1"/>
      <w:marLeft w:val="0"/>
      <w:marRight w:val="0"/>
      <w:marTop w:val="0"/>
      <w:marBottom w:val="0"/>
      <w:divBdr>
        <w:top w:val="none" w:sz="0" w:space="0" w:color="auto"/>
        <w:left w:val="none" w:sz="0" w:space="0" w:color="auto"/>
        <w:bottom w:val="none" w:sz="0" w:space="0" w:color="auto"/>
        <w:right w:val="none" w:sz="0" w:space="0" w:color="auto"/>
      </w:divBdr>
    </w:div>
    <w:div w:id="1407147916">
      <w:bodyDiv w:val="1"/>
      <w:marLeft w:val="0"/>
      <w:marRight w:val="0"/>
      <w:marTop w:val="0"/>
      <w:marBottom w:val="0"/>
      <w:divBdr>
        <w:top w:val="none" w:sz="0" w:space="0" w:color="auto"/>
        <w:left w:val="none" w:sz="0" w:space="0" w:color="auto"/>
        <w:bottom w:val="none" w:sz="0" w:space="0" w:color="auto"/>
        <w:right w:val="none" w:sz="0" w:space="0" w:color="auto"/>
      </w:divBdr>
    </w:div>
    <w:div w:id="1522209098">
      <w:bodyDiv w:val="1"/>
      <w:marLeft w:val="0"/>
      <w:marRight w:val="0"/>
      <w:marTop w:val="0"/>
      <w:marBottom w:val="0"/>
      <w:divBdr>
        <w:top w:val="none" w:sz="0" w:space="0" w:color="auto"/>
        <w:left w:val="none" w:sz="0" w:space="0" w:color="auto"/>
        <w:bottom w:val="none" w:sz="0" w:space="0" w:color="auto"/>
        <w:right w:val="none" w:sz="0" w:space="0" w:color="auto"/>
      </w:divBdr>
    </w:div>
    <w:div w:id="1629630801">
      <w:bodyDiv w:val="1"/>
      <w:marLeft w:val="0"/>
      <w:marRight w:val="0"/>
      <w:marTop w:val="0"/>
      <w:marBottom w:val="0"/>
      <w:divBdr>
        <w:top w:val="none" w:sz="0" w:space="0" w:color="auto"/>
        <w:left w:val="none" w:sz="0" w:space="0" w:color="auto"/>
        <w:bottom w:val="none" w:sz="0" w:space="0" w:color="auto"/>
        <w:right w:val="none" w:sz="0" w:space="0" w:color="auto"/>
      </w:divBdr>
    </w:div>
    <w:div w:id="17044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stat@stat.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2338-EFC3-4063-9DD8-8214243C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December 29, 2011</vt:lpstr>
    </vt:vector>
  </TitlesOfParts>
  <Company>.</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2011</dc:title>
  <dc:creator>Катарина  Каличаниин</dc:creator>
  <cp:lastModifiedBy>Marija Milic</cp:lastModifiedBy>
  <cp:revision>16</cp:revision>
  <cp:lastPrinted>2024-03-11T11:15:00Z</cp:lastPrinted>
  <dcterms:created xsi:type="dcterms:W3CDTF">2026-06-23T12:56:00Z</dcterms:created>
  <dcterms:modified xsi:type="dcterms:W3CDTF">2026-06-24T08:20:00Z</dcterms:modified>
</cp:coreProperties>
</file>