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E0B11" w:rsidRPr="007535B5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61E5AA20" w:rsidR="007E0B11" w:rsidRPr="007535B5" w:rsidRDefault="0018565B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</w:t>
            </w:r>
            <w:r w:rsidR="002C2B81" w:rsidRPr="007535B5">
              <w:rPr>
                <w:rFonts w:ascii="Tahoma" w:hAnsi="Tahoma" w:cs="Tahoma"/>
                <w:sz w:val="18"/>
                <w:szCs w:val="18"/>
              </w:rPr>
              <w:t>em</w:t>
            </w:r>
            <w:r w:rsidR="00B042D6" w:rsidRPr="007535B5">
              <w:rPr>
                <w:rFonts w:ascii="Tahoma" w:hAnsi="Tahoma" w:cs="Tahoma"/>
                <w:sz w:val="18"/>
                <w:szCs w:val="18"/>
              </w:rPr>
              <w:t xml:space="preserve">ber </w:t>
            </w:r>
            <w:r w:rsidR="007D3328">
              <w:rPr>
                <w:rFonts w:ascii="Tahoma" w:hAnsi="Tahoma" w:cs="Tahoma"/>
                <w:sz w:val="18"/>
                <w:szCs w:val="18"/>
              </w:rPr>
              <w:t>30</w:t>
            </w:r>
            <w:r w:rsidR="000C0658" w:rsidRPr="007535B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7535B5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5D5625" w:rsidRPr="007535B5">
              <w:rPr>
                <w:rFonts w:ascii="Tahoma" w:hAnsi="Tahoma" w:cs="Tahoma"/>
                <w:sz w:val="18"/>
                <w:szCs w:val="18"/>
              </w:rPr>
              <w:t>5</w:t>
            </w:r>
          </w:p>
          <w:tbl>
            <w:tblPr>
              <w:tblW w:w="1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</w:tblGrid>
            <w:tr w:rsidR="000C0658" w:rsidRPr="007535B5" w14:paraId="3F692A72" w14:textId="77777777" w:rsidTr="00EC51F7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58DD" w14:textId="06643F8A" w:rsidR="000C0658" w:rsidRPr="007535B5" w:rsidRDefault="000C0658" w:rsidP="006F366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</w:t>
                  </w:r>
                  <w:r w:rsidR="00435BA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INDICES</w:t>
                  </w:r>
                  <w:r w:rsidR="000E650A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18565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NOVEM</w:t>
                  </w:r>
                  <w:r w:rsidR="00D075E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BER</w:t>
                  </w:r>
                  <w:r w:rsidR="00D734EB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</w:t>
                  </w:r>
                  <w:r w:rsidR="00033664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5</w:t>
                  </w:r>
                  <w:r w:rsidR="006F366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0C0658" w:rsidRPr="007535B5" w:rsidRDefault="00E21CCD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7535B5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24A4A383" w:rsidR="002871F8" w:rsidRPr="007535B5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Novem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3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Novem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7D63C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E1399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Novem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2025, relative to the same period 2024, </w:t>
            </w:r>
            <w:r w:rsidR="00574EC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18565B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37816281" w:rsidR="00DA0F12" w:rsidRPr="007535B5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Novem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0E650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Novem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597DB46E" w14:textId="7CCD9D31" w:rsidR="00B042D6" w:rsidRPr="007535B5" w:rsidRDefault="00B042D6" w:rsidP="00B042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%,</w:t>
            </w:r>
          </w:p>
          <w:p w14:paraId="0AC94EF3" w14:textId="56E2B0AF" w:rsidR="000E650A" w:rsidRPr="007535B5" w:rsidRDefault="000E650A" w:rsidP="000E650A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manufacturing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–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3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%, </w:t>
            </w:r>
            <w:r w:rsidR="00B042D6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and</w:t>
            </w:r>
          </w:p>
          <w:p w14:paraId="74B2EC30" w14:textId="55AF9976" w:rsidR="005A0F66" w:rsidRPr="007535B5" w:rsidRDefault="008634D2" w:rsidP="008634D2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– </w:t>
            </w:r>
            <w:r w:rsidR="00D075EC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="00B042D6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18565B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18565B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B042D6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4F176938" w14:textId="292E4CFC" w:rsidR="003A2846" w:rsidRPr="007535B5" w:rsidRDefault="003A2846" w:rsidP="005A0F66">
            <w:pPr>
              <w:pStyle w:val="BodyText"/>
              <w:spacing w:after="0"/>
              <w:ind w:left="72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</w:p>
          <w:p w14:paraId="466D377D" w14:textId="745D5424" w:rsidR="00C675F5" w:rsidRPr="007535B5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Novem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Novem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1F1F25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2C2B81" w:rsidRPr="007535B5">
              <w:rPr>
                <w:b/>
                <w:bCs/>
                <w:lang w:val="en-GB"/>
              </w:rPr>
              <w:t>fall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3E1DB171" w14:textId="15607E0B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energy, by 1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.0%, </w:t>
            </w:r>
          </w:p>
          <w:p w14:paraId="02F8EF73" w14:textId="4BB29CF2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%, and</w:t>
            </w:r>
          </w:p>
          <w:p w14:paraId="5EA9008D" w14:textId="3DAC50CC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114B110" w14:textId="5FB8365D" w:rsidR="00B042D6" w:rsidRPr="007535B5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690AA834" w14:textId="5120F7FE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capital goods, by 1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%, and</w:t>
            </w:r>
          </w:p>
          <w:p w14:paraId="58E3CCB9" w14:textId="109F64BF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4518FF64" w14:textId="77777777" w:rsidR="002C2B81" w:rsidRPr="007535B5" w:rsidRDefault="002C2B81" w:rsidP="002C2B81">
            <w:pPr>
              <w:pStyle w:val="BodyText"/>
              <w:tabs>
                <w:tab w:val="left" w:pos="142"/>
              </w:tabs>
              <w:spacing w:after="0"/>
              <w:ind w:left="36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318CFD96" w:rsidR="00C675F5" w:rsidRPr="007535B5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Novem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18565B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Novem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ber </w:t>
            </w:r>
            <w:r w:rsidR="00BC7E5E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5AA9CB80" w:rsidR="00C675F5" w:rsidRPr="007535B5" w:rsidRDefault="005A1BA3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21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3763D789" w:rsidR="00550E4A" w:rsidRPr="007535B5" w:rsidRDefault="005A1BA3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0A25A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2BF520ED" w14:textId="6EB91A88" w:rsidR="007209F5" w:rsidRPr="007535B5" w:rsidRDefault="005214BE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5A1BA3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7D3328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Novem</w:t>
            </w:r>
            <w:r w:rsidR="007D332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7D3328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Novem</w:t>
            </w:r>
            <w:r w:rsidR="007D332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</w:t>
            </w:r>
            <w:proofErr w:type="gramStart"/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of:</w:t>
            </w:r>
            <w:proofErr w:type="gramEnd"/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9719A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coke and refined petroleum products, 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production of electricity, </w:t>
            </w:r>
            <w:r w:rsidR="009719AC" w:rsidRPr="007535B5">
              <w:rPr>
                <w:rFonts w:ascii="Tahoma" w:hAnsi="Tahoma" w:cs="Tahoma"/>
                <w:sz w:val="18"/>
                <w:szCs w:val="18"/>
                <w:lang w:val="en-GB"/>
              </w:rPr>
              <w:t>manufacture of wearing apparel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="009719A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 xml:space="preserve">basic pharmaceutical products and pharmaceutical preparations, manufacture of computer, electronic and optical products. </w:t>
            </w:r>
          </w:p>
          <w:p w14:paraId="75FCE342" w14:textId="498EF368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2716C3">
              <w:rPr>
                <w:rFonts w:ascii="Tahoma" w:hAnsi="Tahoma" w:cs="Tahoma"/>
                <w:b/>
                <w:sz w:val="18"/>
                <w:szCs w:val="18"/>
                <w:lang w:val="en-GB"/>
              </w:rPr>
              <w:t>Novem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ber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2716C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Octo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6793C074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7D3328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Novem</w:t>
            </w:r>
            <w:r w:rsidR="007D332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48BA5B4F" w:rsidR="00B54E87" w:rsidRPr="007535B5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 </w:t>
            </w:r>
            <w:r w:rsidR="002716C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Nov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ember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0C0F1D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217D09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26AD1C48" w14:textId="77777777" w:rsidR="002716C3" w:rsidRDefault="002716C3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137E8D8" w14:textId="328E993C" w:rsidR="00CB5A51" w:rsidRPr="007535B5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2716C3">
              <w:rPr>
                <w:rFonts w:ascii="Tahoma" w:hAnsi="Tahoma" w:cs="Tahoma"/>
                <w:sz w:val="18"/>
                <w:szCs w:val="18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7535B5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39730FFC" w:rsidR="00F61F1E" w:rsidRPr="007535B5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7535B5">
              <w:rPr>
                <w:rFonts w:ascii="Tahoma" w:hAnsi="Tahoma" w:cs="Tahoma"/>
                <w:sz w:val="18"/>
                <w:szCs w:val="18"/>
              </w:rPr>
              <w:t>j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4F4492" w:rsidRDefault="003F7AD5" w:rsidP="006F3664">
      <w:pPr>
        <w:rPr>
          <w:sz w:val="2"/>
          <w:szCs w:val="2"/>
        </w:rPr>
      </w:pPr>
    </w:p>
    <w:sectPr w:rsidR="003F7AD5" w:rsidRPr="004F4492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11E9" w14:textId="77777777" w:rsidR="009D1459" w:rsidRPr="003357B7" w:rsidRDefault="009D1459">
      <w:r w:rsidRPr="003357B7">
        <w:separator/>
      </w:r>
    </w:p>
  </w:endnote>
  <w:endnote w:type="continuationSeparator" w:id="0">
    <w:p w14:paraId="063AF1A7" w14:textId="77777777" w:rsidR="009D1459" w:rsidRPr="003357B7" w:rsidRDefault="009D1459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559B7866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Division of industry</w:t>
          </w:r>
          <w:r w:rsidR="0064742B" w:rsidRPr="00E5267E">
            <w:rPr>
              <w:rFonts w:ascii="Tahoma" w:hAnsi="Tahoma" w:cs="Tahoma"/>
              <w:sz w:val="18"/>
              <w:szCs w:val="18"/>
            </w:rPr>
            <w:t xml:space="preserve"> and</w:t>
          </w:r>
          <w:r w:rsidRPr="00E5267E">
            <w:rPr>
              <w:rFonts w:ascii="Tahoma" w:hAnsi="Tahoma" w:cs="Tahoma"/>
              <w:sz w:val="18"/>
              <w:szCs w:val="18"/>
            </w:rPr>
            <w:t xml:space="preserve"> energy statistics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1E1589E3" w14:textId="77777777" w:rsidR="005F743F" w:rsidRPr="00E5267E" w:rsidRDefault="005F743F" w:rsidP="005F743F">
          <w:pPr>
            <w:jc w:val="both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Email: jasmina.kostic-simov@stat.gov.rs</w:t>
          </w:r>
        </w:p>
        <w:p w14:paraId="3B579CC9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40B5" w14:textId="77777777" w:rsidR="009D1459" w:rsidRPr="003357B7" w:rsidRDefault="009D1459">
      <w:r w:rsidRPr="003357B7">
        <w:separator/>
      </w:r>
    </w:p>
  </w:footnote>
  <w:footnote w:type="continuationSeparator" w:id="0">
    <w:p w14:paraId="3CB0AB3B" w14:textId="77777777" w:rsidR="009D1459" w:rsidRPr="003357B7" w:rsidRDefault="009D1459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City">
            <w:smartTag w:uri="urn:schemas-microsoft-com:office:smarttags" w:element="place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 xml:space="preserve">, Milana </w:t>
          </w:r>
          <w:proofErr w:type="spellStart"/>
          <w:r w:rsidRPr="003357B7">
            <w:rPr>
              <w:rFonts w:ascii="Tahoma" w:hAnsi="Tahoma" w:cs="Tahoma"/>
              <w:sz w:val="20"/>
              <w:szCs w:val="20"/>
            </w:rPr>
            <w:t>Rakica</w:t>
          </w:r>
          <w:proofErr w:type="spellEnd"/>
          <w:r w:rsidRPr="003357B7">
            <w:rPr>
              <w:rFonts w:ascii="Tahoma" w:hAnsi="Tahoma" w:cs="Tahoma"/>
              <w:sz w:val="20"/>
              <w:szCs w:val="20"/>
            </w:rPr>
            <w:t xml:space="preserve">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21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0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276030">
    <w:abstractNumId w:val="15"/>
  </w:num>
  <w:num w:numId="4" w16cid:durableId="2011978894">
    <w:abstractNumId w:val="10"/>
  </w:num>
  <w:num w:numId="5" w16cid:durableId="702678979">
    <w:abstractNumId w:val="0"/>
  </w:num>
  <w:num w:numId="6" w16cid:durableId="541987358">
    <w:abstractNumId w:val="13"/>
  </w:num>
  <w:num w:numId="7" w16cid:durableId="1444112651">
    <w:abstractNumId w:val="5"/>
  </w:num>
  <w:num w:numId="8" w16cid:durableId="1657492051">
    <w:abstractNumId w:val="9"/>
  </w:num>
  <w:num w:numId="9" w16cid:durableId="1732339781">
    <w:abstractNumId w:val="4"/>
  </w:num>
  <w:num w:numId="10" w16cid:durableId="1779133852">
    <w:abstractNumId w:val="2"/>
  </w:num>
  <w:num w:numId="11" w16cid:durableId="1124034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523072">
    <w:abstractNumId w:val="11"/>
  </w:num>
  <w:num w:numId="13" w16cid:durableId="462357707">
    <w:abstractNumId w:val="8"/>
  </w:num>
  <w:num w:numId="14" w16cid:durableId="1926644752">
    <w:abstractNumId w:val="16"/>
  </w:num>
  <w:num w:numId="15" w16cid:durableId="122117848">
    <w:abstractNumId w:val="6"/>
  </w:num>
  <w:num w:numId="16" w16cid:durableId="1516729675">
    <w:abstractNumId w:val="6"/>
  </w:num>
  <w:num w:numId="17" w16cid:durableId="253126485">
    <w:abstractNumId w:val="17"/>
  </w:num>
  <w:num w:numId="18" w16cid:durableId="1034886460">
    <w:abstractNumId w:val="18"/>
  </w:num>
  <w:num w:numId="19" w16cid:durableId="1979144183">
    <w:abstractNumId w:val="7"/>
  </w:num>
  <w:num w:numId="20" w16cid:durableId="1232741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861092">
    <w:abstractNumId w:val="19"/>
  </w:num>
  <w:num w:numId="22" w16cid:durableId="19984108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635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38232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2739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1806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20122">
    <w:abstractNumId w:val="18"/>
  </w:num>
  <w:num w:numId="28" w16cid:durableId="1405685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86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0209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09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8095639">
    <w:abstractNumId w:val="1"/>
  </w:num>
  <w:num w:numId="33" w16cid:durableId="1120495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4262242">
    <w:abstractNumId w:val="12"/>
  </w:num>
  <w:num w:numId="35" w16cid:durableId="627204293">
    <w:abstractNumId w:val="14"/>
  </w:num>
  <w:num w:numId="36" w16cid:durableId="1005335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81922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8B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8565B"/>
    <w:rsid w:val="00197EA4"/>
    <w:rsid w:val="001A07E0"/>
    <w:rsid w:val="001A09FC"/>
    <w:rsid w:val="001A0CFA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0098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6C3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4F4492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6F3664"/>
    <w:rsid w:val="00703560"/>
    <w:rsid w:val="0070450E"/>
    <w:rsid w:val="00704646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B158A"/>
    <w:rsid w:val="007B63E8"/>
    <w:rsid w:val="007C63A4"/>
    <w:rsid w:val="007D0C5F"/>
    <w:rsid w:val="007D3328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6C06"/>
    <w:rsid w:val="009275EB"/>
    <w:rsid w:val="00930992"/>
    <w:rsid w:val="00931D08"/>
    <w:rsid w:val="00932789"/>
    <w:rsid w:val="009364EE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19AC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6955"/>
    <w:rsid w:val="009A72FE"/>
    <w:rsid w:val="009B4055"/>
    <w:rsid w:val="009B69C8"/>
    <w:rsid w:val="009B7D86"/>
    <w:rsid w:val="009C14A6"/>
    <w:rsid w:val="009C782A"/>
    <w:rsid w:val="009D013D"/>
    <w:rsid w:val="009D0E0E"/>
    <w:rsid w:val="009D1459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1465"/>
    <w:rsid w:val="00BC2423"/>
    <w:rsid w:val="00BC495E"/>
    <w:rsid w:val="00BC57D4"/>
    <w:rsid w:val="00BC63FD"/>
    <w:rsid w:val="00BC7E5E"/>
    <w:rsid w:val="00BD160E"/>
    <w:rsid w:val="00BD1825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DBB"/>
    <w:rsid w:val="00C94A1F"/>
    <w:rsid w:val="00C94A83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166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CCD"/>
    <w:rsid w:val="00E24A11"/>
    <w:rsid w:val="00E25362"/>
    <w:rsid w:val="00E25CBB"/>
    <w:rsid w:val="00E275A5"/>
    <w:rsid w:val="00E36137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C2763"/>
    <w:rsid w:val="00EC51F7"/>
    <w:rsid w:val="00EC7A6C"/>
    <w:rsid w:val="00ED69B6"/>
    <w:rsid w:val="00ED77AD"/>
    <w:rsid w:val="00EE5500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6133-F679-430A-BD14-C0FCA81D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254</Words>
  <Characters>2687</Characters>
  <Application>Microsoft Office Word</Application>
  <DocSecurity>0</DocSecurity>
  <Lines>141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Aleksandra Jovanovic - PUBLICISTIKA</cp:lastModifiedBy>
  <cp:revision>78</cp:revision>
  <cp:lastPrinted>2011-05-30T08:31:00Z</cp:lastPrinted>
  <dcterms:created xsi:type="dcterms:W3CDTF">2021-02-22T17:11:00Z</dcterms:created>
  <dcterms:modified xsi:type="dcterms:W3CDTF">2025-12-30T11:47:00Z</dcterms:modified>
</cp:coreProperties>
</file>