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75669F" w14:paraId="44379704" w14:textId="77777777">
        <w:tc>
          <w:tcPr>
            <w:tcW w:w="9468" w:type="dxa"/>
            <w:tcBorders>
              <w:bottom w:val="single" w:sz="4" w:space="0" w:color="000000"/>
            </w:tcBorders>
            <w:shd w:val="clear" w:color="auto" w:fill="auto"/>
          </w:tcPr>
          <w:p w14:paraId="1EFAEA0A" w14:textId="77777777" w:rsidR="0075669F" w:rsidRDefault="0075669F">
            <w:pPr>
              <w:widowControl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1AF141A0" w14:textId="1F2A6D72" w:rsidR="0075669F" w:rsidRDefault="00FD1BD4">
            <w:pPr>
              <w:widowControl w:val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June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28</w:t>
            </w:r>
            <w:r>
              <w:rPr>
                <w:rFonts w:ascii="Tahoma" w:hAnsi="Tahoma" w:cs="Tahoma"/>
                <w:sz w:val="22"/>
                <w:szCs w:val="22"/>
              </w:rPr>
              <w:t>, 2024</w:t>
            </w:r>
          </w:p>
          <w:tbl>
            <w:tblPr>
              <w:tblW w:w="9252" w:type="dxa"/>
              <w:tblLayout w:type="fixed"/>
              <w:tblLook w:val="04A0" w:firstRow="1" w:lastRow="0" w:firstColumn="1" w:lastColumn="0" w:noHBand="0" w:noVBand="1"/>
            </w:tblPr>
            <w:tblGrid>
              <w:gridCol w:w="9252"/>
            </w:tblGrid>
            <w:tr w:rsidR="0075669F" w14:paraId="2D3FFF9A" w14:textId="77777777">
              <w:tc>
                <w:tcPr>
                  <w:tcW w:w="9252" w:type="dxa"/>
                  <w:shd w:val="clear" w:color="auto" w:fill="auto"/>
                </w:tcPr>
                <w:p w14:paraId="346F4F3F" w14:textId="77777777" w:rsidR="0075669F" w:rsidRDefault="0075669F">
                  <w:pPr>
                    <w:widowControl w:val="0"/>
                    <w:jc w:val="center"/>
                    <w:rPr>
                      <w:rFonts w:ascii="Tahoma" w:hAnsi="Tahoma" w:cs="Tahoma"/>
                      <w:color w:val="333333"/>
                    </w:rPr>
                  </w:pPr>
                </w:p>
              </w:tc>
            </w:tr>
          </w:tbl>
          <w:p w14:paraId="0B3D7703" w14:textId="0746F41A" w:rsidR="0075669F" w:rsidRDefault="00747C48">
            <w:pPr>
              <w:widowContro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EXTERNAL TRADE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for </w:t>
            </w:r>
            <w:r w:rsidR="00FD1BD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May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2023</w:t>
            </w:r>
          </w:p>
          <w:p w14:paraId="500B6D2E" w14:textId="77777777" w:rsidR="0075669F" w:rsidRDefault="0075669F">
            <w:pPr>
              <w:pStyle w:val="BodyText3"/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68554D" w14:textId="77777777" w:rsidR="0075669F" w:rsidRDefault="0075669F">
            <w:pPr>
              <w:widowControl w:val="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A9D51C5" w14:textId="7E500EE3" w:rsidR="0075669F" w:rsidRDefault="00747C48">
            <w:pPr>
              <w:pStyle w:val="BodyText3"/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overall external trade in the Republic of Serbia for the period January- 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202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amounted to:</w:t>
            </w:r>
          </w:p>
          <w:p w14:paraId="0056FADD" w14:textId="25A18C92" w:rsidR="0075669F" w:rsidRDefault="00747C4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USD </w:t>
            </w:r>
            <w:r w:rsidR="00FD1BD4">
              <w:rPr>
                <w:rFonts w:ascii="Tahoma" w:hAnsi="Tahoma" w:cs="Tahoma"/>
                <w:b/>
                <w:sz w:val="18"/>
                <w:szCs w:val="18"/>
                <w:lang w:val="en-US"/>
              </w:rPr>
              <w:t>30152.1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million -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which was a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 of 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</w:rPr>
              <w:t>1.1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 compared to the same period last year;</w:t>
            </w:r>
          </w:p>
          <w:p w14:paraId="23E2B359" w14:textId="0EA622A9" w:rsidR="0075669F" w:rsidRDefault="00747C4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-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EUR </w:t>
            </w:r>
            <w:r w:rsidR="00FD1BD4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27861.0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million -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which was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14F22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in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 of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0.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 compared to the same period last year.</w:t>
            </w:r>
          </w:p>
          <w:p w14:paraId="4B07269D" w14:textId="77777777" w:rsidR="0075669F" w:rsidRDefault="0075669F">
            <w:pPr>
              <w:widowControl w:val="0"/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C612F9F" w14:textId="21F0C5DA" w:rsidR="0075669F" w:rsidRDefault="00747C48">
            <w:pPr>
              <w:widowControl w:val="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value of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exports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USD 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13159.5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which was </w:t>
            </w:r>
            <w:r w:rsidR="00FD1BD4">
              <w:rPr>
                <w:rFonts w:ascii="Tahoma" w:hAnsi="Tahoma" w:cs="Tahoma"/>
                <w:sz w:val="18"/>
                <w:szCs w:val="18"/>
                <w:lang w:val="en-US"/>
              </w:rPr>
              <w:t>0.8</w:t>
            </w:r>
            <w:r>
              <w:rPr>
                <w:rFonts w:ascii="Tahoma" w:hAnsi="Tahoma" w:cs="Tahoma"/>
                <w:sz w:val="18"/>
                <w:szCs w:val="18"/>
              </w:rPr>
              <w:t xml:space="preserve">% increase when compared to the same period last year, while the value of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USD </w:t>
            </w:r>
            <w:r w:rsidR="00FD1BD4">
              <w:rPr>
                <w:rFonts w:ascii="Tahoma" w:hAnsi="Tahoma" w:cs="Tahoma"/>
                <w:b/>
                <w:sz w:val="18"/>
                <w:szCs w:val="18"/>
                <w:lang w:val="en-US"/>
              </w:rPr>
              <w:t>16992.6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which was </w:t>
            </w:r>
            <w:r w:rsidR="00FD1BD4">
              <w:rPr>
                <w:rFonts w:ascii="Tahoma" w:hAnsi="Tahoma" w:cs="Tahoma"/>
                <w:sz w:val="18"/>
                <w:szCs w:val="18"/>
                <w:lang w:val="en-US"/>
              </w:rPr>
              <w:t>1.4</w:t>
            </w:r>
            <w:r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FD1BD4"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crease relative to the same period last year.</w:t>
            </w:r>
          </w:p>
          <w:p w14:paraId="676CD7C0" w14:textId="77777777" w:rsidR="0075669F" w:rsidRDefault="0075669F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59DDDA8" w14:textId="0F4FB13A" w:rsidR="0075669F" w:rsidRDefault="00747C4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Expressed in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Euros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the value of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exports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EUR 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12158.7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which was </w:t>
            </w:r>
            <w:r w:rsidR="00FD1BD4">
              <w:rPr>
                <w:rFonts w:ascii="Tahoma" w:hAnsi="Tahoma" w:cs="Tahoma"/>
                <w:sz w:val="18"/>
                <w:szCs w:val="18"/>
                <w:lang w:val="en-US"/>
              </w:rPr>
              <w:t>0.6</w:t>
            </w:r>
            <w:r>
              <w:rPr>
                <w:rFonts w:ascii="Tahoma" w:hAnsi="Tahoma" w:cs="Tahoma"/>
                <w:sz w:val="18"/>
                <w:szCs w:val="18"/>
              </w:rPr>
              <w:t xml:space="preserve">% increase, compared to the same period last year. The value of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EUR 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15702.3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which was </w:t>
            </w:r>
            <w:r w:rsidR="00FD1BD4">
              <w:rPr>
                <w:rFonts w:ascii="Tahoma" w:hAnsi="Tahoma" w:cs="Tahoma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FD1BD4"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crease when compared to the same period last year.</w:t>
            </w:r>
          </w:p>
          <w:p w14:paraId="244D4801" w14:textId="77777777" w:rsidR="0075669F" w:rsidRDefault="0075669F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D01D43" w14:textId="37023BEC" w:rsidR="0075669F" w:rsidRDefault="00747C4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The deficit</w:t>
            </w:r>
            <w:r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USD 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3833.0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>
              <w:rPr>
                <w:rFonts w:ascii="Tahoma" w:hAnsi="Tahoma" w:cs="Tahoma"/>
                <w:sz w:val="18"/>
                <w:szCs w:val="18"/>
              </w:rPr>
              <w:t>, which was a</w:t>
            </w:r>
            <w:r w:rsidR="00FD1BD4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1BD4">
              <w:rPr>
                <w:rFonts w:ascii="Tahoma" w:hAnsi="Tahoma" w:cs="Tahoma"/>
                <w:b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crease of 3</w:t>
            </w:r>
            <w:r w:rsidR="00FD1BD4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%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 relation to the same period last year. The deficit expressed in Euros amounted to </w:t>
            </w:r>
            <w:r w:rsidR="00FD1BD4">
              <w:rPr>
                <w:rFonts w:ascii="Tahoma" w:hAnsi="Tahoma" w:cs="Tahoma"/>
                <w:b/>
                <w:sz w:val="18"/>
                <w:szCs w:val="18"/>
                <w:lang w:val="en-US"/>
              </w:rPr>
              <w:t>3543.6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million, which was a</w:t>
            </w:r>
            <w:r w:rsidR="00FD1BD4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1BD4">
              <w:rPr>
                <w:rFonts w:ascii="Tahoma" w:hAnsi="Tahoma" w:cs="Tahoma"/>
                <w:b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crease of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3.3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compared to the same period last year.</w:t>
            </w:r>
          </w:p>
          <w:p w14:paraId="21FF7772" w14:textId="77777777" w:rsidR="0075669F" w:rsidRDefault="0075669F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961DAA" w14:textId="427A82D4" w:rsidR="0075669F" w:rsidRDefault="00747C4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export - import ratio </w:t>
            </w:r>
            <w:r>
              <w:rPr>
                <w:rFonts w:ascii="Tahoma" w:hAnsi="Tahoma" w:cs="Tahoma"/>
                <w:sz w:val="18"/>
                <w:szCs w:val="18"/>
              </w:rPr>
              <w:t xml:space="preserve">equalled </w:t>
            </w:r>
            <w:r w:rsidR="00FD1BD4">
              <w:rPr>
                <w:rFonts w:ascii="Tahoma" w:hAnsi="Tahoma" w:cs="Tahoma"/>
                <w:b/>
                <w:sz w:val="18"/>
                <w:szCs w:val="18"/>
              </w:rPr>
              <w:t>77.4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was </w:t>
            </w:r>
            <w:r w:rsidR="002710EF">
              <w:rPr>
                <w:rFonts w:ascii="Tahoma" w:hAnsi="Tahoma" w:cs="Tahoma"/>
                <w:sz w:val="18"/>
                <w:szCs w:val="18"/>
              </w:rPr>
              <w:t>low</w:t>
            </w:r>
            <w:r>
              <w:rPr>
                <w:rFonts w:ascii="Tahoma" w:hAnsi="Tahoma" w:cs="Tahoma"/>
                <w:sz w:val="18"/>
                <w:szCs w:val="18"/>
              </w:rPr>
              <w:t>er if compared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to the same period last year when it was </w:t>
            </w:r>
            <w:r w:rsidR="00FD1BD4">
              <w:rPr>
                <w:rFonts w:ascii="Tahoma" w:hAnsi="Tahoma" w:cs="Tahoma"/>
                <w:sz w:val="18"/>
                <w:szCs w:val="18"/>
                <w:lang w:val="en-US"/>
              </w:rPr>
              <w:t>77.9</w:t>
            </w:r>
            <w:r>
              <w:rPr>
                <w:rFonts w:ascii="Tahoma" w:hAnsi="Tahoma" w:cs="Tahoma"/>
                <w:sz w:val="18"/>
                <w:szCs w:val="18"/>
              </w:rPr>
              <w:t>%.</w:t>
            </w:r>
          </w:p>
          <w:p w14:paraId="79FCE702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6373946" w14:textId="26D9ED99" w:rsidR="0075669F" w:rsidRDefault="00747C48">
            <w:pPr>
              <w:pStyle w:val="BodyText2"/>
              <w:widowControl w:val="0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Observed by regions, the largest share in export of Serbia was noted in Region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Vojvodine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A3671F">
              <w:rPr>
                <w:rFonts w:ascii="Tahoma" w:hAnsi="Tahoma" w:cs="Tahoma"/>
                <w:sz w:val="18"/>
                <w:szCs w:val="18"/>
              </w:rPr>
              <w:t>33.6</w:t>
            </w:r>
            <w:r>
              <w:rPr>
                <w:rFonts w:ascii="Tahoma" w:hAnsi="Tahoma" w:cs="Tahoma"/>
                <w:sz w:val="18"/>
                <w:szCs w:val="18"/>
              </w:rPr>
              <w:t xml:space="preserve">%), followed by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Beogradski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region (</w:t>
            </w:r>
            <w:r w:rsidR="00A3671F">
              <w:rPr>
                <w:rFonts w:ascii="Tahoma" w:hAnsi="Tahoma" w:cs="Tahoma"/>
                <w:sz w:val="18"/>
                <w:szCs w:val="18"/>
              </w:rPr>
              <w:t>23.3</w:t>
            </w:r>
            <w:r>
              <w:rPr>
                <w:rFonts w:ascii="Tahoma" w:hAnsi="Tahoma" w:cs="Tahoma"/>
                <w:sz w:val="18"/>
                <w:szCs w:val="18"/>
              </w:rPr>
              <w:t xml:space="preserve">%), </w:t>
            </w:r>
            <w:r w:rsidR="00A3671F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A3671F">
              <w:rPr>
                <w:rFonts w:ascii="Tahoma" w:hAnsi="Tahoma" w:cs="Tahoma"/>
                <w:sz w:val="18"/>
                <w:szCs w:val="18"/>
              </w:rPr>
              <w:t>Južne</w:t>
            </w:r>
            <w:proofErr w:type="spellEnd"/>
            <w:r w:rsidR="00A367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3671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A367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3671F">
              <w:rPr>
                <w:rFonts w:ascii="Tahoma" w:hAnsi="Tahoma" w:cs="Tahoma"/>
                <w:sz w:val="18"/>
                <w:szCs w:val="18"/>
              </w:rPr>
              <w:t>Istočne</w:t>
            </w:r>
            <w:proofErr w:type="spellEnd"/>
            <w:r w:rsidR="00A367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A3671F">
              <w:rPr>
                <w:rFonts w:ascii="Tahoma" w:hAnsi="Tahoma" w:cs="Tahoma"/>
                <w:sz w:val="18"/>
                <w:szCs w:val="18"/>
              </w:rPr>
              <w:t>21.5</w:t>
            </w:r>
            <w:r>
              <w:rPr>
                <w:rFonts w:ascii="Tahoma" w:hAnsi="Tahoma" w:cs="Tahoma"/>
                <w:sz w:val="18"/>
                <w:szCs w:val="18"/>
              </w:rPr>
              <w:t xml:space="preserve">%), </w:t>
            </w:r>
            <w:r w:rsidR="00A3671F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A3671F">
              <w:rPr>
                <w:rFonts w:ascii="Tahoma" w:hAnsi="Tahoma" w:cs="Tahoma"/>
                <w:sz w:val="18"/>
                <w:szCs w:val="18"/>
              </w:rPr>
              <w:t>Šumadije</w:t>
            </w:r>
            <w:proofErr w:type="spellEnd"/>
            <w:r w:rsidR="00A367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3671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A367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3671F">
              <w:rPr>
                <w:rFonts w:ascii="Tahoma" w:hAnsi="Tahoma" w:cs="Tahoma"/>
                <w:sz w:val="18"/>
                <w:szCs w:val="18"/>
              </w:rPr>
              <w:t>Zapadne</w:t>
            </w:r>
            <w:proofErr w:type="spellEnd"/>
            <w:r w:rsidR="00A367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3671F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A367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A3671F">
              <w:rPr>
                <w:rFonts w:ascii="Tahoma" w:hAnsi="Tahoma" w:cs="Tahoma"/>
                <w:sz w:val="18"/>
                <w:szCs w:val="18"/>
              </w:rPr>
              <w:t>20.5</w:t>
            </w:r>
            <w:r>
              <w:rPr>
                <w:rFonts w:ascii="Tahoma" w:hAnsi="Tahoma" w:cs="Tahoma"/>
                <w:sz w:val="18"/>
                <w:szCs w:val="18"/>
              </w:rPr>
              <w:t xml:space="preserve">%), and approximately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1.2</w:t>
            </w:r>
            <w:r>
              <w:rPr>
                <w:rFonts w:ascii="Tahoma" w:hAnsi="Tahoma" w:cs="Tahoma"/>
                <w:sz w:val="18"/>
                <w:szCs w:val="18"/>
              </w:rPr>
              <w:t>% of total exports is not classified by territories.</w:t>
            </w:r>
          </w:p>
          <w:p w14:paraId="3F9D34E1" w14:textId="30CF86BB" w:rsidR="0075669F" w:rsidRDefault="00747C48">
            <w:pPr>
              <w:widowControl w:val="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greatest share in import of Serbia was noted 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Beogradski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region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A3671F">
              <w:rPr>
                <w:rFonts w:ascii="Tahoma" w:hAnsi="Tahoma" w:cs="Tahoma"/>
                <w:color w:val="000000"/>
                <w:sz w:val="18"/>
                <w:szCs w:val="18"/>
              </w:rPr>
              <w:t>44.1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followed by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Vojvodine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A3671F">
              <w:rPr>
                <w:rFonts w:ascii="Tahoma" w:hAnsi="Tahoma" w:cs="Tahoma"/>
                <w:color w:val="000000"/>
                <w:sz w:val="18"/>
                <w:szCs w:val="18"/>
              </w:rPr>
              <w:t>32.8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Šumadije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Zapadne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 w:rsidR="00A3671F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13.7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%),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Južne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Istočne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8.</w:t>
            </w:r>
            <w:r w:rsidR="00A3671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and approximately </w:t>
            </w:r>
            <w:r w:rsidR="00A3671F">
              <w:rPr>
                <w:rFonts w:ascii="Tahoma" w:hAnsi="Tahoma" w:cs="Tahoma"/>
                <w:sz w:val="18"/>
                <w:szCs w:val="18"/>
              </w:rPr>
              <w:t>1.3</w:t>
            </w:r>
            <w:r>
              <w:rPr>
                <w:rFonts w:ascii="Tahoma" w:hAnsi="Tahoma" w:cs="Tahoma"/>
                <w:sz w:val="18"/>
                <w:szCs w:val="18"/>
              </w:rPr>
              <w:t>% of total imports is not classified by territories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Data on Kosovo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are not available.</w:t>
            </w:r>
          </w:p>
          <w:p w14:paraId="0D027EB9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C430A9" w14:textId="77777777" w:rsidR="0075669F" w:rsidRDefault="00747C48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Export and import by regions is presented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according to the headquarters of goods owners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at the moment</w:t>
            </w:r>
            <w:proofErr w:type="gram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of customs declaration delivery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It means that owners of goods, according to customs law, may be producers, users, exporters, or importers of goods. This fact is to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be noted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while observing the data by regions. For example, imports of oil and gas mostly refer to the region of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Vojvodina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Belgrade and the mentioned are the energy commodities for the whole territory of Serbia.</w:t>
            </w:r>
          </w:p>
          <w:p w14:paraId="088B98BE" w14:textId="77777777" w:rsidR="0075669F" w:rsidRDefault="0075669F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E6F603A" w14:textId="4DFDD6CC" w:rsidR="0075669F" w:rsidRDefault="00747C48">
            <w:pPr>
              <w:pStyle w:val="BodyTextIndent"/>
              <w:widowControl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Regarding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the structure of exports according to products’ destination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(the principle of prevalence), the most notable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were: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reproduction products 6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8211.3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million), then consumer goods 25.</w:t>
            </w:r>
            <w:r w:rsidR="00A3671F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3288.6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 and equipment </w:t>
            </w:r>
            <w:r w:rsidR="00A3671F">
              <w:rPr>
                <w:rFonts w:ascii="Tahoma" w:hAnsi="Tahoma" w:cs="Tahoma"/>
                <w:sz w:val="18"/>
                <w:szCs w:val="18"/>
              </w:rPr>
              <w:t>12.6</w:t>
            </w:r>
            <w:r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1659.4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million). Unclassified goods according to destination amounted to 0.0% (USD 0.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million).</w:t>
            </w:r>
          </w:p>
          <w:p w14:paraId="41CB7B8B" w14:textId="7A352877" w:rsidR="0075669F" w:rsidRDefault="00747C48">
            <w:pPr>
              <w:pStyle w:val="BodyTextIndent"/>
              <w:widowControl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Regarding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the structure of imports according to products’ destination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most notable </w:t>
            </w:r>
            <w:proofErr w:type="gramStart"/>
            <w:r>
              <w:rPr>
                <w:rFonts w:ascii="Tahoma" w:hAnsi="Tahoma" w:cs="Tahoma"/>
                <w:bCs/>
                <w:sz w:val="18"/>
                <w:szCs w:val="18"/>
              </w:rPr>
              <w:t>were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reproduction products </w:t>
            </w:r>
            <w:r w:rsidR="00A3671F">
              <w:rPr>
                <w:rFonts w:ascii="Tahoma" w:hAnsi="Tahoma" w:cs="Tahoma"/>
                <w:sz w:val="18"/>
                <w:szCs w:val="18"/>
              </w:rPr>
              <w:t>53.9</w:t>
            </w:r>
            <w:r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9166.1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million), then consumer goods </w:t>
            </w:r>
            <w:r w:rsidR="00A3671F">
              <w:rPr>
                <w:rFonts w:ascii="Tahoma" w:hAnsi="Tahoma" w:cs="Tahoma"/>
                <w:sz w:val="18"/>
                <w:szCs w:val="18"/>
              </w:rPr>
              <w:t>20.7</w:t>
            </w:r>
            <w:r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3525.2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 and equipment </w:t>
            </w:r>
            <w:r w:rsidR="00A3671F">
              <w:rPr>
                <w:rFonts w:ascii="Tahoma" w:hAnsi="Tahoma" w:cs="Tahoma"/>
                <w:sz w:val="18"/>
                <w:szCs w:val="18"/>
              </w:rPr>
              <w:t>13.4</w:t>
            </w:r>
            <w:r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2276.5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million). Unclassified goods according to destination amounted to </w:t>
            </w:r>
            <w:r w:rsidR="00A3671F">
              <w:rPr>
                <w:rFonts w:ascii="Tahoma" w:hAnsi="Tahoma" w:cs="Tahoma"/>
                <w:sz w:val="18"/>
                <w:szCs w:val="18"/>
              </w:rPr>
              <w:t>11.9</w:t>
            </w:r>
            <w:r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3671F">
              <w:rPr>
                <w:rFonts w:ascii="Tahoma" w:hAnsi="Tahoma" w:cs="Tahoma"/>
                <w:sz w:val="18"/>
                <w:szCs w:val="18"/>
                <w:lang w:val="en-US"/>
              </w:rPr>
              <w:t>2024.8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million).</w:t>
            </w:r>
          </w:p>
          <w:p w14:paraId="364F61AF" w14:textId="512CDFAD" w:rsidR="0075669F" w:rsidRDefault="00747C48">
            <w:pPr>
              <w:widowControl w:val="0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The external trade in the reference period noted the highest level with the counties with which we have signed agreements on free trade. European Union member countries account for </w:t>
            </w:r>
            <w:r w:rsidR="00BB6A8C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60.3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% of total external trade.</w:t>
            </w:r>
          </w:p>
          <w:p w14:paraId="1E63366A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2B510E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16A0B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BDDE74F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FFAE33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CA8E9A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CD8D00" w14:textId="77777777" w:rsidR="0075669F" w:rsidRDefault="00747C48">
            <w:pPr>
              <w:widowControl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major foreign trade partners were, </w:t>
            </w:r>
            <w:r>
              <w:rPr>
                <w:rFonts w:ascii="Arial" w:hAnsi="Arial" w:cs="Arial"/>
                <w:sz w:val="18"/>
                <w:szCs w:val="18"/>
              </w:rPr>
              <w:t>separately,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follows:</w:t>
            </w:r>
          </w:p>
          <w:p w14:paraId="6EA717C8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tbl>
            <w:tblPr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1159"/>
              <w:gridCol w:w="1157"/>
              <w:gridCol w:w="2117"/>
              <w:gridCol w:w="1157"/>
              <w:gridCol w:w="1157"/>
            </w:tblGrid>
            <w:tr w:rsidR="0075669F" w14:paraId="1F4610DC" w14:textId="77777777">
              <w:trPr>
                <w:trHeight w:val="322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484B3F" w14:textId="77777777" w:rsidR="0075669F" w:rsidRDefault="00747C4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Exports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7B5F77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B0A3F2E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EUR million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26B794" w14:textId="77777777" w:rsidR="0075669F" w:rsidRDefault="00747C4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Imports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5D89F3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281F94F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EUR million</w:t>
                  </w:r>
                </w:p>
              </w:tc>
            </w:tr>
            <w:tr w:rsidR="0075669F" w14:paraId="026068F4" w14:textId="77777777">
              <w:trPr>
                <w:trHeight w:hRule="exact" w:val="261"/>
              </w:trPr>
              <w:tc>
                <w:tcPr>
                  <w:tcW w:w="2494" w:type="dxa"/>
                  <w:shd w:val="clear" w:color="auto" w:fill="auto"/>
                  <w:vAlign w:val="bottom"/>
                </w:tcPr>
                <w:p w14:paraId="5E01947F" w14:textId="77777777" w:rsidR="0075669F" w:rsidRDefault="0075669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  <w:vAlign w:val="bottom"/>
                </w:tcPr>
                <w:p w14:paraId="7DAABE66" w14:textId="77777777" w:rsidR="0075669F" w:rsidRDefault="0075669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  <w:vAlign w:val="bottom"/>
                </w:tcPr>
                <w:p w14:paraId="1A574F56" w14:textId="77777777" w:rsidR="0075669F" w:rsidRDefault="0075669F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shd w:val="clear" w:color="auto" w:fill="auto"/>
                  <w:vAlign w:val="bottom"/>
                </w:tcPr>
                <w:p w14:paraId="228B4885" w14:textId="77777777" w:rsidR="0075669F" w:rsidRDefault="0075669F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  <w:vAlign w:val="bottom"/>
                </w:tcPr>
                <w:p w14:paraId="5469EB95" w14:textId="77777777" w:rsidR="0075669F" w:rsidRDefault="0075669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  <w:vAlign w:val="bottom"/>
                </w:tcPr>
                <w:p w14:paraId="7E7FA817" w14:textId="77777777" w:rsidR="0075669F" w:rsidRDefault="0075669F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669F" w14:paraId="79F14F60" w14:textId="77777777">
              <w:trPr>
                <w:trHeight w:val="142"/>
              </w:trPr>
              <w:tc>
                <w:tcPr>
                  <w:tcW w:w="249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A71003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Germany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F1E25D8" w14:textId="20A648CA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1981.3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9ECFBE" w14:textId="097248AA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1830.2</w:t>
                  </w:r>
                </w:p>
              </w:tc>
              <w:tc>
                <w:tcPr>
                  <w:tcW w:w="2117" w:type="dxa"/>
                  <w:shd w:val="clear" w:color="auto" w:fill="auto"/>
                  <w:vAlign w:val="bottom"/>
                </w:tcPr>
                <w:p w14:paraId="5194AB07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Germany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F7200E3" w14:textId="70EC5BFB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2293.5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98DA08" w14:textId="0FD11808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2120.0</w:t>
                  </w:r>
                </w:p>
              </w:tc>
            </w:tr>
            <w:tr w:rsidR="0075669F" w14:paraId="5B2F3900" w14:textId="77777777">
              <w:trPr>
                <w:trHeight w:val="261"/>
              </w:trPr>
              <w:tc>
                <w:tcPr>
                  <w:tcW w:w="249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7F1A59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Bosnia and Herzegovina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C22A791" w14:textId="40AF84B8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826.7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8833A58" w14:textId="0A11899F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763.9</w:t>
                  </w:r>
                </w:p>
              </w:tc>
              <w:tc>
                <w:tcPr>
                  <w:tcW w:w="2117" w:type="dxa"/>
                  <w:shd w:val="clear" w:color="auto" w:fill="auto"/>
                  <w:vAlign w:val="bottom"/>
                </w:tcPr>
                <w:p w14:paraId="1D62258D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47550F" w14:textId="4638D527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2177.9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096FB31" w14:textId="3046A119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2012.2</w:t>
                  </w:r>
                </w:p>
              </w:tc>
            </w:tr>
            <w:tr w:rsidR="0075669F" w14:paraId="6E416289" w14:textId="77777777">
              <w:trPr>
                <w:trHeight w:val="261"/>
              </w:trPr>
              <w:tc>
                <w:tcPr>
                  <w:tcW w:w="249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DAAA9AA" w14:textId="65EFE877" w:rsidR="0075669F" w:rsidRDefault="00BB6A8C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73BB17A" w14:textId="09374820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817.9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814838B" w14:textId="60FB20A1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756.6</w:t>
                  </w:r>
                </w:p>
              </w:tc>
              <w:tc>
                <w:tcPr>
                  <w:tcW w:w="2117" w:type="dxa"/>
                  <w:shd w:val="clear" w:color="auto" w:fill="auto"/>
                  <w:vAlign w:val="bottom"/>
                </w:tcPr>
                <w:p w14:paraId="36072664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Italy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589B53" w14:textId="401E9E6F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1252.1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14BA68E" w14:textId="2FBF7839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1157.5</w:t>
                  </w:r>
                </w:p>
              </w:tc>
            </w:tr>
            <w:tr w:rsidR="0075669F" w14:paraId="64754B62" w14:textId="77777777">
              <w:trPr>
                <w:trHeight w:val="261"/>
              </w:trPr>
              <w:tc>
                <w:tcPr>
                  <w:tcW w:w="249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6E1083" w14:textId="071AE7BD" w:rsidR="0075669F" w:rsidRDefault="00BB6A8C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Italy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7C5D69" w14:textId="7DD88EA1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805.7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186D98" w14:textId="6B3E1842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744.1</w:t>
                  </w:r>
                </w:p>
              </w:tc>
              <w:tc>
                <w:tcPr>
                  <w:tcW w:w="2117" w:type="dxa"/>
                  <w:shd w:val="clear" w:color="auto" w:fill="auto"/>
                  <w:vAlign w:val="bottom"/>
                </w:tcPr>
                <w:p w14:paraId="3C314200" w14:textId="0B1A6232" w:rsidR="0075669F" w:rsidRDefault="00BB6A8C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Turkey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8BDD56A" w14:textId="75DD266D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884.6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B10E10" w14:textId="7BA4B164" w:rsidR="0075669F" w:rsidRDefault="00BB6A8C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817.6</w:t>
                  </w:r>
                </w:p>
              </w:tc>
            </w:tr>
            <w:tr w:rsidR="0075669F" w14:paraId="289F60F7" w14:textId="77777777">
              <w:trPr>
                <w:trHeight w:val="261"/>
              </w:trPr>
              <w:tc>
                <w:tcPr>
                  <w:tcW w:w="249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2D9EB10" w14:textId="6DC8AB10" w:rsidR="0075669F" w:rsidRDefault="00C4780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Hungary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1B6CF8" w14:textId="2D8DFBCA" w:rsidR="0075669F" w:rsidRDefault="00C47808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665.8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0307416" w14:textId="6B33F91A" w:rsidR="0075669F" w:rsidRDefault="00C47808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614.9</w:t>
                  </w:r>
                </w:p>
              </w:tc>
              <w:tc>
                <w:tcPr>
                  <w:tcW w:w="2117" w:type="dxa"/>
                  <w:shd w:val="clear" w:color="auto" w:fill="auto"/>
                  <w:vAlign w:val="bottom"/>
                </w:tcPr>
                <w:p w14:paraId="7DE2427C" w14:textId="50DC09C2" w:rsidR="0075669F" w:rsidRDefault="00C4780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Hungary</w:t>
                  </w:r>
                </w:p>
              </w:tc>
              <w:tc>
                <w:tcPr>
                  <w:tcW w:w="115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C1D8EB9" w14:textId="1B68536F" w:rsidR="0075669F" w:rsidRDefault="00C47808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873.1</w:t>
                  </w:r>
                </w:p>
              </w:tc>
              <w:tc>
                <w:tcPr>
                  <w:tcW w:w="1157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4F93CD4" w14:textId="71AD0DA3" w:rsidR="0075669F" w:rsidRDefault="00C47808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805.3</w:t>
                  </w:r>
                </w:p>
              </w:tc>
            </w:tr>
          </w:tbl>
          <w:p w14:paraId="0557B64E" w14:textId="77777777" w:rsidR="0075669F" w:rsidRDefault="0075669F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F98842" w14:textId="765FF8EC" w:rsidR="0075669F" w:rsidRDefault="00747C4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Our second major partner refers to the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CEFTA countries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since our gained surplus in external trade amounted to USD </w:t>
            </w:r>
            <w:r w:rsidR="00C47808">
              <w:rPr>
                <w:rFonts w:ascii="Tahoma" w:hAnsi="Tahoma" w:cs="Tahoma"/>
                <w:sz w:val="18"/>
                <w:szCs w:val="18"/>
                <w:lang w:val="en-US"/>
              </w:rPr>
              <w:t>1245.2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million, resulting mainly from the exports of cereals and produces thereof, </w:t>
            </w:r>
            <w:r w:rsidR="00C47808">
              <w:rPr>
                <w:rFonts w:ascii="Tahoma" w:hAnsi="Tahoma" w:cs="Tahoma"/>
                <w:sz w:val="18"/>
                <w:szCs w:val="18"/>
              </w:rPr>
              <w:t xml:space="preserve">road motor vehicles, </w:t>
            </w:r>
            <w:r>
              <w:rPr>
                <w:rFonts w:ascii="Tahoma" w:hAnsi="Tahoma" w:cs="Tahoma"/>
                <w:sz w:val="18"/>
                <w:szCs w:val="18"/>
              </w:rPr>
              <w:t xml:space="preserve">beverages, </w:t>
            </w:r>
            <w:r w:rsidR="00C47808">
              <w:rPr>
                <w:rFonts w:ascii="Tahoma" w:hAnsi="Tahoma" w:cs="Tahoma"/>
                <w:sz w:val="18"/>
                <w:szCs w:val="18"/>
              </w:rPr>
              <w:t xml:space="preserve">electricity and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oil and oil derivatives</w:t>
            </w:r>
            <w:r>
              <w:rPr>
                <w:rFonts w:ascii="Tahoma" w:hAnsi="Tahoma" w:cs="Tahoma"/>
                <w:sz w:val="18"/>
                <w:szCs w:val="18"/>
              </w:rPr>
              <w:t xml:space="preserve">. Our exports in the referent period amounted to USD </w:t>
            </w:r>
            <w:r w:rsidR="00C47808">
              <w:rPr>
                <w:rFonts w:ascii="Tahoma" w:hAnsi="Tahoma" w:cs="Tahoma"/>
                <w:sz w:val="18"/>
                <w:szCs w:val="18"/>
                <w:lang w:val="en-US"/>
              </w:rPr>
              <w:t>1912.1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million, while the imports were USD </w:t>
            </w:r>
            <w:r w:rsidR="00C47808">
              <w:rPr>
                <w:rFonts w:ascii="Tahoma" w:hAnsi="Tahoma" w:cs="Tahoma"/>
                <w:sz w:val="18"/>
                <w:szCs w:val="18"/>
                <w:lang w:val="en-US"/>
              </w:rPr>
              <w:t>666.9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million. The export– import ratio equalled </w:t>
            </w:r>
            <w:r w:rsidR="00C47808">
              <w:rPr>
                <w:rFonts w:ascii="Tahoma" w:hAnsi="Tahoma" w:cs="Tahoma"/>
                <w:sz w:val="18"/>
                <w:szCs w:val="18"/>
              </w:rPr>
              <w:t>286.7</w:t>
            </w:r>
            <w:r>
              <w:rPr>
                <w:rFonts w:ascii="Tahoma" w:hAnsi="Tahoma" w:cs="Tahoma"/>
                <w:sz w:val="18"/>
                <w:szCs w:val="18"/>
              </w:rPr>
              <w:t xml:space="preserve"> %. Expressed in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EUR</w:t>
            </w:r>
            <w:r>
              <w:rPr>
                <w:rFonts w:ascii="Tahoma" w:hAnsi="Tahoma" w:cs="Tahoma"/>
                <w:sz w:val="18"/>
                <w:szCs w:val="18"/>
              </w:rPr>
              <w:t xml:space="preserve">, exports amounted to </w:t>
            </w:r>
            <w:r w:rsidR="00C47808">
              <w:rPr>
                <w:rFonts w:ascii="Tahoma" w:hAnsi="Tahoma" w:cs="Tahoma"/>
                <w:b/>
                <w:sz w:val="18"/>
                <w:szCs w:val="18"/>
                <w:lang w:val="en-US"/>
              </w:rPr>
              <w:t>1767.1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imports to </w:t>
            </w:r>
            <w:r w:rsidR="00C47808">
              <w:rPr>
                <w:rFonts w:ascii="Tahoma" w:hAnsi="Tahoma" w:cs="Tahoma"/>
                <w:b/>
                <w:sz w:val="18"/>
                <w:szCs w:val="18"/>
                <w:lang w:val="en-US"/>
              </w:rPr>
              <w:t>616.4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 (surplus amounted to EUR </w:t>
            </w:r>
            <w:r w:rsidR="00C47808">
              <w:rPr>
                <w:rFonts w:ascii="Tahoma" w:hAnsi="Tahoma" w:cs="Tahoma"/>
                <w:sz w:val="18"/>
                <w:szCs w:val="18"/>
              </w:rPr>
              <w:t>1150.7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 and export – import ratio equalled </w:t>
            </w:r>
            <w:r w:rsidR="00C47808">
              <w:rPr>
                <w:rFonts w:ascii="Tahoma" w:hAnsi="Tahoma" w:cs="Tahoma"/>
                <w:sz w:val="18"/>
                <w:szCs w:val="18"/>
                <w:lang w:val="en-US"/>
              </w:rPr>
              <w:t>286.7</w:t>
            </w:r>
            <w:r>
              <w:rPr>
                <w:rFonts w:ascii="Tahoma" w:hAnsi="Tahoma" w:cs="Tahoma"/>
                <w:sz w:val="18"/>
                <w:szCs w:val="18"/>
              </w:rPr>
              <w:t>%).</w:t>
            </w:r>
          </w:p>
          <w:p w14:paraId="4FED0F1D" w14:textId="77777777" w:rsidR="0075669F" w:rsidRDefault="0075669F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14:paraId="54699BC8" w14:textId="626E2856" w:rsidR="0075669F" w:rsidRDefault="00747C4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Observed by countries, the largest surplus in the external trade was gained with the surrounding countries – Montenegro (exports of electricity and retail trade medicaments and imported were electricity and dried meat), Bosnia and Herzegovina (exports mostly related to gas oils</w:t>
            </w:r>
            <w:r w:rsidR="00C478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and motor gasoline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and the most imported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we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 electricity and coke and semi-coke of hard coal), and Republic of North Macedonia (exports of electricity and electric conductors; imported were electricity and supported catalysts).</w:t>
            </w:r>
            <w:proofErr w:type="gram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Regarding other countries, surplus </w:t>
            </w:r>
            <w:proofErr w:type="gram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was also noted</w:t>
            </w:r>
            <w:proofErr w:type="gram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in trade with Romania, Slovakia, Sweden,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47808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Croatia, Bulgaria,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Czech Republic</w:t>
            </w:r>
            <w:r w:rsidR="00C478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and Albania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 The greatest deficit marked the trade with China (due to imports of phones for network stations and laptops), followed by trade with Turkey, Italy,</w:t>
            </w:r>
            <w:r w:rsidR="00C478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Germany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, the Russian Federation, </w:t>
            </w:r>
            <w:r w:rsidR="00C47808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Hungary,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the Netherlands,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Kazakhstan,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4780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Poland, Belgium, Spain, Slovenia, France, Republic of Korea, Switzerland, Greece, Austria, Denmark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….</w:t>
            </w:r>
          </w:p>
          <w:p w14:paraId="728A3619" w14:textId="77777777" w:rsidR="0075669F" w:rsidRDefault="0075669F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4A533F" w14:textId="007A2472" w:rsidR="0075669F" w:rsidRDefault="00747C48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According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the divisions of the Standard International Trade Classification (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SITC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the first five sections in exports accounted for </w:t>
            </w:r>
            <w:r w:rsidR="00947E6E">
              <w:rPr>
                <w:rFonts w:ascii="Tahoma" w:hAnsi="Tahoma" w:cs="Tahoma"/>
                <w:sz w:val="18"/>
                <w:szCs w:val="18"/>
              </w:rPr>
              <w:t>35.2</w:t>
            </w:r>
            <w:r>
              <w:rPr>
                <w:rFonts w:ascii="Tahoma" w:hAnsi="Tahoma" w:cs="Tahoma"/>
                <w:sz w:val="18"/>
                <w:szCs w:val="18"/>
              </w:rPr>
              <w:t xml:space="preserve">% of the overall exports. Imports of the first five sections accounted for </w:t>
            </w:r>
            <w:r w:rsidR="00947E6E">
              <w:rPr>
                <w:rFonts w:ascii="Tahoma" w:hAnsi="Tahoma" w:cs="Tahoma"/>
                <w:sz w:val="18"/>
                <w:szCs w:val="18"/>
              </w:rPr>
              <w:t>25.5</w:t>
            </w:r>
            <w:r>
              <w:rPr>
                <w:rFonts w:ascii="Tahoma" w:hAnsi="Tahoma" w:cs="Tahoma"/>
                <w:sz w:val="18"/>
                <w:szCs w:val="18"/>
              </w:rPr>
              <w:t xml:space="preserve">% of total imports. Section of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unclassified goods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now also involving customs storage goods and goods in free zone, has share of </w:t>
            </w:r>
            <w:r w:rsidR="00947E6E">
              <w:rPr>
                <w:rFonts w:ascii="Tahoma" w:hAnsi="Tahoma" w:cs="Tahoma"/>
                <w:sz w:val="18"/>
                <w:szCs w:val="18"/>
              </w:rPr>
              <w:t>13.2</w:t>
            </w:r>
            <w:r>
              <w:rPr>
                <w:rFonts w:ascii="Tahoma" w:hAnsi="Tahoma" w:cs="Tahoma"/>
                <w:sz w:val="18"/>
                <w:szCs w:val="18"/>
              </w:rPr>
              <w:t>% in total imports.</w:t>
            </w:r>
          </w:p>
          <w:p w14:paraId="2D685C99" w14:textId="77777777" w:rsidR="0075669F" w:rsidRDefault="0075669F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9232" w:type="dxa"/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923"/>
              <w:gridCol w:w="784"/>
              <w:gridCol w:w="2995"/>
              <w:gridCol w:w="899"/>
              <w:gridCol w:w="805"/>
            </w:tblGrid>
            <w:tr w:rsidR="0075669F" w14:paraId="46556B59" w14:textId="77777777" w:rsidTr="00F26837">
              <w:trPr>
                <w:trHeight w:val="435"/>
              </w:trPr>
              <w:tc>
                <w:tcPr>
                  <w:tcW w:w="28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7B522B7" w14:textId="77777777" w:rsidR="0075669F" w:rsidRDefault="00747C4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Exports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0184C0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4E6B0E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EUR million</w:t>
                  </w:r>
                </w:p>
              </w:tc>
              <w:tc>
                <w:tcPr>
                  <w:tcW w:w="29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6DBF7D" w14:textId="77777777" w:rsidR="0075669F" w:rsidRDefault="00747C4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Imports</w:t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582295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8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3397DB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EUR million</w:t>
                  </w:r>
                </w:p>
              </w:tc>
            </w:tr>
            <w:tr w:rsidR="0075669F" w14:paraId="24E58EC7" w14:textId="77777777" w:rsidTr="00F26837">
              <w:trPr>
                <w:trHeight w:hRule="exact" w:val="315"/>
              </w:trPr>
              <w:tc>
                <w:tcPr>
                  <w:tcW w:w="2826" w:type="dxa"/>
                  <w:tcBorders>
                    <w:left w:val="single" w:sz="8" w:space="0" w:color="000000"/>
                  </w:tcBorders>
                  <w:vAlign w:val="center"/>
                </w:tcPr>
                <w:p w14:paraId="5604176A" w14:textId="77777777" w:rsidR="0075669F" w:rsidRDefault="0075669F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6030E6D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  <w:tcBorders>
                    <w:right w:val="single" w:sz="8" w:space="0" w:color="000000"/>
                  </w:tcBorders>
                  <w:vAlign w:val="center"/>
                </w:tcPr>
                <w:p w14:paraId="6E4D7264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14:paraId="2C2A5DD7" w14:textId="77777777" w:rsidR="0075669F" w:rsidRDefault="0075669F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05ED027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tcBorders>
                    <w:right w:val="single" w:sz="8" w:space="0" w:color="000000"/>
                  </w:tcBorders>
                  <w:vAlign w:val="center"/>
                </w:tcPr>
                <w:p w14:paraId="00645A37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669F" w14:paraId="15837044" w14:textId="77777777" w:rsidTr="00F26837">
              <w:trPr>
                <w:trHeight w:val="240"/>
              </w:trPr>
              <w:tc>
                <w:tcPr>
                  <w:tcW w:w="2826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5A334E0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Electrical machines and apparatus</w:t>
                  </w:r>
                </w:p>
              </w:tc>
              <w:tc>
                <w:tcPr>
                  <w:tcW w:w="923" w:type="dxa"/>
                  <w:tcBorders>
                    <w:right w:val="single" w:sz="8" w:space="0" w:color="000000"/>
                  </w:tcBorders>
                  <w:vAlign w:val="bottom"/>
                </w:tcPr>
                <w:p w14:paraId="3130294D" w14:textId="6188F905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1649.5</w:t>
                  </w:r>
                </w:p>
              </w:tc>
              <w:tc>
                <w:tcPr>
                  <w:tcW w:w="784" w:type="dxa"/>
                  <w:vAlign w:val="bottom"/>
                </w:tcPr>
                <w:p w14:paraId="1FAD4418" w14:textId="28E4D877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1523.8</w:t>
                  </w:r>
                </w:p>
              </w:tc>
              <w:tc>
                <w:tcPr>
                  <w:tcW w:w="299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551A0D62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Electrical machines and apparatus</w:t>
                  </w:r>
                </w:p>
              </w:tc>
              <w:tc>
                <w:tcPr>
                  <w:tcW w:w="899" w:type="dxa"/>
                  <w:tcBorders>
                    <w:right w:val="single" w:sz="8" w:space="0" w:color="000000"/>
                  </w:tcBorders>
                  <w:vAlign w:val="bottom"/>
                </w:tcPr>
                <w:p w14:paraId="63803913" w14:textId="0814FBE1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1152.1</w:t>
                  </w:r>
                </w:p>
              </w:tc>
              <w:tc>
                <w:tcPr>
                  <w:tcW w:w="805" w:type="dxa"/>
                  <w:tcBorders>
                    <w:right w:val="single" w:sz="8" w:space="0" w:color="000000"/>
                  </w:tcBorders>
                  <w:vAlign w:val="bottom"/>
                </w:tcPr>
                <w:p w14:paraId="491A6AE3" w14:textId="44A46CB4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 w:eastAsia="en-GB"/>
                    </w:rPr>
                    <w:t>1064.6</w:t>
                  </w:r>
                </w:p>
              </w:tc>
            </w:tr>
            <w:tr w:rsidR="0075669F" w14:paraId="4EBBB52A" w14:textId="77777777" w:rsidTr="00F26837">
              <w:trPr>
                <w:trHeight w:val="240"/>
              </w:trPr>
              <w:tc>
                <w:tcPr>
                  <w:tcW w:w="2826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E76A675" w14:textId="1A9C751A" w:rsidR="0075669F" w:rsidRDefault="00947E6E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Non-ferrous metals</w:t>
                  </w:r>
                </w:p>
              </w:tc>
              <w:tc>
                <w:tcPr>
                  <w:tcW w:w="923" w:type="dxa"/>
                  <w:tcBorders>
                    <w:right w:val="single" w:sz="8" w:space="0" w:color="000000"/>
                  </w:tcBorders>
                  <w:vAlign w:val="bottom"/>
                </w:tcPr>
                <w:p w14:paraId="58DCDAD3" w14:textId="2B78074F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832.4</w:t>
                  </w:r>
                </w:p>
              </w:tc>
              <w:tc>
                <w:tcPr>
                  <w:tcW w:w="784" w:type="dxa"/>
                  <w:vAlign w:val="bottom"/>
                </w:tcPr>
                <w:p w14:paraId="2BC3C877" w14:textId="3C4BA70F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769.4</w:t>
                  </w:r>
                </w:p>
              </w:tc>
              <w:tc>
                <w:tcPr>
                  <w:tcW w:w="299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0EE41B8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Oil and oil derivatives</w:t>
                  </w:r>
                </w:p>
              </w:tc>
              <w:tc>
                <w:tcPr>
                  <w:tcW w:w="899" w:type="dxa"/>
                  <w:tcBorders>
                    <w:right w:val="single" w:sz="8" w:space="0" w:color="000000"/>
                  </w:tcBorders>
                  <w:vAlign w:val="bottom"/>
                </w:tcPr>
                <w:p w14:paraId="1F5BE412" w14:textId="1541ECCF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945.3</w:t>
                  </w:r>
                </w:p>
              </w:tc>
              <w:tc>
                <w:tcPr>
                  <w:tcW w:w="805" w:type="dxa"/>
                  <w:tcBorders>
                    <w:right w:val="single" w:sz="8" w:space="0" w:color="000000"/>
                  </w:tcBorders>
                  <w:vAlign w:val="bottom"/>
                </w:tcPr>
                <w:p w14:paraId="2349512B" w14:textId="7E3C6819" w:rsidR="0075669F" w:rsidRDefault="00947E6E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873.2</w:t>
                  </w:r>
                </w:p>
              </w:tc>
            </w:tr>
            <w:tr w:rsidR="0075669F" w14:paraId="77910078" w14:textId="77777777" w:rsidTr="00F26837">
              <w:trPr>
                <w:trHeight w:val="240"/>
              </w:trPr>
              <w:tc>
                <w:tcPr>
                  <w:tcW w:w="2826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221DE3C" w14:textId="77777777" w:rsidR="0075669F" w:rsidRDefault="00747C48">
                  <w:pPr>
                    <w:widowControl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Power engines and motors</w:t>
                  </w:r>
                </w:p>
              </w:tc>
              <w:tc>
                <w:tcPr>
                  <w:tcW w:w="923" w:type="dxa"/>
                  <w:tcBorders>
                    <w:right w:val="single" w:sz="8" w:space="0" w:color="000000"/>
                  </w:tcBorders>
                  <w:vAlign w:val="bottom"/>
                </w:tcPr>
                <w:p w14:paraId="38574C55" w14:textId="395BCB4D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810.6</w:t>
                  </w:r>
                </w:p>
              </w:tc>
              <w:tc>
                <w:tcPr>
                  <w:tcW w:w="784" w:type="dxa"/>
                  <w:vAlign w:val="bottom"/>
                </w:tcPr>
                <w:p w14:paraId="08183CFD" w14:textId="159B817A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748.8</w:t>
                  </w:r>
                </w:p>
              </w:tc>
              <w:tc>
                <w:tcPr>
                  <w:tcW w:w="299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4E85CCD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Road vehicles</w:t>
                  </w:r>
                </w:p>
              </w:tc>
              <w:tc>
                <w:tcPr>
                  <w:tcW w:w="899" w:type="dxa"/>
                  <w:tcBorders>
                    <w:right w:val="single" w:sz="8" w:space="0" w:color="000000"/>
                  </w:tcBorders>
                  <w:vAlign w:val="bottom"/>
                </w:tcPr>
                <w:p w14:paraId="013CE25E" w14:textId="2CA4CB7B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824.2</w:t>
                  </w:r>
                </w:p>
              </w:tc>
              <w:tc>
                <w:tcPr>
                  <w:tcW w:w="805" w:type="dxa"/>
                  <w:tcBorders>
                    <w:right w:val="single" w:sz="8" w:space="0" w:color="000000"/>
                  </w:tcBorders>
                  <w:vAlign w:val="bottom"/>
                </w:tcPr>
                <w:p w14:paraId="17C4E4FA" w14:textId="73187DCC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761.9</w:t>
                  </w:r>
                </w:p>
              </w:tc>
            </w:tr>
            <w:tr w:rsidR="0075669F" w14:paraId="7A3850E2" w14:textId="77777777" w:rsidTr="00F26837">
              <w:trPr>
                <w:trHeight w:val="240"/>
              </w:trPr>
              <w:tc>
                <w:tcPr>
                  <w:tcW w:w="2826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0CBE309" w14:textId="3E9699D5" w:rsidR="0075669F" w:rsidRDefault="005750F4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Metal ores and residues</w:t>
                  </w:r>
                </w:p>
              </w:tc>
              <w:tc>
                <w:tcPr>
                  <w:tcW w:w="923" w:type="dxa"/>
                  <w:tcBorders>
                    <w:right w:val="single" w:sz="8" w:space="0" w:color="000000"/>
                  </w:tcBorders>
                  <w:vAlign w:val="bottom"/>
                </w:tcPr>
                <w:p w14:paraId="78D18DA2" w14:textId="60CEC9D1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792.1</w:t>
                  </w:r>
                </w:p>
              </w:tc>
              <w:tc>
                <w:tcPr>
                  <w:tcW w:w="784" w:type="dxa"/>
                  <w:vAlign w:val="bottom"/>
                </w:tcPr>
                <w:p w14:paraId="1A3376FD" w14:textId="1903B2C2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732.5</w:t>
                  </w:r>
                </w:p>
              </w:tc>
              <w:tc>
                <w:tcPr>
                  <w:tcW w:w="299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3689A8E" w14:textId="397D3D43" w:rsidR="0075669F" w:rsidRDefault="005750F4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General industrial machinery</w:t>
                  </w:r>
                </w:p>
              </w:tc>
              <w:tc>
                <w:tcPr>
                  <w:tcW w:w="899" w:type="dxa"/>
                  <w:tcBorders>
                    <w:right w:val="single" w:sz="8" w:space="0" w:color="000000"/>
                  </w:tcBorders>
                  <w:vAlign w:val="bottom"/>
                </w:tcPr>
                <w:p w14:paraId="1EFE20D7" w14:textId="5ED7260C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737.9</w:t>
                  </w:r>
                </w:p>
              </w:tc>
              <w:tc>
                <w:tcPr>
                  <w:tcW w:w="805" w:type="dxa"/>
                  <w:tcBorders>
                    <w:right w:val="single" w:sz="8" w:space="0" w:color="000000"/>
                  </w:tcBorders>
                  <w:vAlign w:val="bottom"/>
                </w:tcPr>
                <w:p w14:paraId="163E971F" w14:textId="6F7E3D52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682.3</w:t>
                  </w:r>
                </w:p>
              </w:tc>
            </w:tr>
            <w:tr w:rsidR="0075669F" w14:paraId="333BC4FB" w14:textId="77777777" w:rsidTr="00F26837">
              <w:trPr>
                <w:trHeight w:val="240"/>
              </w:trPr>
              <w:tc>
                <w:tcPr>
                  <w:tcW w:w="2826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5D83D906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Rubber products,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n.e.c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23" w:type="dxa"/>
                  <w:tcBorders>
                    <w:right w:val="single" w:sz="8" w:space="0" w:color="000000"/>
                  </w:tcBorders>
                  <w:vAlign w:val="bottom"/>
                </w:tcPr>
                <w:p w14:paraId="26299CD0" w14:textId="6C1F46B0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552.4</w:t>
                  </w:r>
                </w:p>
              </w:tc>
              <w:tc>
                <w:tcPr>
                  <w:tcW w:w="784" w:type="dxa"/>
                  <w:vAlign w:val="bottom"/>
                </w:tcPr>
                <w:p w14:paraId="2571A50A" w14:textId="3D53E27C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510.3</w:t>
                  </w:r>
                </w:p>
              </w:tc>
              <w:tc>
                <w:tcPr>
                  <w:tcW w:w="299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3D5436E" w14:textId="77777777" w:rsidR="0075669F" w:rsidRDefault="00747C4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Medical and pharmaceutical products</w:t>
                  </w:r>
                </w:p>
              </w:tc>
              <w:tc>
                <w:tcPr>
                  <w:tcW w:w="899" w:type="dxa"/>
                  <w:tcBorders>
                    <w:right w:val="single" w:sz="8" w:space="0" w:color="000000"/>
                  </w:tcBorders>
                  <w:vAlign w:val="bottom"/>
                </w:tcPr>
                <w:p w14:paraId="7788A1C8" w14:textId="4640BAB3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666.3</w:t>
                  </w:r>
                </w:p>
              </w:tc>
              <w:tc>
                <w:tcPr>
                  <w:tcW w:w="805" w:type="dxa"/>
                  <w:tcBorders>
                    <w:right w:val="single" w:sz="8" w:space="0" w:color="000000"/>
                  </w:tcBorders>
                  <w:vAlign w:val="bottom"/>
                </w:tcPr>
                <w:p w14:paraId="4FB37928" w14:textId="7FEB5ECB" w:rsidR="0075669F" w:rsidRDefault="005750F4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615.6</w:t>
                  </w:r>
                </w:p>
              </w:tc>
            </w:tr>
            <w:tr w:rsidR="0075669F" w14:paraId="11DCAFD0" w14:textId="77777777" w:rsidTr="00F26837">
              <w:trPr>
                <w:trHeight w:hRule="exact" w:val="330"/>
              </w:trPr>
              <w:tc>
                <w:tcPr>
                  <w:tcW w:w="2826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170095AC" w14:textId="77777777" w:rsidR="0075669F" w:rsidRDefault="0075669F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7A9BB6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B45FBF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5" w:type="dxa"/>
                  <w:tcBorders>
                    <w:bottom w:val="single" w:sz="8" w:space="0" w:color="000000"/>
                  </w:tcBorders>
                  <w:vAlign w:val="center"/>
                </w:tcPr>
                <w:p w14:paraId="60C9F8ED" w14:textId="77777777" w:rsidR="0075669F" w:rsidRDefault="0075669F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5F946F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CE3539" w14:textId="77777777" w:rsidR="0075669F" w:rsidRDefault="0075669F">
                  <w:pPr>
                    <w:widowControl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A518BD0" w14:textId="77777777" w:rsidR="0075669F" w:rsidRDefault="0075669F">
            <w:pPr>
              <w:widowControl w:val="0"/>
              <w:shd w:val="clear" w:color="auto" w:fill="FFFFFF"/>
              <w:spacing w:line="210" w:lineRule="atLeast"/>
              <w:jc w:val="both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  <w:p w14:paraId="056D8ED2" w14:textId="77777777" w:rsidR="0075669F" w:rsidRDefault="0075669F">
            <w:pPr>
              <w:widowControl w:val="0"/>
              <w:shd w:val="clear" w:color="auto" w:fill="FFFFFF"/>
              <w:spacing w:line="210" w:lineRule="atLeast"/>
              <w:jc w:val="both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  <w:p w14:paraId="570CC31D" w14:textId="60633C38" w:rsidR="0075669F" w:rsidRDefault="00747C48">
            <w:pPr>
              <w:widowControl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5750F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5750F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value of exported goods amounted 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USD </w:t>
            </w:r>
            <w:r w:rsidR="005750F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2550.5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million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being the </w:t>
            </w:r>
            <w:r w:rsidR="005750F4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crease of </w:t>
            </w:r>
            <w:r w:rsidR="005750F4">
              <w:rPr>
                <w:rFonts w:ascii="Arial" w:hAnsi="Arial" w:cs="Arial"/>
                <w:bCs/>
                <w:sz w:val="18"/>
                <w:szCs w:val="18"/>
                <w:lang w:val="en-US"/>
              </w:rPr>
              <w:t>4.4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% relative to the same month last year. Value of imports was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USD </w:t>
            </w:r>
            <w:r w:rsidR="005750F4">
              <w:rPr>
                <w:rFonts w:ascii="Arial" w:hAnsi="Arial" w:cs="Arial"/>
                <w:b/>
                <w:bCs/>
                <w:sz w:val="18"/>
                <w:szCs w:val="18"/>
              </w:rPr>
              <w:t>3478.5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million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presenting the decrease of</w:t>
            </w:r>
            <w:r w:rsidR="005750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750F4">
              <w:rPr>
                <w:rFonts w:ascii="Arial" w:hAnsi="Arial" w:cs="Arial"/>
                <w:bCs/>
                <w:sz w:val="18"/>
                <w:szCs w:val="18"/>
                <w:lang w:val="en-US"/>
              </w:rPr>
              <w:t>0.5</w:t>
            </w:r>
            <w:r>
              <w:rPr>
                <w:rFonts w:ascii="Arial" w:hAnsi="Arial" w:cs="Arial"/>
                <w:bCs/>
                <w:sz w:val="18"/>
                <w:szCs w:val="18"/>
              </w:rPr>
              <w:t>% compared to the same month last year.</w:t>
            </w:r>
          </w:p>
          <w:p w14:paraId="1FA60B8D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15D5CC" w14:textId="15B62AB2" w:rsidR="0075669F" w:rsidRDefault="00747C4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Expressed in EUR, value of exported goods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="005750F4">
              <w:rPr>
                <w:rFonts w:ascii="Arial" w:hAnsi="Arial" w:cs="Arial"/>
                <w:b/>
                <w:sz w:val="18"/>
                <w:szCs w:val="18"/>
                <w:lang w:val="en-US"/>
              </w:rPr>
              <w:t>2364.3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million</w:t>
            </w:r>
            <w:r>
              <w:rPr>
                <w:rFonts w:ascii="Arial" w:hAnsi="Arial" w:cs="Arial"/>
                <w:sz w:val="18"/>
                <w:szCs w:val="18"/>
              </w:rPr>
              <w:t>, being the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crease of </w:t>
            </w:r>
            <w:r w:rsidR="005750F4">
              <w:rPr>
                <w:rFonts w:ascii="Arial" w:hAnsi="Arial" w:cs="Arial"/>
                <w:sz w:val="18"/>
                <w:szCs w:val="18"/>
                <w:lang w:val="en-US"/>
              </w:rPr>
              <w:t>3.3</w:t>
            </w:r>
            <w:r>
              <w:rPr>
                <w:rFonts w:ascii="Arial" w:hAnsi="Arial" w:cs="Arial"/>
                <w:sz w:val="18"/>
                <w:szCs w:val="18"/>
              </w:rPr>
              <w:t>% compared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with the same month last year. Import amounted 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EUR </w:t>
            </w:r>
            <w:r w:rsidR="005750F4">
              <w:rPr>
                <w:rFonts w:ascii="Arial" w:hAnsi="Arial" w:cs="Arial"/>
                <w:b/>
                <w:sz w:val="18"/>
                <w:szCs w:val="18"/>
                <w:lang w:val="en-US"/>
              </w:rPr>
              <w:t>3223.3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million</w:t>
            </w:r>
            <w:r>
              <w:rPr>
                <w:rFonts w:ascii="Arial" w:hAnsi="Arial" w:cs="Arial"/>
                <w:sz w:val="18"/>
                <w:szCs w:val="18"/>
              </w:rPr>
              <w:t xml:space="preserve">, presenting the </w:t>
            </w:r>
            <w:r w:rsidR="005750F4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crease of </w:t>
            </w:r>
            <w:r w:rsidR="005750F4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  <w:r>
              <w:rPr>
                <w:rFonts w:ascii="Arial" w:hAnsi="Arial" w:cs="Arial"/>
                <w:sz w:val="18"/>
                <w:szCs w:val="18"/>
              </w:rPr>
              <w:t>% relative to the same month last year.</w:t>
            </w:r>
          </w:p>
          <w:p w14:paraId="20B7C815" w14:textId="77777777" w:rsidR="0075669F" w:rsidRDefault="007566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83805B" w14:textId="7628051E" w:rsidR="0075669F" w:rsidRDefault="00747C48">
            <w:pPr>
              <w:widowControl w:val="0"/>
              <w:shd w:val="clear" w:color="auto" w:fill="FFFFFF"/>
              <w:spacing w:line="21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seasonally adjusted index </w:t>
            </w:r>
            <w:r w:rsidR="005750F4">
              <w:rPr>
                <w:rFonts w:ascii="Tahoma" w:hAnsi="Tahoma" w:cs="Tahoma"/>
                <w:sz w:val="18"/>
                <w:szCs w:val="18"/>
                <w:lang w:val="en-US"/>
              </w:rPr>
              <w:t>May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5750F4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="005750F4">
              <w:rPr>
                <w:rFonts w:ascii="Tahoma" w:hAnsi="Tahoma" w:cs="Tahoma"/>
                <w:sz w:val="18"/>
                <w:szCs w:val="18"/>
                <w:lang w:val="en-US"/>
              </w:rPr>
              <w:t>April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5750F4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shows that exports </w:t>
            </w:r>
            <w:r w:rsidR="005750F4"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crease</w:t>
            </w:r>
            <w:r w:rsidR="005750F4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="005750F4">
              <w:rPr>
                <w:rFonts w:ascii="Tahoma" w:hAnsi="Tahoma" w:cs="Tahoma"/>
                <w:sz w:val="18"/>
                <w:szCs w:val="18"/>
              </w:rPr>
              <w:t>4.2</w:t>
            </w:r>
            <w:r>
              <w:rPr>
                <w:rFonts w:ascii="Tahoma" w:hAnsi="Tahoma" w:cs="Tahoma"/>
                <w:sz w:val="18"/>
                <w:szCs w:val="18"/>
              </w:rPr>
              <w:t>% and imports increase</w:t>
            </w:r>
            <w:r w:rsidR="005750F4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="005750F4">
              <w:rPr>
                <w:rFonts w:ascii="Tahoma" w:hAnsi="Tahoma" w:cs="Tahoma"/>
                <w:sz w:val="18"/>
                <w:szCs w:val="18"/>
                <w:lang w:val="en-US"/>
              </w:rPr>
              <w:t>6.1</w:t>
            </w:r>
            <w:r>
              <w:rPr>
                <w:rFonts w:ascii="Tahoma" w:hAnsi="Tahoma" w:cs="Tahoma"/>
                <w:sz w:val="18"/>
                <w:szCs w:val="18"/>
              </w:rPr>
              <w:t xml:space="preserve">%, calculated/ expressed in USD. Seasonally adjusted index </w:t>
            </w:r>
            <w:r w:rsidR="005750F4">
              <w:rPr>
                <w:rFonts w:ascii="Tahoma" w:hAnsi="Tahoma" w:cs="Tahoma"/>
                <w:sz w:val="18"/>
                <w:szCs w:val="18"/>
                <w:lang w:val="en-US"/>
              </w:rPr>
              <w:t>May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2023/ </w:t>
            </w:r>
            <w:r w:rsidR="005750F4">
              <w:rPr>
                <w:rFonts w:ascii="Tahoma" w:hAnsi="Tahoma" w:cs="Tahoma"/>
                <w:sz w:val="18"/>
                <w:szCs w:val="18"/>
              </w:rPr>
              <w:t>April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5750F4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, expressed in EUR, shows that exports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crease</w:t>
            </w:r>
            <w:r w:rsidR="005750F4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="005750F4">
              <w:rPr>
                <w:rFonts w:ascii="Tahoma" w:hAnsi="Tahoma" w:cs="Tahoma"/>
                <w:sz w:val="18"/>
                <w:szCs w:val="18"/>
                <w:lang w:val="en-US"/>
              </w:rPr>
              <w:t>3.2</w:t>
            </w:r>
            <w:r>
              <w:rPr>
                <w:rFonts w:ascii="Tahoma" w:hAnsi="Tahoma" w:cs="Tahoma"/>
                <w:sz w:val="18"/>
                <w:szCs w:val="18"/>
              </w:rPr>
              <w:t>% and imports increase</w:t>
            </w:r>
            <w:r w:rsidR="005750F4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="005750F4">
              <w:rPr>
                <w:rFonts w:ascii="Tahoma" w:hAnsi="Tahoma" w:cs="Tahoma"/>
                <w:sz w:val="18"/>
                <w:szCs w:val="18"/>
              </w:rPr>
              <w:t>7.0</w:t>
            </w:r>
            <w:r>
              <w:rPr>
                <w:rFonts w:ascii="Tahoma" w:hAnsi="Tahoma" w:cs="Tahoma"/>
                <w:sz w:val="18"/>
                <w:szCs w:val="18"/>
              </w:rPr>
              <w:t xml:space="preserve"> %.</w:t>
            </w:r>
          </w:p>
          <w:p w14:paraId="0BCAB72C" w14:textId="7992D700" w:rsidR="0075669F" w:rsidRDefault="00747C48">
            <w:pPr>
              <w:widowControl w:val="0"/>
              <w:tabs>
                <w:tab w:val="center" w:pos="779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According to the Nomenclature of the External Trade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tatistics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(NETS), </w:t>
            </w:r>
            <w:r w:rsidR="005750F4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list is as follows:</w:t>
            </w:r>
          </w:p>
          <w:p w14:paraId="7AE1B719" w14:textId="77777777" w:rsidR="0075669F" w:rsidRDefault="0075669F">
            <w:pPr>
              <w:widowControl w:val="0"/>
              <w:tabs>
                <w:tab w:val="center" w:pos="779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03A290D" w14:textId="48B72B41" w:rsidR="0075669F" w:rsidRDefault="00747C48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On the list of the first 5 products in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exports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the first item refers to </w:t>
            </w:r>
            <w:r w:rsidR="00FA718F">
              <w:rPr>
                <w:rFonts w:ascii="Tahoma" w:hAnsi="Tahoma" w:cs="Tahoma"/>
                <w:i/>
                <w:sz w:val="18"/>
                <w:szCs w:val="18"/>
              </w:rPr>
              <w:t xml:space="preserve">copper ore and concentrates </w:t>
            </w:r>
            <w:r w:rsidR="00FA718F">
              <w:rPr>
                <w:rFonts w:ascii="Tahoma" w:hAnsi="Tahoma" w:cs="Tahoma"/>
                <w:sz w:val="18"/>
                <w:szCs w:val="18"/>
              </w:rPr>
              <w:t xml:space="preserve">(USD </w:t>
            </w:r>
            <w:r w:rsidR="00FA718F">
              <w:rPr>
                <w:rFonts w:ascii="Tahoma" w:hAnsi="Tahoma" w:cs="Tahoma"/>
                <w:sz w:val="18"/>
                <w:szCs w:val="18"/>
                <w:lang w:val="en-US"/>
              </w:rPr>
              <w:t>165</w:t>
            </w:r>
            <w:r w:rsidR="00FA718F">
              <w:rPr>
                <w:rFonts w:ascii="Tahoma" w:hAnsi="Tahoma" w:cs="Tahoma"/>
                <w:sz w:val="18"/>
                <w:szCs w:val="18"/>
              </w:rPr>
              <w:t xml:space="preserve"> million), followed by </w:t>
            </w:r>
            <w:r w:rsidR="00FA718F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refined cooper </w:t>
            </w:r>
            <w:r w:rsidR="00FA718F">
              <w:rPr>
                <w:rFonts w:ascii="Tahoma" w:hAnsi="Tahoma" w:cs="Tahoma"/>
                <w:sz w:val="18"/>
                <w:szCs w:val="18"/>
              </w:rPr>
              <w:t xml:space="preserve">(USD 154 million);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ignition sets for aircrafts, vehicles and ships</w:t>
            </w:r>
            <w:r w:rsidR="00FA718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(USD </w:t>
            </w:r>
            <w:r w:rsidR="00FA718F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127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million)</w:t>
            </w:r>
            <w:r w:rsidR="00FA718F">
              <w:rPr>
                <w:rFonts w:ascii="Tahoma" w:hAnsi="Tahoma" w:cs="Tahoma"/>
                <w:iCs/>
                <w:sz w:val="18"/>
                <w:szCs w:val="18"/>
              </w:rPr>
              <w:t xml:space="preserve"> were on the third place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, followed 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electricity </w:t>
            </w:r>
            <w:r>
              <w:rPr>
                <w:rFonts w:ascii="Tahoma" w:hAnsi="Tahoma" w:cs="Tahoma"/>
                <w:sz w:val="18"/>
                <w:szCs w:val="18"/>
              </w:rPr>
              <w:t xml:space="preserve">(USD </w:t>
            </w:r>
            <w:r w:rsidR="00FA718F">
              <w:rPr>
                <w:rFonts w:ascii="Tahoma" w:hAnsi="Tahoma" w:cs="Tahoma"/>
                <w:sz w:val="18"/>
                <w:szCs w:val="18"/>
              </w:rPr>
              <w:t xml:space="preserve">49 </w:t>
            </w:r>
            <w:r>
              <w:rPr>
                <w:rFonts w:ascii="Tahoma" w:hAnsi="Tahoma" w:cs="Tahoma"/>
                <w:sz w:val="18"/>
                <w:szCs w:val="18"/>
              </w:rPr>
              <w:t>million)</w:t>
            </w:r>
            <w:r w:rsidR="0093350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33504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new pneumatic motor car </w:t>
            </w:r>
            <w:proofErr w:type="spellStart"/>
            <w:r w:rsidR="00933504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tyres</w:t>
            </w:r>
            <w:proofErr w:type="spellEnd"/>
            <w:r w:rsidR="00933504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were the last items on the list, with the value of USD </w:t>
            </w:r>
            <w:r w:rsidR="00933504">
              <w:rPr>
                <w:rFonts w:ascii="Tahoma" w:hAnsi="Tahoma" w:cs="Tahoma"/>
                <w:sz w:val="18"/>
                <w:szCs w:val="18"/>
                <w:lang w:val="en-US"/>
              </w:rPr>
              <w:t>40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million.</w:t>
            </w:r>
            <w:proofErr w:type="gramEnd"/>
          </w:p>
          <w:p w14:paraId="1245B204" w14:textId="77777777" w:rsidR="0075669F" w:rsidRDefault="0075669F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CAF236" w14:textId="16E0BFA4" w:rsidR="0075669F" w:rsidRDefault="00890412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May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list of the first 5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imported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products shows that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crude oil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with the value of USD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127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 is the first imported product, followed by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retail trade medicaments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(USD 84 million);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natural gas </w:t>
            </w:r>
            <w:r>
              <w:rPr>
                <w:rFonts w:ascii="Tahoma" w:hAnsi="Tahoma" w:cs="Tahoma"/>
                <w:sz w:val="18"/>
                <w:szCs w:val="18"/>
              </w:rPr>
              <w:t xml:space="preserve">(USD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45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</w:t>
            </w:r>
            <w:r w:rsidR="008A2F74">
              <w:rPr>
                <w:rFonts w:ascii="Tahoma" w:hAnsi="Tahoma" w:cs="Tahoma"/>
                <w:sz w:val="18"/>
                <w:szCs w:val="18"/>
              </w:rPr>
              <w:t xml:space="preserve"> was on the third place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8A2F74">
              <w:rPr>
                <w:rFonts w:ascii="Tahoma" w:hAnsi="Tahoma" w:cs="Tahoma"/>
                <w:sz w:val="18"/>
                <w:szCs w:val="18"/>
              </w:rPr>
              <w:t xml:space="preserve"> followed 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gas oils </w:t>
            </w:r>
            <w:r w:rsidR="008A2F74">
              <w:rPr>
                <w:rFonts w:ascii="Tahoma" w:hAnsi="Tahoma" w:cs="Tahoma"/>
                <w:sz w:val="18"/>
                <w:szCs w:val="18"/>
              </w:rPr>
              <w:t>(USD 39 million)</w:t>
            </w:r>
            <w:r>
              <w:rPr>
                <w:rFonts w:ascii="Tahoma" w:hAnsi="Tahoma" w:cs="Tahoma"/>
                <w:sz w:val="18"/>
                <w:szCs w:val="18"/>
              </w:rPr>
              <w:t>. The last item on the list related to import of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other conductors, for a voltage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≤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1000 V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(USD </w:t>
            </w:r>
            <w:r w:rsidR="008A2F74"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million).</w:t>
            </w:r>
          </w:p>
          <w:p w14:paraId="02BAC249" w14:textId="77777777" w:rsidR="0075669F" w:rsidRDefault="0075669F">
            <w:pPr>
              <w:widowControl w:val="0"/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BC14A1" w14:textId="77777777" w:rsidR="0075669F" w:rsidRDefault="00747C48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and therefore these data are not included in the coverage for the Republic of Serbia (total).</w:t>
            </w:r>
          </w:p>
          <w:p w14:paraId="3770417A" w14:textId="77777777" w:rsidR="0075669F" w:rsidRDefault="0075669F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88CBFC2" w14:textId="77777777" w:rsidR="0075669F" w:rsidRDefault="0075669F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</w:p>
          <w:p w14:paraId="7AA55887" w14:textId="77777777" w:rsidR="0075669F" w:rsidRDefault="0075669F">
            <w:pPr>
              <w:widowControl w:val="0"/>
              <w:tabs>
                <w:tab w:val="center" w:pos="0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34423831" w14:textId="77777777" w:rsidR="0075669F" w:rsidRDefault="0075669F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11268" w:type="dxa"/>
              <w:tblLayout w:type="fixed"/>
              <w:tblLook w:val="04A0" w:firstRow="1" w:lastRow="0" w:firstColumn="1" w:lastColumn="0" w:noHBand="0" w:noVBand="1"/>
            </w:tblPr>
            <w:tblGrid>
              <w:gridCol w:w="5869"/>
              <w:gridCol w:w="5399"/>
            </w:tblGrid>
            <w:tr w:rsidR="0075669F" w14:paraId="5EDF60C3" w14:textId="77777777">
              <w:tc>
                <w:tcPr>
                  <w:tcW w:w="5868" w:type="dxa"/>
                  <w:shd w:val="clear" w:color="auto" w:fill="auto"/>
                </w:tcPr>
                <w:p w14:paraId="6B728118" w14:textId="77777777" w:rsidR="0075669F" w:rsidRDefault="00747C48">
                  <w:pPr>
                    <w:widowControl w:val="0"/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Contact person:</w:t>
                  </w:r>
                </w:p>
                <w:p w14:paraId="22CF78FF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Jasmina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Crnomarković</w:t>
                  </w:r>
                  <w:proofErr w:type="spellEnd"/>
                </w:p>
                <w:p w14:paraId="0C618B1B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Section of external trade statistics</w:t>
                  </w:r>
                </w:p>
                <w:p w14:paraId="152254B1" w14:textId="77777777" w:rsidR="0075669F" w:rsidRDefault="00747C48">
                  <w:pPr>
                    <w:widowControl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Phone: 2412 922, Ext. 353</w:t>
                  </w:r>
                </w:p>
                <w:p w14:paraId="6117C185" w14:textId="77777777" w:rsidR="0075669F" w:rsidRDefault="0075669F">
                  <w:pPr>
                    <w:widowControl w:val="0"/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</w:p>
                <w:p w14:paraId="6768067F" w14:textId="3A2EE87B" w:rsidR="0075669F" w:rsidRDefault="00747C48">
                  <w:pPr>
                    <w:widowControl w:val="0"/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 xml:space="preserve">Information and Dissemination </w:t>
                  </w:r>
                  <w:r w:rsidR="008A2F74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Group</w:t>
                  </w:r>
                </w:p>
                <w:p w14:paraId="1CCE27A8" w14:textId="77777777" w:rsidR="0075669F" w:rsidRDefault="00747C48">
                  <w:pPr>
                    <w:widowControl w:val="0"/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Phone: +381 11 2401-284</w:t>
                  </w:r>
                </w:p>
                <w:p w14:paraId="2BD412A0" w14:textId="77777777" w:rsidR="0075669F" w:rsidRDefault="00747C48">
                  <w:pPr>
                    <w:widowControl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stat@stat.gov.rs</w:t>
                  </w:r>
                </w:p>
                <w:p w14:paraId="01DB5F9E" w14:textId="77777777" w:rsidR="0075669F" w:rsidRDefault="0075669F">
                  <w:pPr>
                    <w:widowControl w:val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</w:tcPr>
                <w:p w14:paraId="57EFDB8E" w14:textId="48CF9809" w:rsidR="0075669F" w:rsidRDefault="008A2F74">
                  <w:pPr>
                    <w:widowControl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Acting Director,</w:t>
                  </w:r>
                </w:p>
                <w:p w14:paraId="27C6C868" w14:textId="44CB7823" w:rsidR="0075669F" w:rsidRDefault="008A2F74">
                  <w:pPr>
                    <w:widowControl w:val="0"/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Branko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Josipović</w:t>
                  </w:r>
                  <w:proofErr w:type="spellEnd"/>
                </w:p>
                <w:p w14:paraId="100304E4" w14:textId="77777777" w:rsidR="0075669F" w:rsidRDefault="0075669F">
                  <w:pPr>
                    <w:widowControl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A90130C" w14:textId="77777777" w:rsidR="0075669F" w:rsidRDefault="0075669F">
            <w:pPr>
              <w:widowControl w:val="0"/>
              <w:tabs>
                <w:tab w:val="center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669F" w14:paraId="2EC64098" w14:textId="77777777">
        <w:tc>
          <w:tcPr>
            <w:tcW w:w="9468" w:type="dxa"/>
            <w:tcBorders>
              <w:top w:val="single" w:sz="4" w:space="0" w:color="000000"/>
            </w:tcBorders>
            <w:shd w:val="clear" w:color="auto" w:fill="auto"/>
          </w:tcPr>
          <w:p w14:paraId="23A93E42" w14:textId="77777777" w:rsidR="0075669F" w:rsidRDefault="0075669F">
            <w:pPr>
              <w:widowControl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A8E02A" w14:textId="77777777" w:rsidR="0075669F" w:rsidRDefault="0075669F"/>
    <w:p w14:paraId="17AC4FAD" w14:textId="77777777" w:rsidR="0075669F" w:rsidRDefault="0075669F"/>
    <w:sectPr w:rsidR="0075669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formProt w:val="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B6C1" w14:textId="77777777" w:rsidR="0029195D" w:rsidRDefault="0029195D">
      <w:r>
        <w:separator/>
      </w:r>
    </w:p>
  </w:endnote>
  <w:endnote w:type="continuationSeparator" w:id="0">
    <w:p w14:paraId="2F449D23" w14:textId="77777777" w:rsidR="0029195D" w:rsidRDefault="002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tblLayout w:type="fixed"/>
      <w:tblLook w:val="04A0" w:firstRow="1" w:lastRow="0" w:firstColumn="1" w:lastColumn="0" w:noHBand="0" w:noVBand="1"/>
    </w:tblPr>
    <w:tblGrid>
      <w:gridCol w:w="4500"/>
      <w:gridCol w:w="5076"/>
    </w:tblGrid>
    <w:tr w:rsidR="0075669F" w14:paraId="414FDD6B" w14:textId="77777777">
      <w:tc>
        <w:tcPr>
          <w:tcW w:w="4500" w:type="dxa"/>
          <w:shd w:val="clear" w:color="auto" w:fill="auto"/>
        </w:tcPr>
        <w:p w14:paraId="3627659A" w14:textId="77777777" w:rsidR="0075669F" w:rsidRDefault="0075669F">
          <w:pPr>
            <w:widowControl w:val="0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075" w:type="dxa"/>
          <w:shd w:val="clear" w:color="auto" w:fill="auto"/>
        </w:tcPr>
        <w:p w14:paraId="20719AE4" w14:textId="77777777" w:rsidR="0075669F" w:rsidRDefault="0075669F">
          <w:pPr>
            <w:widowControl w:val="0"/>
            <w:rPr>
              <w:rFonts w:ascii="Tahoma" w:hAnsi="Tahoma" w:cs="Tahoma"/>
              <w:color w:val="333333"/>
              <w:sz w:val="22"/>
              <w:szCs w:val="22"/>
              <w:lang w:val="zh-CN"/>
            </w:rPr>
          </w:pPr>
        </w:p>
      </w:tc>
    </w:tr>
    <w:tr w:rsidR="0075669F" w14:paraId="10EE109C" w14:textId="77777777">
      <w:tc>
        <w:tcPr>
          <w:tcW w:w="4500" w:type="dxa"/>
          <w:shd w:val="clear" w:color="auto" w:fill="auto"/>
        </w:tcPr>
        <w:p w14:paraId="2FEE1B61" w14:textId="77777777" w:rsidR="0075669F" w:rsidRDefault="0075669F">
          <w:pPr>
            <w:widowControl w:val="0"/>
            <w:jc w:val="both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5075" w:type="dxa"/>
          <w:shd w:val="clear" w:color="auto" w:fill="auto"/>
        </w:tcPr>
        <w:p w14:paraId="5C9D12FB" w14:textId="77777777" w:rsidR="0075669F" w:rsidRDefault="0075669F">
          <w:pPr>
            <w:widowControl w:val="0"/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14:paraId="17FFF9F4" w14:textId="77777777" w:rsidR="0075669F" w:rsidRDefault="0075669F">
    <w:pPr>
      <w:pStyle w:val="Footer"/>
      <w:rPr>
        <w:lang w:val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C017" w14:textId="77777777" w:rsidR="0029195D" w:rsidRDefault="0029195D">
      <w:r>
        <w:separator/>
      </w:r>
    </w:p>
  </w:footnote>
  <w:footnote w:type="continuationSeparator" w:id="0">
    <w:p w14:paraId="233BCD00" w14:textId="77777777" w:rsidR="0029195D" w:rsidRDefault="0029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Layout w:type="fixed"/>
      <w:tblLook w:val="04A0" w:firstRow="1" w:lastRow="0" w:firstColumn="1" w:lastColumn="0" w:noHBand="0" w:noVBand="1"/>
    </w:tblPr>
    <w:tblGrid>
      <w:gridCol w:w="3707"/>
      <w:gridCol w:w="6589"/>
    </w:tblGrid>
    <w:tr w:rsidR="0075669F" w14:paraId="7820D881" w14:textId="77777777">
      <w:tc>
        <w:tcPr>
          <w:tcW w:w="3707" w:type="dxa"/>
          <w:shd w:val="clear" w:color="auto" w:fill="auto"/>
        </w:tcPr>
        <w:p w14:paraId="14E8269B" w14:textId="77777777" w:rsidR="0075669F" w:rsidRDefault="0075669F">
          <w:pPr>
            <w:pStyle w:val="Header"/>
            <w:widowControl w:val="0"/>
            <w:rPr>
              <w:rFonts w:ascii="Tahoma" w:hAnsi="Tahoma" w:cs="Tahoma"/>
              <w:sz w:val="20"/>
              <w:szCs w:val="20"/>
              <w:lang w:val="zh-CN"/>
            </w:rPr>
          </w:pPr>
        </w:p>
      </w:tc>
      <w:tc>
        <w:tcPr>
          <w:tcW w:w="6588" w:type="dxa"/>
          <w:shd w:val="clear" w:color="auto" w:fill="auto"/>
        </w:tcPr>
        <w:p w14:paraId="291DD27D" w14:textId="77777777" w:rsidR="0075669F" w:rsidRDefault="0075669F">
          <w:pPr>
            <w:pStyle w:val="Header"/>
            <w:widowControl w:val="0"/>
            <w:jc w:val="right"/>
            <w:rPr>
              <w:rFonts w:ascii="Tahoma" w:hAnsi="Tahoma" w:cs="Tahoma"/>
              <w:sz w:val="20"/>
              <w:szCs w:val="20"/>
              <w:lang w:val="zh-CN"/>
            </w:rPr>
          </w:pPr>
        </w:p>
      </w:tc>
    </w:tr>
  </w:tbl>
  <w:p w14:paraId="1F1EB790" w14:textId="77777777" w:rsidR="0075669F" w:rsidRDefault="0075669F">
    <w:pPr>
      <w:pStyle w:val="Header"/>
      <w:rPr>
        <w:lang w:val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6" w:type="dxa"/>
      <w:tblLayout w:type="fixed"/>
      <w:tblLook w:val="04A0" w:firstRow="1" w:lastRow="0" w:firstColumn="1" w:lastColumn="0" w:noHBand="0" w:noVBand="1"/>
    </w:tblPr>
    <w:tblGrid>
      <w:gridCol w:w="3887"/>
      <w:gridCol w:w="6589"/>
    </w:tblGrid>
    <w:tr w:rsidR="0075669F" w14:paraId="4A161D36" w14:textId="77777777">
      <w:tc>
        <w:tcPr>
          <w:tcW w:w="3887" w:type="dxa"/>
          <w:shd w:val="clear" w:color="auto" w:fill="auto"/>
        </w:tcPr>
        <w:p w14:paraId="69931AE4" w14:textId="77777777" w:rsidR="0075669F" w:rsidRDefault="00747C48">
          <w:pPr>
            <w:pStyle w:val="Header"/>
            <w:widowControl w:val="0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1E7DA6A2" wp14:editId="556E62B3">
                <wp:extent cx="1569720" cy="708660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20"/>
              <w:szCs w:val="20"/>
            </w:rPr>
            <w:t>Republic of Serbia</w:t>
          </w:r>
        </w:p>
        <w:p w14:paraId="4B7B8B59" w14:textId="77777777" w:rsidR="0075669F" w:rsidRDefault="00747C48">
          <w:pPr>
            <w:pStyle w:val="Header"/>
            <w:widowControl w:val="0"/>
            <w:rPr>
              <w:rFonts w:ascii="Tahoma" w:hAnsi="Tahoma" w:cs="Tahoma"/>
              <w:sz w:val="20"/>
              <w:szCs w:val="20"/>
              <w:lang w:val="zh-CN"/>
            </w:rPr>
          </w:pPr>
          <w:r>
            <w:rPr>
              <w:rFonts w:ascii="Tahoma" w:hAnsi="Tahoma" w:cs="Tahoma"/>
              <w:sz w:val="20"/>
              <w:szCs w:val="20"/>
            </w:rPr>
            <w:t>Statistical Office of the Republic of Serbia</w:t>
          </w:r>
        </w:p>
      </w:tc>
      <w:tc>
        <w:tcPr>
          <w:tcW w:w="6588" w:type="dxa"/>
          <w:shd w:val="clear" w:color="auto" w:fill="auto"/>
        </w:tcPr>
        <w:p w14:paraId="5D9DAC19" w14:textId="77777777" w:rsidR="0075669F" w:rsidRDefault="00747C48">
          <w:pPr>
            <w:pStyle w:val="Header"/>
            <w:widowControl w:val="0"/>
            <w:jc w:val="right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  <w:sz w:val="32"/>
              <w:szCs w:val="32"/>
            </w:rPr>
            <w:t>Press Release</w:t>
          </w:r>
        </w:p>
        <w:p w14:paraId="04E021F6" w14:textId="77777777" w:rsidR="0075669F" w:rsidRDefault="0075669F">
          <w:pPr>
            <w:pStyle w:val="Header"/>
            <w:widowControl w:val="0"/>
            <w:jc w:val="right"/>
            <w:rPr>
              <w:rFonts w:ascii="Tahoma" w:hAnsi="Tahoma" w:cs="Tahoma"/>
              <w:lang w:val="zh-CN"/>
            </w:rPr>
          </w:pPr>
        </w:p>
        <w:p w14:paraId="25839CE8" w14:textId="77777777" w:rsidR="0075669F" w:rsidRDefault="00747C48">
          <w:pPr>
            <w:pStyle w:val="Header"/>
            <w:widowControl w:val="0"/>
            <w:jc w:val="right"/>
            <w:rPr>
              <w:rFonts w:ascii="Tahoma" w:hAnsi="Tahoma" w:cs="Tahoma"/>
              <w:sz w:val="20"/>
              <w:szCs w:val="20"/>
              <w:lang w:val="zh-CN"/>
            </w:rPr>
          </w:pPr>
          <w:r>
            <w:rPr>
              <w:rFonts w:ascii="Tahoma" w:hAnsi="Tahoma" w:cs="Tahoma"/>
              <w:sz w:val="20"/>
              <w:szCs w:val="20"/>
            </w:rPr>
            <w:t>Belgrade</w:t>
          </w:r>
          <w:r>
            <w:rPr>
              <w:rFonts w:ascii="Tahoma" w:hAnsi="Tahoma" w:cs="Tahoma"/>
              <w:sz w:val="20"/>
              <w:szCs w:val="20"/>
              <w:lang w:val="zh-CN"/>
            </w:rPr>
            <w:t xml:space="preserve">,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>
            <w:rPr>
              <w:rFonts w:ascii="Tahoma" w:hAnsi="Tahoma" w:cs="Tahoma"/>
              <w:sz w:val="20"/>
              <w:szCs w:val="20"/>
              <w:lang w:val="zh-CN"/>
            </w:rPr>
            <w:t xml:space="preserve"> 5</w:t>
          </w:r>
        </w:p>
        <w:p w14:paraId="45272F25" w14:textId="77777777" w:rsidR="0075669F" w:rsidRDefault="00747C48">
          <w:pPr>
            <w:pStyle w:val="Header"/>
            <w:widowControl w:val="0"/>
            <w:jc w:val="right"/>
            <w:rPr>
              <w:rFonts w:ascii="Tahoma" w:hAnsi="Tahoma" w:cs="Tahoma"/>
              <w:sz w:val="20"/>
              <w:szCs w:val="20"/>
              <w:lang w:val="zh-CN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Phone+381 11 </w:t>
          </w:r>
          <w:r>
            <w:rPr>
              <w:rFonts w:ascii="Tahoma" w:hAnsi="Tahoma" w:cs="Tahoma"/>
              <w:sz w:val="20"/>
              <w:szCs w:val="20"/>
              <w:lang w:val="zh-CN"/>
            </w:rPr>
            <w:t>2412-922</w:t>
          </w:r>
        </w:p>
        <w:p w14:paraId="0B48877F" w14:textId="77777777" w:rsidR="0075669F" w:rsidRDefault="00747C48">
          <w:pPr>
            <w:pStyle w:val="Header"/>
            <w:widowControl w:val="0"/>
            <w:jc w:val="right"/>
            <w:rPr>
              <w:rFonts w:ascii="Tahoma" w:hAnsi="Tahoma" w:cs="Tahoma"/>
              <w:sz w:val="20"/>
              <w:szCs w:val="20"/>
              <w:lang w:val="zh-CN"/>
            </w:rPr>
          </w:pPr>
          <w:r>
            <w:rPr>
              <w:rFonts w:ascii="Tahoma" w:hAnsi="Tahoma" w:cs="Tahoma"/>
              <w:sz w:val="20"/>
              <w:szCs w:val="20"/>
            </w:rPr>
            <w:t>www</w:t>
          </w:r>
          <w:r>
            <w:rPr>
              <w:rFonts w:ascii="Tahoma" w:hAnsi="Tahoma" w:cs="Tahoma"/>
              <w:sz w:val="20"/>
              <w:szCs w:val="20"/>
              <w:lang w:val="zh-CN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stat</w:t>
          </w:r>
          <w:r>
            <w:rPr>
              <w:rFonts w:ascii="Tahoma" w:hAnsi="Tahoma" w:cs="Tahoma"/>
              <w:sz w:val="20"/>
              <w:szCs w:val="20"/>
              <w:lang w:val="zh-CN"/>
            </w:rPr>
            <w:t>.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>
            <w:rPr>
              <w:rFonts w:ascii="Tahoma" w:hAnsi="Tahoma" w:cs="Tahoma"/>
              <w:sz w:val="20"/>
              <w:szCs w:val="20"/>
              <w:lang w:val="zh-CN"/>
            </w:rPr>
            <w:t>.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7882B992" w14:textId="77777777" w:rsidR="0075669F" w:rsidRDefault="0029195D">
          <w:pPr>
            <w:pStyle w:val="Header"/>
            <w:widowControl w:val="0"/>
            <w:jc w:val="right"/>
            <w:rPr>
              <w:rFonts w:ascii="Tahoma" w:hAnsi="Tahoma" w:cs="Tahoma"/>
              <w:sz w:val="20"/>
              <w:szCs w:val="20"/>
              <w:lang w:val="zh-CN"/>
            </w:rPr>
          </w:pPr>
          <w:hyperlink r:id="rId2">
            <w:r w:rsidR="00747C48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747C48">
              <w:rPr>
                <w:rStyle w:val="Hyperlink"/>
                <w:rFonts w:ascii="Tahoma" w:hAnsi="Tahoma" w:cs="Tahoma"/>
                <w:sz w:val="20"/>
                <w:szCs w:val="20"/>
                <w:lang w:val="zh-CN"/>
              </w:rPr>
              <w:t>@</w:t>
            </w:r>
            <w:r w:rsidR="00747C48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747C48">
              <w:rPr>
                <w:rStyle w:val="Hyperlink"/>
                <w:rFonts w:ascii="Tahoma" w:hAnsi="Tahoma" w:cs="Tahoma"/>
                <w:sz w:val="20"/>
                <w:szCs w:val="20"/>
                <w:lang w:val="zh-CN"/>
              </w:rPr>
              <w:t>.</w:t>
            </w:r>
            <w:proofErr w:type="spellStart"/>
            <w:r w:rsidR="00747C48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="00747C48">
              <w:rPr>
                <w:rStyle w:val="Hyperlink"/>
                <w:rFonts w:ascii="Tahoma" w:hAnsi="Tahoma" w:cs="Tahoma"/>
                <w:sz w:val="20"/>
                <w:szCs w:val="20"/>
                <w:lang w:val="zh-CN"/>
              </w:rPr>
              <w:t>.</w:t>
            </w:r>
            <w:proofErr w:type="spellStart"/>
            <w:r w:rsidR="00747C48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</w:p>
      </w:tc>
    </w:tr>
  </w:tbl>
  <w:p w14:paraId="4D6B6E2B" w14:textId="77777777" w:rsidR="0075669F" w:rsidRDefault="0075669F">
    <w:pPr>
      <w:pStyle w:val="Header"/>
      <w:rPr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9F"/>
    <w:rsid w:val="002710EF"/>
    <w:rsid w:val="0029195D"/>
    <w:rsid w:val="00414F22"/>
    <w:rsid w:val="00570220"/>
    <w:rsid w:val="005750F4"/>
    <w:rsid w:val="00747C48"/>
    <w:rsid w:val="0075669F"/>
    <w:rsid w:val="00890412"/>
    <w:rsid w:val="008A2F74"/>
    <w:rsid w:val="00933504"/>
    <w:rsid w:val="00947E6E"/>
    <w:rsid w:val="00954B44"/>
    <w:rsid w:val="00A3671F"/>
    <w:rsid w:val="00BB6A8C"/>
    <w:rsid w:val="00BD15A8"/>
    <w:rsid w:val="00C47808"/>
    <w:rsid w:val="00F26837"/>
    <w:rsid w:val="00FA718F"/>
    <w:rsid w:val="00FD1BD4"/>
    <w:rsid w:val="779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F458"/>
  <w15:docId w15:val="{E6E052CA-4913-4904-9096-9DD1DA63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List">
    <w:name w:val="List"/>
    <w:basedOn w:val="BodyText"/>
    <w:qFormat/>
    <w:rPr>
      <w:rFonts w:cs="FreeSans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a0">
    <w:name w:val="Попис"/>
    <w:basedOn w:val="Normal"/>
    <w:qFormat/>
    <w:pPr>
      <w:suppressLineNumbers/>
    </w:pPr>
    <w:rPr>
      <w:rFonts w:cs="FreeSans"/>
    </w:rPr>
  </w:style>
  <w:style w:type="paragraph" w:customStyle="1" w:styleId="a1">
    <w:name w:val="Заглавље и подножје"/>
    <w:basedOn w:val="Normal"/>
    <w:qFormat/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arCar">
    <w:name w:val="Car Car"/>
    <w:basedOn w:val="Normal"/>
    <w:qFormat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xmsonormal">
    <w:name w:val="x_msonormal"/>
    <w:basedOn w:val="Normal"/>
    <w:qFormat/>
    <w:pPr>
      <w:spacing w:beforeAutospacing="1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@stat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0B1F-57B6-4FED-8FC0-3C2A57C6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29, 2011</vt:lpstr>
    </vt:vector>
  </TitlesOfParts>
  <Company>.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2011</dc:title>
  <dc:creator>Катарина  Каличаниин</dc:creator>
  <cp:lastModifiedBy>Jasmina Crnomarkovic</cp:lastModifiedBy>
  <cp:revision>12</cp:revision>
  <cp:lastPrinted>2021-10-28T11:03:00Z</cp:lastPrinted>
  <dcterms:created xsi:type="dcterms:W3CDTF">2024-06-27T09:22:00Z</dcterms:created>
  <dcterms:modified xsi:type="dcterms:W3CDTF">2024-06-27T10:48:00Z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