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27"/>
        <w:tblW w:w="5000" w:type="pct"/>
        <w:tblBorders>
          <w:top w:val="single" w:sz="18" w:space="0" w:color="auto"/>
          <w:left w:val="single" w:sz="4" w:space="0" w:color="auto"/>
          <w:bottom w:val="single" w:sz="18" w:space="0" w:color="auto"/>
          <w:right w:val="single" w:sz="4" w:space="0" w:color="auto"/>
        </w:tblBorders>
        <w:tblCellMar>
          <w:left w:w="28" w:type="dxa"/>
          <w:right w:w="28" w:type="dxa"/>
        </w:tblCellMar>
        <w:tblLook w:val="04A0" w:firstRow="1" w:lastRow="0" w:firstColumn="1" w:lastColumn="0" w:noHBand="0" w:noVBand="1"/>
      </w:tblPr>
      <w:tblGrid>
        <w:gridCol w:w="1666"/>
        <w:gridCol w:w="5251"/>
        <w:gridCol w:w="3343"/>
      </w:tblGrid>
      <w:tr w:rsidR="00F52262" w:rsidRPr="00D904E3">
        <w:trPr>
          <w:cantSplit/>
          <w:trHeight w:val="631"/>
        </w:trPr>
        <w:tc>
          <w:tcPr>
            <w:tcW w:w="812" w:type="pct"/>
            <w:tcBorders>
              <w:top w:val="single" w:sz="12" w:space="0" w:color="808080"/>
              <w:left w:val="nil"/>
              <w:bottom w:val="nil"/>
            </w:tcBorders>
            <w:vAlign w:val="center"/>
          </w:tcPr>
          <w:p w:rsidR="00F52262" w:rsidRPr="00D904E3" w:rsidRDefault="00884FE7">
            <w:pPr>
              <w:jc w:val="center"/>
              <w:rPr>
                <w:rFonts w:cs="Arial"/>
                <w:b/>
                <w:bCs/>
              </w:rPr>
            </w:pPr>
            <w:r w:rsidRPr="00D904E3">
              <w:rPr>
                <w:noProof/>
                <w:lang w:val="en-US"/>
              </w:rPr>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904875" cy="219075"/>
                  <wp:effectExtent l="0" t="0" r="0" b="0"/>
                  <wp:wrapNone/>
                  <wp:docPr id="16"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ZnakR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4875" cy="219075"/>
                          </a:xfrm>
                          <a:prstGeom prst="rect">
                            <a:avLst/>
                          </a:prstGeom>
                          <a:noFill/>
                        </pic:spPr>
                      </pic:pic>
                    </a:graphicData>
                  </a:graphic>
                </wp:anchor>
              </w:drawing>
            </w:r>
            <w:r w:rsidR="00290EAE">
              <w:rPr>
                <w:rFonts w:cs="Arial"/>
                <w:b/>
                <w:bCs/>
              </w:rPr>
            </w:r>
            <w:r w:rsidR="00290EAE">
              <w:rPr>
                <w:rFonts w:cs="Arial"/>
                <w:b/>
                <w:bCs/>
              </w:rPr>
              <w:pict>
                <v:rect id="Rectangle 1" o:spid="_x0000_s1029" style="width:71.15pt;height:17.6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2559" w:type="pct"/>
            <w:tcBorders>
              <w:top w:val="single" w:sz="12" w:space="0" w:color="808080"/>
              <w:left w:val="nil"/>
              <w:bottom w:val="nil"/>
            </w:tcBorders>
            <w:vAlign w:val="center"/>
          </w:tcPr>
          <w:p w:rsidR="00F52262" w:rsidRPr="00D904E3" w:rsidRDefault="00F52262">
            <w:pPr>
              <w:jc w:val="right"/>
              <w:rPr>
                <w:rFonts w:cs="Arial"/>
                <w:b/>
                <w:bCs/>
                <w:color w:val="808080"/>
              </w:rPr>
            </w:pPr>
          </w:p>
        </w:tc>
        <w:tc>
          <w:tcPr>
            <w:tcW w:w="0" w:type="auto"/>
            <w:tcBorders>
              <w:top w:val="single" w:sz="12" w:space="0" w:color="808080"/>
              <w:bottom w:val="nil"/>
              <w:right w:val="nil"/>
            </w:tcBorders>
            <w:vAlign w:val="center"/>
          </w:tcPr>
          <w:p w:rsidR="00F52262" w:rsidRPr="00D904E3" w:rsidRDefault="00884FE7">
            <w:pPr>
              <w:jc w:val="right"/>
              <w:rPr>
                <w:rFonts w:cs="Arial"/>
                <w:b/>
                <w:color w:val="808080"/>
              </w:rPr>
            </w:pPr>
            <w:r w:rsidRPr="00D904E3">
              <w:rPr>
                <w:rFonts w:cs="Arial"/>
              </w:rPr>
              <w:t>ISSN 0353-9555</w:t>
            </w:r>
          </w:p>
        </w:tc>
      </w:tr>
      <w:tr w:rsidR="00F52262" w:rsidRPr="00D904E3">
        <w:trPr>
          <w:cantSplit/>
          <w:trHeight w:val="836"/>
        </w:trPr>
        <w:tc>
          <w:tcPr>
            <w:tcW w:w="0" w:type="auto"/>
            <w:gridSpan w:val="2"/>
            <w:tcBorders>
              <w:top w:val="nil"/>
              <w:left w:val="nil"/>
              <w:right w:val="nil"/>
            </w:tcBorders>
            <w:vAlign w:val="center"/>
          </w:tcPr>
          <w:p w:rsidR="00F52262" w:rsidRPr="00D904E3" w:rsidRDefault="00884FE7">
            <w:pPr>
              <w:rPr>
                <w:rFonts w:cs="Arial"/>
                <w:color w:val="808080"/>
              </w:rPr>
            </w:pPr>
            <w:r w:rsidRPr="00D904E3">
              <w:rPr>
                <w:rFonts w:cs="Arial"/>
                <w:b/>
                <w:bCs/>
                <w:color w:val="808080"/>
                <w:sz w:val="48"/>
                <w:szCs w:val="48"/>
              </w:rPr>
              <w:t>STATISTICAL RELEASE</w:t>
            </w:r>
          </w:p>
        </w:tc>
        <w:tc>
          <w:tcPr>
            <w:tcW w:w="0" w:type="auto"/>
            <w:tcBorders>
              <w:top w:val="nil"/>
              <w:left w:val="nil"/>
              <w:right w:val="nil"/>
            </w:tcBorders>
            <w:shd w:val="clear" w:color="auto" w:fill="auto"/>
            <w:vAlign w:val="center"/>
          </w:tcPr>
          <w:p w:rsidR="00F52262" w:rsidRPr="00D904E3" w:rsidRDefault="00884FE7">
            <w:pPr>
              <w:jc w:val="right"/>
              <w:rPr>
                <w:rFonts w:cs="Arial"/>
                <w:b/>
                <w:bCs/>
                <w:color w:val="808080"/>
                <w:sz w:val="12"/>
                <w:szCs w:val="12"/>
              </w:rPr>
            </w:pPr>
            <w:r w:rsidRPr="00D904E3">
              <w:rPr>
                <w:rFonts w:cs="Arial"/>
                <w:b/>
                <w:bCs/>
                <w:color w:val="808080"/>
                <w:sz w:val="48"/>
                <w:szCs w:val="48"/>
              </w:rPr>
              <w:t>RS10</w:t>
            </w:r>
          </w:p>
        </w:tc>
      </w:tr>
      <w:tr w:rsidR="00F52262" w:rsidRPr="00D904E3">
        <w:trPr>
          <w:cantSplit/>
          <w:trHeight w:hRule="exact" w:val="279"/>
        </w:trPr>
        <w:tc>
          <w:tcPr>
            <w:tcW w:w="0" w:type="auto"/>
            <w:gridSpan w:val="2"/>
            <w:tcBorders>
              <w:top w:val="nil"/>
              <w:left w:val="nil"/>
              <w:bottom w:val="nil"/>
              <w:right w:val="nil"/>
            </w:tcBorders>
            <w:vAlign w:val="center"/>
          </w:tcPr>
          <w:p w:rsidR="00F52262" w:rsidRPr="00D904E3" w:rsidRDefault="00884FE7" w:rsidP="00401B6F">
            <w:pPr>
              <w:rPr>
                <w:rFonts w:cs="Arial"/>
                <w:color w:val="FF0000"/>
              </w:rPr>
            </w:pPr>
            <w:r w:rsidRPr="00D904E3">
              <w:rPr>
                <w:rFonts w:cs="Arial"/>
              </w:rPr>
              <w:t xml:space="preserve">Number </w:t>
            </w:r>
            <w:r w:rsidR="00401B6F" w:rsidRPr="00D904E3">
              <w:rPr>
                <w:rFonts w:cs="Arial"/>
              </w:rPr>
              <w:t>053</w:t>
            </w:r>
            <w:r w:rsidRPr="00D904E3">
              <w:rPr>
                <w:rFonts w:cs="Arial"/>
              </w:rPr>
              <w:t xml:space="preserve"> - Year LXXI</w:t>
            </w:r>
            <w:r w:rsidR="00401B6F" w:rsidRPr="00D904E3">
              <w:rPr>
                <w:rFonts w:cs="Arial"/>
              </w:rPr>
              <w:t>V</w:t>
            </w:r>
            <w:r w:rsidRPr="00D904E3">
              <w:rPr>
                <w:rFonts w:cs="Arial"/>
              </w:rPr>
              <w:t xml:space="preserve">, </w:t>
            </w:r>
            <w:r w:rsidR="00401B6F" w:rsidRPr="00D904E3">
              <w:rPr>
                <w:rFonts w:cs="Arial"/>
              </w:rPr>
              <w:t>29</w:t>
            </w:r>
            <w:r w:rsidRPr="00D904E3">
              <w:rPr>
                <w:rFonts w:cs="Arial"/>
              </w:rPr>
              <w:t>/0</w:t>
            </w:r>
            <w:r w:rsidR="00401B6F" w:rsidRPr="00D904E3">
              <w:rPr>
                <w:rFonts w:cs="Arial"/>
              </w:rPr>
              <w:t>2</w:t>
            </w:r>
            <w:r w:rsidRPr="00D904E3">
              <w:rPr>
                <w:rFonts w:cs="Arial"/>
              </w:rPr>
              <w:t>/202</w:t>
            </w:r>
            <w:r w:rsidR="00401B6F" w:rsidRPr="00D904E3">
              <w:rPr>
                <w:rFonts w:cs="Arial"/>
              </w:rPr>
              <w:t>4</w:t>
            </w:r>
          </w:p>
        </w:tc>
        <w:tc>
          <w:tcPr>
            <w:tcW w:w="0" w:type="auto"/>
            <w:tcBorders>
              <w:left w:val="nil"/>
              <w:bottom w:val="nil"/>
              <w:right w:val="nil"/>
            </w:tcBorders>
            <w:shd w:val="clear" w:color="auto" w:fill="auto"/>
            <w:vAlign w:val="center"/>
          </w:tcPr>
          <w:p w:rsidR="00F52262" w:rsidRPr="00D904E3" w:rsidRDefault="00F52262">
            <w:pPr>
              <w:jc w:val="right"/>
              <w:rPr>
                <w:rFonts w:cs="Arial"/>
                <w:b/>
                <w:bCs/>
                <w:color w:val="FF0000"/>
                <w:sz w:val="48"/>
                <w:szCs w:val="48"/>
              </w:rPr>
            </w:pPr>
          </w:p>
        </w:tc>
      </w:tr>
      <w:tr w:rsidR="00F52262" w:rsidRPr="00D904E3">
        <w:trPr>
          <w:cantSplit/>
          <w:trHeight w:val="411"/>
        </w:trPr>
        <w:tc>
          <w:tcPr>
            <w:tcW w:w="0" w:type="auto"/>
            <w:gridSpan w:val="2"/>
            <w:tcBorders>
              <w:top w:val="nil"/>
              <w:left w:val="nil"/>
              <w:bottom w:val="single" w:sz="12" w:space="0" w:color="808080"/>
              <w:right w:val="nil"/>
            </w:tcBorders>
            <w:vAlign w:val="center"/>
          </w:tcPr>
          <w:p w:rsidR="00F52262" w:rsidRPr="00D904E3" w:rsidRDefault="00884FE7">
            <w:pPr>
              <w:rPr>
                <w:rFonts w:cs="Arial"/>
                <w:b/>
                <w:bCs/>
                <w:sz w:val="24"/>
                <w:szCs w:val="24"/>
              </w:rPr>
            </w:pPr>
            <w:r w:rsidRPr="00D904E3">
              <w:rPr>
                <w:rFonts w:cs="Arial"/>
                <w:b/>
                <w:bCs/>
                <w:sz w:val="24"/>
                <w:szCs w:val="24"/>
              </w:rPr>
              <w:t xml:space="preserve">Labour Force Survey </w:t>
            </w:r>
          </w:p>
        </w:tc>
        <w:tc>
          <w:tcPr>
            <w:tcW w:w="0" w:type="auto"/>
            <w:tcBorders>
              <w:top w:val="nil"/>
              <w:left w:val="nil"/>
              <w:bottom w:val="single" w:sz="12" w:space="0" w:color="808080"/>
              <w:right w:val="nil"/>
            </w:tcBorders>
            <w:vAlign w:val="center"/>
          </w:tcPr>
          <w:p w:rsidR="00F52262" w:rsidRPr="00D904E3" w:rsidRDefault="00884FE7" w:rsidP="00401B6F">
            <w:pPr>
              <w:jc w:val="right"/>
              <w:rPr>
                <w:rFonts w:cs="Arial"/>
                <w:b/>
                <w:bCs/>
              </w:rPr>
            </w:pPr>
            <w:r w:rsidRPr="00D904E3">
              <w:rPr>
                <w:rFonts w:cs="Arial"/>
              </w:rPr>
              <w:t>SER</w:t>
            </w:r>
            <w:r w:rsidR="003244FE" w:rsidRPr="00D904E3">
              <w:rPr>
                <w:rFonts w:cs="Arial"/>
              </w:rPr>
              <w:t>B</w:t>
            </w:r>
            <w:r w:rsidR="00401B6F" w:rsidRPr="00D904E3">
              <w:rPr>
                <w:rFonts w:cs="Arial"/>
              </w:rPr>
              <w:t>053</w:t>
            </w:r>
            <w:r w:rsidRPr="00D904E3">
              <w:rPr>
                <w:rFonts w:cs="Arial"/>
              </w:rPr>
              <w:t xml:space="preserve"> RS10 </w:t>
            </w:r>
            <w:r w:rsidR="00401B6F" w:rsidRPr="00D904E3">
              <w:rPr>
                <w:rFonts w:cs="Arial"/>
              </w:rPr>
              <w:t>29</w:t>
            </w:r>
            <w:r w:rsidR="008F55FD" w:rsidRPr="00D904E3">
              <w:rPr>
                <w:rFonts w:cs="Arial"/>
              </w:rPr>
              <w:t>0</w:t>
            </w:r>
            <w:r w:rsidR="00401B6F" w:rsidRPr="00D904E3">
              <w:rPr>
                <w:rFonts w:cs="Arial"/>
              </w:rPr>
              <w:t>2</w:t>
            </w:r>
            <w:r w:rsidR="008F55FD" w:rsidRPr="00D904E3">
              <w:rPr>
                <w:rFonts w:cs="Arial"/>
              </w:rPr>
              <w:t>2</w:t>
            </w:r>
            <w:r w:rsidR="00401B6F" w:rsidRPr="00D904E3">
              <w:rPr>
                <w:rFonts w:cs="Arial"/>
              </w:rPr>
              <w:t>4</w:t>
            </w:r>
          </w:p>
        </w:tc>
      </w:tr>
    </w:tbl>
    <w:p w:rsidR="00F52262" w:rsidRPr="00566CD5" w:rsidRDefault="00884FE7">
      <w:pPr>
        <w:spacing w:before="600" w:after="480" w:line="288" w:lineRule="auto"/>
        <w:jc w:val="center"/>
        <w:rPr>
          <w:rFonts w:cs="Arial"/>
          <w:b/>
          <w:bCs/>
          <w:color w:val="2E74B5"/>
          <w:sz w:val="24"/>
          <w:szCs w:val="24"/>
        </w:rPr>
      </w:pPr>
      <w:r w:rsidRPr="00566CD5">
        <w:rPr>
          <w:rFonts w:cs="Arial"/>
          <w:b/>
          <w:bCs/>
          <w:color w:val="2E74B5"/>
          <w:sz w:val="24"/>
          <w:szCs w:val="24"/>
        </w:rPr>
        <w:t>Labour Force Survey, I</w:t>
      </w:r>
      <w:r w:rsidR="00401B6F" w:rsidRPr="00566CD5">
        <w:rPr>
          <w:rFonts w:cs="Arial"/>
          <w:b/>
          <w:bCs/>
          <w:color w:val="2E74B5"/>
          <w:sz w:val="24"/>
          <w:szCs w:val="24"/>
        </w:rPr>
        <w:t>V</w:t>
      </w:r>
      <w:r w:rsidRPr="00566CD5">
        <w:rPr>
          <w:rFonts w:cs="Arial"/>
          <w:b/>
          <w:bCs/>
          <w:color w:val="2E74B5"/>
          <w:sz w:val="24"/>
          <w:szCs w:val="24"/>
        </w:rPr>
        <w:t xml:space="preserve"> quarter 202</w:t>
      </w:r>
      <w:r w:rsidR="00401B6F" w:rsidRPr="00566CD5">
        <w:rPr>
          <w:rFonts w:cs="Arial"/>
          <w:b/>
          <w:bCs/>
          <w:color w:val="2E74B5"/>
          <w:sz w:val="24"/>
          <w:szCs w:val="24"/>
        </w:rPr>
        <w:t>3</w:t>
      </w:r>
    </w:p>
    <w:p w:rsidR="00F52262" w:rsidRPr="00D904E3" w:rsidRDefault="00884FE7" w:rsidP="00566CD5">
      <w:pPr>
        <w:pStyle w:val="NormalWeb"/>
        <w:spacing w:beforeLines="0" w:afterLines="0" w:line="288" w:lineRule="auto"/>
        <w:jc w:val="both"/>
        <w:rPr>
          <w:rFonts w:ascii="Arial" w:hAnsi="Arial" w:cs="Arial"/>
          <w:lang w:val="en-GB"/>
        </w:rPr>
      </w:pPr>
      <w:r w:rsidRPr="00D904E3">
        <w:rPr>
          <w:rFonts w:ascii="Arial" w:hAnsi="Arial" w:cs="Arial"/>
          <w:lang w:val="en-GB"/>
        </w:rPr>
        <w:t xml:space="preserve">In the </w:t>
      </w:r>
      <w:r w:rsidR="00401B6F" w:rsidRPr="00D904E3">
        <w:rPr>
          <w:rFonts w:ascii="Arial" w:hAnsi="Arial" w:cs="Arial"/>
          <w:lang w:val="en-GB"/>
        </w:rPr>
        <w:t>fourth</w:t>
      </w:r>
      <w:r w:rsidRPr="00D904E3">
        <w:rPr>
          <w:rFonts w:ascii="Arial" w:hAnsi="Arial" w:cs="Arial"/>
          <w:lang w:val="en-GB"/>
        </w:rPr>
        <w:t xml:space="preserve"> quarter 202</w:t>
      </w:r>
      <w:r w:rsidR="00401B6F" w:rsidRPr="00D904E3">
        <w:rPr>
          <w:rFonts w:ascii="Arial" w:hAnsi="Arial" w:cs="Arial"/>
          <w:lang w:val="en-GB"/>
        </w:rPr>
        <w:t>3</w:t>
      </w:r>
      <w:r w:rsidRPr="00D904E3">
        <w:rPr>
          <w:rFonts w:ascii="Arial" w:hAnsi="Arial" w:cs="Arial"/>
          <w:lang w:val="en-GB"/>
        </w:rPr>
        <w:t>, number of the employed amounted to 2 </w:t>
      </w:r>
      <w:r w:rsidR="006E4C40" w:rsidRPr="00D904E3">
        <w:rPr>
          <w:rFonts w:ascii="Arial" w:hAnsi="Arial" w:cs="Arial"/>
          <w:lang w:val="en-GB"/>
        </w:rPr>
        <w:t>8</w:t>
      </w:r>
      <w:r w:rsidR="00401B6F" w:rsidRPr="00D904E3">
        <w:rPr>
          <w:rFonts w:ascii="Arial" w:hAnsi="Arial" w:cs="Arial"/>
          <w:lang w:val="en-GB"/>
        </w:rPr>
        <w:t>70</w:t>
      </w:r>
      <w:r w:rsidRPr="00D904E3">
        <w:rPr>
          <w:rFonts w:ascii="Arial" w:hAnsi="Arial" w:cs="Arial"/>
          <w:lang w:val="en-GB"/>
        </w:rPr>
        <w:t xml:space="preserve"> </w:t>
      </w:r>
      <w:r w:rsidR="00401B6F" w:rsidRPr="00D904E3">
        <w:rPr>
          <w:rFonts w:ascii="Arial" w:hAnsi="Arial" w:cs="Arial"/>
          <w:lang w:val="en-GB"/>
        </w:rPr>
        <w:t>2</w:t>
      </w:r>
      <w:r w:rsidRPr="00D904E3">
        <w:rPr>
          <w:rFonts w:ascii="Arial" w:hAnsi="Arial" w:cs="Arial"/>
          <w:lang w:val="en-GB"/>
        </w:rPr>
        <w:t xml:space="preserve">00, and number of the unemployed to </w:t>
      </w:r>
      <w:r w:rsidR="00401B6F" w:rsidRPr="00D904E3">
        <w:rPr>
          <w:rFonts w:ascii="Arial" w:hAnsi="Arial" w:cs="Arial"/>
          <w:lang w:val="en-GB"/>
        </w:rPr>
        <w:t>288</w:t>
      </w:r>
      <w:r w:rsidRPr="00D904E3">
        <w:rPr>
          <w:rFonts w:ascii="Arial" w:hAnsi="Arial" w:cs="Arial"/>
          <w:lang w:val="en-GB"/>
        </w:rPr>
        <w:t xml:space="preserve"> </w:t>
      </w:r>
      <w:r w:rsidR="00401B6F" w:rsidRPr="00D904E3">
        <w:rPr>
          <w:rFonts w:ascii="Arial" w:hAnsi="Arial" w:cs="Arial"/>
          <w:lang w:val="en-GB"/>
        </w:rPr>
        <w:t>2</w:t>
      </w:r>
      <w:r w:rsidRPr="00D904E3">
        <w:rPr>
          <w:rFonts w:ascii="Arial" w:hAnsi="Arial" w:cs="Arial"/>
          <w:lang w:val="en-GB"/>
        </w:rPr>
        <w:t xml:space="preserve">00. Employment rate for the mentioned period amounted to </w:t>
      </w:r>
      <w:r w:rsidR="00401B6F" w:rsidRPr="00D904E3">
        <w:rPr>
          <w:rFonts w:ascii="Arial" w:hAnsi="Arial" w:cs="Arial"/>
          <w:lang w:val="en-GB"/>
        </w:rPr>
        <w:t>50</w:t>
      </w:r>
      <w:r w:rsidRPr="00D904E3">
        <w:rPr>
          <w:rFonts w:ascii="Arial" w:hAnsi="Arial" w:cs="Arial"/>
          <w:lang w:val="en-GB"/>
        </w:rPr>
        <w:t>.</w:t>
      </w:r>
      <w:r w:rsidR="00401B6F" w:rsidRPr="00D904E3">
        <w:rPr>
          <w:rFonts w:ascii="Arial" w:hAnsi="Arial" w:cs="Arial"/>
          <w:lang w:val="en-GB"/>
        </w:rPr>
        <w:t>5</w:t>
      </w:r>
      <w:r w:rsidRPr="00D904E3">
        <w:rPr>
          <w:rFonts w:ascii="Arial" w:hAnsi="Arial" w:cs="Arial"/>
          <w:lang w:val="en-GB"/>
        </w:rPr>
        <w:t xml:space="preserve">%, while unemployment rate, in the same period, had the value of </w:t>
      </w:r>
      <w:r w:rsidR="00401B6F" w:rsidRPr="00D904E3">
        <w:rPr>
          <w:rFonts w:ascii="Arial" w:hAnsi="Arial" w:cs="Arial"/>
          <w:lang w:val="en-GB"/>
        </w:rPr>
        <w:t>9</w:t>
      </w:r>
      <w:r w:rsidRPr="00D904E3">
        <w:rPr>
          <w:rFonts w:ascii="Arial" w:hAnsi="Arial" w:cs="Arial"/>
          <w:lang w:val="en-GB"/>
        </w:rPr>
        <w:t>.</w:t>
      </w:r>
      <w:r w:rsidR="006E4C40" w:rsidRPr="00D904E3">
        <w:rPr>
          <w:rFonts w:ascii="Arial" w:hAnsi="Arial" w:cs="Arial"/>
          <w:lang w:val="en-GB"/>
        </w:rPr>
        <w:t>1</w:t>
      </w:r>
      <w:r w:rsidRPr="00D904E3">
        <w:rPr>
          <w:rFonts w:ascii="Arial" w:hAnsi="Arial" w:cs="Arial"/>
          <w:lang w:val="en-GB"/>
        </w:rPr>
        <w:t>%.</w:t>
      </w:r>
    </w:p>
    <w:p w:rsidR="00F52262" w:rsidRDefault="00884FE7" w:rsidP="00566CD5">
      <w:pPr>
        <w:pStyle w:val="NormalWeb"/>
        <w:spacing w:beforeLines="0" w:before="360" w:afterLines="0" w:after="60"/>
        <w:rPr>
          <w:rFonts w:ascii="Arial" w:hAnsi="Arial" w:cs="Arial"/>
          <w:lang w:val="en-GB"/>
        </w:rPr>
      </w:pPr>
      <w:r w:rsidRPr="00566CD5">
        <w:rPr>
          <w:rFonts w:ascii="Arial" w:hAnsi="Arial" w:cs="Arial"/>
          <w:b/>
          <w:bCs/>
          <w:color w:val="2E74B5"/>
          <w:lang w:val="en-GB"/>
        </w:rPr>
        <w:t>Graph 1.</w:t>
      </w:r>
      <w:r w:rsidR="00566CD5" w:rsidRPr="00566CD5">
        <w:rPr>
          <w:rFonts w:ascii="Arial" w:hAnsi="Arial" w:cs="Arial"/>
          <w:b/>
          <w:bCs/>
          <w:color w:val="2E74B5"/>
          <w:lang w:val="en-GB"/>
        </w:rPr>
        <w:t xml:space="preserve"> </w:t>
      </w:r>
      <w:r w:rsidRPr="00D904E3">
        <w:rPr>
          <w:rFonts w:ascii="Arial" w:hAnsi="Arial" w:cs="Arial"/>
          <w:lang w:val="en-GB"/>
        </w:rPr>
        <w:t>Trend of employment/unemployment rates (in %), population 15+, 20</w:t>
      </w:r>
      <w:r w:rsidR="00401B6F" w:rsidRPr="00D904E3">
        <w:rPr>
          <w:rFonts w:ascii="Arial" w:hAnsi="Arial" w:cs="Arial"/>
          <w:lang w:val="en-GB"/>
        </w:rPr>
        <w:t>21</w:t>
      </w:r>
      <w:r w:rsidRPr="00D904E3">
        <w:rPr>
          <w:rFonts w:ascii="Arial" w:hAnsi="Arial" w:cs="Arial"/>
          <w:lang w:val="en-GB"/>
        </w:rPr>
        <w:t>-202</w:t>
      </w:r>
      <w:r w:rsidR="00401B6F" w:rsidRPr="00D904E3">
        <w:rPr>
          <w:rFonts w:ascii="Arial" w:hAnsi="Arial" w:cs="Arial"/>
          <w:lang w:val="en-GB"/>
        </w:rPr>
        <w:t>3</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10260"/>
      </w:tblGrid>
      <w:tr w:rsidR="00566CD5" w:rsidTr="00566CD5">
        <w:trPr>
          <w:jc w:val="center"/>
        </w:trPr>
        <w:tc>
          <w:tcPr>
            <w:tcW w:w="10420" w:type="dxa"/>
          </w:tcPr>
          <w:p w:rsidR="00566CD5" w:rsidRDefault="00566CD5" w:rsidP="00566CD5">
            <w:pPr>
              <w:pStyle w:val="NormalWeb"/>
              <w:spacing w:beforeLines="0" w:before="60" w:afterLines="0" w:after="60"/>
              <w:jc w:val="center"/>
              <w:rPr>
                <w:rFonts w:ascii="Arial" w:hAnsi="Arial" w:cs="Arial"/>
                <w:lang w:val="en-GB"/>
              </w:rPr>
            </w:pPr>
            <w:r w:rsidRPr="00D904E3">
              <w:rPr>
                <w:noProof/>
              </w:rPr>
              <w:drawing>
                <wp:inline distT="0" distB="0" distL="0" distR="0" wp14:anchorId="3727F8E7" wp14:editId="13847D67">
                  <wp:extent cx="3722864" cy="2452370"/>
                  <wp:effectExtent l="0" t="0" r="0" b="5080"/>
                  <wp:docPr id="543491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91669"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825" b="2975"/>
                          <a:stretch/>
                        </pic:blipFill>
                        <pic:spPr bwMode="auto">
                          <a:xfrm>
                            <a:off x="0" y="0"/>
                            <a:ext cx="3723590" cy="24528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52262" w:rsidRPr="00D904E3" w:rsidRDefault="00884FE7" w:rsidP="003244FE">
      <w:pPr>
        <w:spacing w:before="120"/>
        <w:rPr>
          <w:rStyle w:val="Heading1Char"/>
          <w:rFonts w:ascii="Arial" w:hAnsi="Arial" w:cs="Arial"/>
          <w:b w:val="0"/>
          <w:iCs/>
          <w:color w:val="auto"/>
          <w:sz w:val="18"/>
          <w:szCs w:val="18"/>
        </w:rPr>
      </w:pPr>
      <w:r w:rsidRPr="00D904E3">
        <w:rPr>
          <w:rStyle w:val="Heading1Char"/>
          <w:rFonts w:ascii="Arial" w:hAnsi="Arial" w:cs="Arial"/>
          <w:b w:val="0"/>
          <w:iCs/>
          <w:color w:val="auto"/>
          <w:sz w:val="18"/>
          <w:szCs w:val="18"/>
        </w:rPr>
        <w:t xml:space="preserve">(r) </w:t>
      </w:r>
      <w:proofErr w:type="gramStart"/>
      <w:r w:rsidRPr="00D904E3">
        <w:rPr>
          <w:rStyle w:val="Heading1Char"/>
          <w:rFonts w:ascii="Arial" w:hAnsi="Arial" w:cs="Arial"/>
          <w:b w:val="0"/>
          <w:iCs/>
          <w:color w:val="auto"/>
          <w:sz w:val="18"/>
          <w:szCs w:val="18"/>
        </w:rPr>
        <w:t>revised</w:t>
      </w:r>
      <w:proofErr w:type="gramEnd"/>
      <w:r w:rsidRPr="00D904E3">
        <w:rPr>
          <w:rStyle w:val="Heading1Char"/>
          <w:rFonts w:ascii="Arial" w:hAnsi="Arial" w:cs="Arial"/>
          <w:b w:val="0"/>
          <w:iCs/>
          <w:color w:val="auto"/>
          <w:sz w:val="18"/>
          <w:szCs w:val="18"/>
        </w:rPr>
        <w:t xml:space="preserve"> data</w:t>
      </w:r>
    </w:p>
    <w:p w:rsidR="00401B6F" w:rsidRPr="00D904E3" w:rsidRDefault="00401B6F" w:rsidP="00401B6F">
      <w:pPr>
        <w:spacing w:before="480" w:after="240" w:line="310" w:lineRule="auto"/>
        <w:rPr>
          <w:rStyle w:val="Heading1Char"/>
          <w:rFonts w:ascii="Arial" w:hAnsi="Arial" w:cs="Arial"/>
          <w:b w:val="0"/>
          <w:color w:val="2E74B5"/>
          <w:sz w:val="22"/>
          <w:szCs w:val="22"/>
        </w:rPr>
      </w:pPr>
      <w:r w:rsidRPr="00D904E3">
        <w:rPr>
          <w:rStyle w:val="Heading1Char"/>
          <w:rFonts w:ascii="Arial" w:hAnsi="Arial" w:cs="Arial"/>
          <w:b w:val="0"/>
          <w:color w:val="2E74B5"/>
          <w:sz w:val="22"/>
          <w:szCs w:val="22"/>
        </w:rPr>
        <w:t>Comparison with the same quarter of the previous year</w:t>
      </w:r>
    </w:p>
    <w:p w:rsidR="00401B6F" w:rsidRPr="00D904E3" w:rsidRDefault="00401B6F" w:rsidP="00566CD5">
      <w:pPr>
        <w:spacing w:before="120" w:after="120" w:line="264" w:lineRule="auto"/>
        <w:jc w:val="both"/>
        <w:rPr>
          <w:iCs/>
        </w:rPr>
      </w:pPr>
      <w:r w:rsidRPr="00D904E3">
        <w:rPr>
          <w:iCs/>
        </w:rPr>
        <w:t>According to the LFS data for the fourth quarter 2023, relative to the fourth quarter 2022, increased was activ</w:t>
      </w:r>
      <w:r w:rsidR="00D019C0">
        <w:rPr>
          <w:iCs/>
        </w:rPr>
        <w:t>e</w:t>
      </w:r>
      <w:r w:rsidRPr="00D904E3">
        <w:rPr>
          <w:iCs/>
        </w:rPr>
        <w:t xml:space="preserve"> population and decreased was the population outside labour force. In scope of active population, noted was increased employment and decreased unemployment. In the fourth quarter, the number of the employed was 2</w:t>
      </w:r>
      <w:r w:rsidR="00566CD5">
        <w:rPr>
          <w:iCs/>
        </w:rPr>
        <w:t> </w:t>
      </w:r>
      <w:r w:rsidRPr="00D904E3">
        <w:rPr>
          <w:iCs/>
        </w:rPr>
        <w:t>870</w:t>
      </w:r>
      <w:r w:rsidR="00566CD5">
        <w:rPr>
          <w:iCs/>
        </w:rPr>
        <w:t> </w:t>
      </w:r>
      <w:r w:rsidRPr="00D904E3">
        <w:rPr>
          <w:iCs/>
        </w:rPr>
        <w:t xml:space="preserve">200, presenting the increase of 52 100 relative to the same quarter 2022. The number of the unemployed was decreased by 3 600 and amounted </w:t>
      </w:r>
      <w:r w:rsidR="00632F01" w:rsidRPr="00D904E3">
        <w:rPr>
          <w:iCs/>
        </w:rPr>
        <w:t xml:space="preserve">288 200, which together with the employed presents the contingent of active population of 3 158 300. Population outside the labour force was decreased by 99 400 and in the observed quarter amounted to 2 524 000. Total number of population aged 15 and over amounted to 5 682 300, presenting the decrease of total number by 50 900. </w:t>
      </w:r>
    </w:p>
    <w:p w:rsidR="008B2C9C" w:rsidRPr="00D904E3" w:rsidRDefault="008B2C9C" w:rsidP="00566CD5">
      <w:pPr>
        <w:spacing w:before="120" w:after="120" w:line="264" w:lineRule="auto"/>
        <w:jc w:val="both"/>
        <w:rPr>
          <w:iCs/>
        </w:rPr>
      </w:pPr>
      <w:r w:rsidRPr="00D904E3">
        <w:rPr>
          <w:iCs/>
        </w:rPr>
        <w:t xml:space="preserve">The employment rate recorded a growth of 1.4 percentage points (p.p.) and recorded a value of 50.5%, while the unemployment rate was 9.1%, which represents a decrease of 0.3 p. p. compared to the fourth quarter of the previous year. The activity rate increased and the rate of the population not in the </w:t>
      </w:r>
      <w:r w:rsidR="00D904E3" w:rsidRPr="00D904E3">
        <w:rPr>
          <w:iCs/>
        </w:rPr>
        <w:t>labour</w:t>
      </w:r>
      <w:r w:rsidRPr="00D904E3">
        <w:rPr>
          <w:iCs/>
        </w:rPr>
        <w:t xml:space="preserve"> force fell by the same value of 1.3 p. p. and </w:t>
      </w:r>
      <w:r w:rsidR="00D019C0">
        <w:rPr>
          <w:iCs/>
        </w:rPr>
        <w:t>they</w:t>
      </w:r>
      <w:r w:rsidRPr="00D904E3">
        <w:rPr>
          <w:iCs/>
        </w:rPr>
        <w:t xml:space="preserve"> amount to 55.6% and 44.4%, respectively.</w:t>
      </w:r>
    </w:p>
    <w:p w:rsidR="00632F01" w:rsidRPr="00D904E3" w:rsidRDefault="00632F01" w:rsidP="00566CD5">
      <w:pPr>
        <w:spacing w:before="120" w:after="120" w:line="264" w:lineRule="auto"/>
        <w:jc w:val="both"/>
        <w:rPr>
          <w:iCs/>
        </w:rPr>
      </w:pPr>
      <w:r w:rsidRPr="00D904E3">
        <w:rPr>
          <w:iCs/>
        </w:rPr>
        <w:t>Total increase in employment of 52 100 persons was recorded in both formal and informal employment. Total formal employment increased by 32 900 and amounted to 2 510 700 in the fourth quarter of 2023. Formal employment outside agriculture recorded an increase of 42 600, while formal employment in agriculture decreased by 9 700. Total informal employment amounted to 359 400 and on the inter-annual level, it recorded an increase of 19 200, of which 14 400 represents an increase in informal employment outside agriculture, and 4 700 in agriculture.</w:t>
      </w:r>
    </w:p>
    <w:p w:rsidR="00671F79" w:rsidRPr="00D904E3" w:rsidRDefault="00671F79" w:rsidP="00566CD5">
      <w:pPr>
        <w:spacing w:before="60" w:after="60" w:line="276" w:lineRule="auto"/>
        <w:jc w:val="both"/>
        <w:rPr>
          <w:rFonts w:cs="Arial"/>
        </w:rPr>
      </w:pPr>
      <w:r w:rsidRPr="00D904E3">
        <w:rPr>
          <w:rFonts w:cs="Arial"/>
        </w:rPr>
        <w:lastRenderedPageBreak/>
        <w:t>The rate of total informal employment is higher than in the fourth quarter of 2022 by 0.4 p. p. and amounted to 12.5%. The rate of informal employment outside agriculture increased by 0.4 p. p. and in the fourth quarter of 2023 it amounted to 6.8%, while in the agricultural sector it was higher by 1.9 p. p. and was 50.3%.</w:t>
      </w:r>
    </w:p>
    <w:p w:rsidR="00671F79" w:rsidRPr="00D904E3" w:rsidRDefault="00671F79" w:rsidP="00566CD5">
      <w:pPr>
        <w:spacing w:before="60" w:after="60" w:line="276" w:lineRule="auto"/>
        <w:jc w:val="both"/>
        <w:rPr>
          <w:rFonts w:cs="Arial"/>
        </w:rPr>
      </w:pPr>
      <w:r w:rsidRPr="00D904E3">
        <w:rPr>
          <w:rFonts w:cs="Arial"/>
        </w:rPr>
        <w:t xml:space="preserve">More favourable trends in the labour market compared to the fourth quarter of the previous year, which are reflected in the increase in employment and the decrease in the population outside the labour force, mainly refer to the female population, which in the observed quarter recorded a greater fluctuation of persons from the contingent of the population outside the labour force to the contingent of </w:t>
      </w:r>
      <w:r w:rsidR="00D019C0">
        <w:rPr>
          <w:rFonts w:cs="Arial"/>
        </w:rPr>
        <w:t>employed</w:t>
      </w:r>
      <w:r w:rsidRPr="00D904E3">
        <w:rPr>
          <w:rFonts w:cs="Arial"/>
        </w:rPr>
        <w:t xml:space="preserve">. In the fourth quarter, a significantly higher increase in the number of employed women was recorded, by 41 800 compared to men (+10,300), so the number of employed women was 1 310 400 and the number of employed men was 1 559 800. </w:t>
      </w:r>
      <w:r w:rsidR="00D019C0">
        <w:rPr>
          <w:rFonts w:cs="Arial"/>
        </w:rPr>
        <w:t xml:space="preserve">The number of the population out of the labour force, regarding </w:t>
      </w:r>
      <w:r w:rsidRPr="00D904E3">
        <w:rPr>
          <w:rFonts w:cs="Arial"/>
        </w:rPr>
        <w:t>female</w:t>
      </w:r>
      <w:r w:rsidR="00D019C0">
        <w:rPr>
          <w:rFonts w:cs="Arial"/>
        </w:rPr>
        <w:t>s</w:t>
      </w:r>
      <w:r w:rsidRPr="00D904E3">
        <w:rPr>
          <w:rFonts w:cs="Arial"/>
        </w:rPr>
        <w:t xml:space="preserve"> is lower by 77 200, and </w:t>
      </w:r>
      <w:r w:rsidR="00D019C0">
        <w:rPr>
          <w:rFonts w:cs="Arial"/>
        </w:rPr>
        <w:t>regarding</w:t>
      </w:r>
      <w:r w:rsidRPr="00D904E3">
        <w:rPr>
          <w:rFonts w:cs="Arial"/>
        </w:rPr>
        <w:t xml:space="preserve"> male population by 22 100. In contrast to changes in the contingent of </w:t>
      </w:r>
      <w:r w:rsidR="00D019C0">
        <w:rPr>
          <w:rFonts w:cs="Arial"/>
        </w:rPr>
        <w:t>employed</w:t>
      </w:r>
      <w:r w:rsidRPr="00D904E3">
        <w:rPr>
          <w:rFonts w:cs="Arial"/>
        </w:rPr>
        <w:t>, the change in the number of unemployed persons shows an increase in the female population (9 800) and a decrease in the male population (13 400). Such developments led to the fact that in the fourth quarter of 2023, the number of unemployed women was 137 100, and the number of unemployed men was 151 000.</w:t>
      </w:r>
    </w:p>
    <w:p w:rsidR="00671F79" w:rsidRPr="00D904E3" w:rsidRDefault="00671F79" w:rsidP="00566CD5">
      <w:pPr>
        <w:spacing w:before="60" w:after="60" w:line="276" w:lineRule="auto"/>
        <w:jc w:val="both"/>
        <w:rPr>
          <w:rFonts w:cs="Arial"/>
        </w:rPr>
      </w:pPr>
      <w:r w:rsidRPr="00D904E3">
        <w:rPr>
          <w:rFonts w:cs="Arial"/>
        </w:rPr>
        <w:t>Belgrade Region and the Region of Southern and Eastern Serbia recorded an increase in employment and a decrease in unemployment and the population outside the labour force. In the Region of Vojvodina, there is a slightly different trend, which refers to the unemployed population, which recorded an increase of 15 500, while in the Region of Šumadija and Western Serbia, the trend is also different and shows a decrease in the employed population (-13 100 compared to the fourth quarter of the previous year). The employment rate increased the most in Vojvodina region (+2.3 p.p.) and in Belgrade region (+2.1 p.p.) and amounts to 51.1% and 56.1%, respectively. The increase in the employment rate in the Region of Southern and Eastern Serbia amounted to 1.4</w:t>
      </w:r>
      <w:r w:rsidR="00566CD5">
        <w:rPr>
          <w:rFonts w:cs="Arial"/>
        </w:rPr>
        <w:t> </w:t>
      </w:r>
      <w:r w:rsidRPr="00D904E3">
        <w:rPr>
          <w:rFonts w:cs="Arial"/>
        </w:rPr>
        <w:t>p. p. and the rate of 45.4% is still the lowest, observed by regions. This rate in the Region of Šumadija and Western Serbia is lower by 0.3 p. p. and in the fourth quarter of 2023 it amounted to 48.8%.</w:t>
      </w:r>
    </w:p>
    <w:p w:rsidR="00671F79" w:rsidRPr="00D904E3" w:rsidRDefault="008B2C9C" w:rsidP="00566CD5">
      <w:pPr>
        <w:spacing w:before="120" w:after="120" w:line="310" w:lineRule="auto"/>
        <w:jc w:val="both"/>
        <w:rPr>
          <w:iCs/>
        </w:rPr>
      </w:pPr>
      <w:r w:rsidRPr="00D904E3">
        <w:rPr>
          <w:iCs/>
        </w:rPr>
        <w:t>The unemployment rate in the Belgrade region in the observed quarter was the lowest and amounted to 6.7%, which represents a decrease of 1.1 p. p. compared to the same quarter of the previous year. The highest unemployment rate was recorded in the Region of Southern and Eastern Serbia, so with a decrease of 1.0 p. p., amounted to 11.2%. The Region of Vojvodina and the Region of Šumadija and Western Serbia recorded unemployment rates of 9.2% and 9.9%, respectively.</w:t>
      </w:r>
    </w:p>
    <w:p w:rsidR="00671F79" w:rsidRPr="00D904E3" w:rsidRDefault="008B2C9C" w:rsidP="00566CD5">
      <w:pPr>
        <w:spacing w:before="120" w:after="120" w:line="310" w:lineRule="auto"/>
        <w:jc w:val="both"/>
        <w:rPr>
          <w:iCs/>
        </w:rPr>
      </w:pPr>
      <w:r w:rsidRPr="00D904E3">
        <w:rPr>
          <w:iCs/>
        </w:rPr>
        <w:t>The population of young people aged 15–24 in the fourth quarter of 2023 decreased by 6</w:t>
      </w:r>
      <w:r w:rsidR="00515EF4" w:rsidRPr="00D904E3">
        <w:rPr>
          <w:iCs/>
        </w:rPr>
        <w:t xml:space="preserve"> </w:t>
      </w:r>
      <w:r w:rsidRPr="00D904E3">
        <w:rPr>
          <w:iCs/>
        </w:rPr>
        <w:t>200 persons compared to the same quarter of the previous year. The number of employed young people was 156</w:t>
      </w:r>
      <w:r w:rsidR="00515EF4" w:rsidRPr="00D904E3">
        <w:rPr>
          <w:iCs/>
        </w:rPr>
        <w:t xml:space="preserve"> </w:t>
      </w:r>
      <w:r w:rsidRPr="00D904E3">
        <w:rPr>
          <w:iCs/>
        </w:rPr>
        <w:t>400, which represents a slight decrease of 700 people, while the number of unemployed people was 55</w:t>
      </w:r>
      <w:r w:rsidR="00515EF4" w:rsidRPr="00D904E3">
        <w:rPr>
          <w:iCs/>
        </w:rPr>
        <w:t xml:space="preserve"> </w:t>
      </w:r>
      <w:r w:rsidRPr="00D904E3">
        <w:rPr>
          <w:iCs/>
        </w:rPr>
        <w:t>100, with an increase of 5</w:t>
      </w:r>
      <w:r w:rsidR="00515EF4" w:rsidRPr="00D904E3">
        <w:rPr>
          <w:iCs/>
        </w:rPr>
        <w:t xml:space="preserve"> </w:t>
      </w:r>
      <w:r w:rsidRPr="00D904E3">
        <w:rPr>
          <w:iCs/>
        </w:rPr>
        <w:t xml:space="preserve">100 people compared to the same quarter of the previous year. The contingent of the young population outside the </w:t>
      </w:r>
      <w:r w:rsidR="00D904E3" w:rsidRPr="00D904E3">
        <w:rPr>
          <w:iCs/>
        </w:rPr>
        <w:t>labour</w:t>
      </w:r>
      <w:r w:rsidRPr="00D904E3">
        <w:rPr>
          <w:iCs/>
        </w:rPr>
        <w:t xml:space="preserve"> force decreased by 10</w:t>
      </w:r>
      <w:r w:rsidR="00515EF4" w:rsidRPr="00D904E3">
        <w:rPr>
          <w:iCs/>
        </w:rPr>
        <w:t xml:space="preserve"> </w:t>
      </w:r>
      <w:r w:rsidRPr="00D904E3">
        <w:rPr>
          <w:iCs/>
        </w:rPr>
        <w:t>500 and in the fourth quarter of 2023 it amounted to 462</w:t>
      </w:r>
      <w:r w:rsidR="00515EF4" w:rsidRPr="00D904E3">
        <w:rPr>
          <w:iCs/>
        </w:rPr>
        <w:t xml:space="preserve"> </w:t>
      </w:r>
      <w:r w:rsidRPr="00D904E3">
        <w:rPr>
          <w:iCs/>
        </w:rPr>
        <w:t>200.</w:t>
      </w:r>
    </w:p>
    <w:p w:rsidR="008B2C9C" w:rsidRPr="00D904E3" w:rsidRDefault="008B2C9C" w:rsidP="00566CD5">
      <w:pPr>
        <w:spacing w:before="120" w:after="120" w:line="310" w:lineRule="auto"/>
        <w:jc w:val="both"/>
        <w:rPr>
          <w:iCs/>
        </w:rPr>
      </w:pPr>
      <w:r w:rsidRPr="00D904E3">
        <w:rPr>
          <w:iCs/>
        </w:rPr>
        <w:t xml:space="preserve">The rate of NEET </w:t>
      </w:r>
      <w:r w:rsidR="00D904E3" w:rsidRPr="00D904E3">
        <w:rPr>
          <w:iCs/>
        </w:rPr>
        <w:t>i.e.</w:t>
      </w:r>
      <w:r w:rsidRPr="00D904E3">
        <w:rPr>
          <w:iCs/>
        </w:rPr>
        <w:t xml:space="preserve"> the share of young people aged 15-24 who neither work nor are in the process of education or training in the total population of young people, was 13.8% and compared to the same quarter of the previous year, it was higher by 2.0%.</w:t>
      </w:r>
    </w:p>
    <w:p w:rsidR="00632F01" w:rsidRPr="00D904E3" w:rsidRDefault="008B2C9C" w:rsidP="00566CD5">
      <w:pPr>
        <w:spacing w:before="120" w:after="120" w:line="310" w:lineRule="auto"/>
        <w:jc w:val="both"/>
        <w:rPr>
          <w:iCs/>
        </w:rPr>
      </w:pPr>
      <w:r w:rsidRPr="00D904E3">
        <w:rPr>
          <w:iCs/>
        </w:rPr>
        <w:t xml:space="preserve">In the population aged 15-29, the NEET rate was at the level of 17.4%, which represents an increase of 2.3 p. p. at </w:t>
      </w:r>
      <w:proofErr w:type="gramStart"/>
      <w:r w:rsidRPr="00D904E3">
        <w:rPr>
          <w:iCs/>
        </w:rPr>
        <w:t xml:space="preserve">the </w:t>
      </w:r>
      <w:r w:rsidR="00D904E3" w:rsidRPr="00D904E3">
        <w:rPr>
          <w:iCs/>
        </w:rPr>
        <w:t>inter</w:t>
      </w:r>
      <w:proofErr w:type="gramEnd"/>
      <w:r w:rsidR="00D019C0">
        <w:rPr>
          <w:iCs/>
        </w:rPr>
        <w:t xml:space="preserve"> -</w:t>
      </w:r>
      <w:r w:rsidR="00D904E3">
        <w:rPr>
          <w:iCs/>
        </w:rPr>
        <w:t xml:space="preserve"> </w:t>
      </w:r>
      <w:r w:rsidR="00D904E3" w:rsidRPr="00D904E3">
        <w:rPr>
          <w:iCs/>
        </w:rPr>
        <w:t>annual</w:t>
      </w:r>
      <w:r w:rsidRPr="00D904E3">
        <w:rPr>
          <w:iCs/>
        </w:rPr>
        <w:t xml:space="preserve"> level. The dominant influence on the year-on-year growth of the total NEET rate was the increase in this population category in the Region of South and East Serbia and in the Region of Šumadija and West Serbia in the population of women outside the </w:t>
      </w:r>
      <w:r w:rsidR="00D97823">
        <w:rPr>
          <w:iCs/>
        </w:rPr>
        <w:t>labour force</w:t>
      </w:r>
      <w:r w:rsidRPr="00D904E3">
        <w:rPr>
          <w:iCs/>
        </w:rPr>
        <w:t>.</w:t>
      </w:r>
    </w:p>
    <w:p w:rsidR="00F52262" w:rsidRPr="00D904E3" w:rsidRDefault="00884FE7" w:rsidP="003244FE">
      <w:pPr>
        <w:spacing w:before="480" w:after="240" w:line="310" w:lineRule="auto"/>
        <w:rPr>
          <w:rStyle w:val="Heading1Char"/>
          <w:rFonts w:ascii="Arial" w:hAnsi="Arial" w:cs="Arial"/>
          <w:b w:val="0"/>
          <w:iCs/>
          <w:color w:val="2E74B5"/>
          <w:sz w:val="22"/>
          <w:szCs w:val="22"/>
        </w:rPr>
      </w:pPr>
      <w:r w:rsidRPr="00566CD5">
        <w:rPr>
          <w:rStyle w:val="Heading1Char"/>
          <w:rFonts w:ascii="Arial" w:hAnsi="Arial" w:cs="Arial"/>
          <w:b w:val="0"/>
          <w:iCs/>
          <w:color w:val="2E74B5"/>
          <w:sz w:val="22"/>
          <w:szCs w:val="22"/>
        </w:rPr>
        <w:t>Comparison</w:t>
      </w:r>
      <w:r w:rsidRPr="00D904E3">
        <w:rPr>
          <w:rStyle w:val="Heading1Char"/>
          <w:rFonts w:ascii="Arial" w:hAnsi="Arial" w:cs="Arial"/>
          <w:b w:val="0"/>
          <w:iCs/>
          <w:color w:val="2E74B5"/>
          <w:sz w:val="22"/>
          <w:szCs w:val="22"/>
        </w:rPr>
        <w:t xml:space="preserve"> with the previous quarter</w:t>
      </w:r>
    </w:p>
    <w:p w:rsidR="003113B3" w:rsidRPr="00D904E3" w:rsidRDefault="003113B3" w:rsidP="003113B3">
      <w:pPr>
        <w:pStyle w:val="ListParagraph"/>
        <w:spacing w:before="120" w:after="120" w:line="310" w:lineRule="auto"/>
        <w:ind w:left="0"/>
        <w:contextualSpacing w:val="0"/>
        <w:jc w:val="both"/>
        <w:rPr>
          <w:rFonts w:ascii="Arial" w:eastAsia="Times New Roman" w:hAnsi="Arial"/>
          <w:iCs/>
          <w:sz w:val="20"/>
          <w:szCs w:val="20"/>
          <w:lang w:val="en-GB"/>
        </w:rPr>
      </w:pPr>
      <w:r w:rsidRPr="00D904E3">
        <w:rPr>
          <w:rFonts w:ascii="Arial" w:eastAsia="Times New Roman" w:hAnsi="Arial"/>
          <w:iCs/>
          <w:sz w:val="20"/>
          <w:szCs w:val="20"/>
          <w:lang w:val="en-GB"/>
        </w:rPr>
        <w:t xml:space="preserve">In the fourth quarter of 2023, compared to the third quarter of the same year, the total number of residents aged 15 and over decreased by 11 200 and amounted to 5 682 300, with a decrease in the number of </w:t>
      </w:r>
      <w:r w:rsidR="00D019C0">
        <w:rPr>
          <w:rFonts w:ascii="Arial" w:eastAsia="Times New Roman" w:hAnsi="Arial"/>
          <w:iCs/>
          <w:sz w:val="20"/>
          <w:szCs w:val="20"/>
          <w:lang w:val="en-GB"/>
        </w:rPr>
        <w:t>employed</w:t>
      </w:r>
      <w:r w:rsidRPr="00D904E3">
        <w:rPr>
          <w:rFonts w:ascii="Arial" w:eastAsia="Times New Roman" w:hAnsi="Arial"/>
          <w:iCs/>
          <w:sz w:val="20"/>
          <w:szCs w:val="20"/>
          <w:lang w:val="en-GB"/>
        </w:rPr>
        <w:t xml:space="preserve"> by 18 400, and an increase in the number of unemployed by 2 500 and the number of the population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by 4 700. The number of employed people in the fourth quarter of 2023 was 2 870 200, the number of unemployed 288 200, the number of the population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2 524 000, while the number of active (which includes employed and unemployed population together) amounted to 3 158 300.</w:t>
      </w:r>
    </w:p>
    <w:p w:rsidR="003113B3" w:rsidRPr="00D904E3" w:rsidRDefault="003113B3" w:rsidP="003113B3">
      <w:pPr>
        <w:pStyle w:val="ListParagraph"/>
        <w:spacing w:before="120" w:after="120" w:line="310" w:lineRule="auto"/>
        <w:ind w:left="0"/>
        <w:contextualSpacing w:val="0"/>
        <w:jc w:val="both"/>
        <w:rPr>
          <w:rFonts w:ascii="Arial" w:eastAsia="Times New Roman" w:hAnsi="Arial"/>
          <w:iCs/>
          <w:sz w:val="20"/>
          <w:szCs w:val="20"/>
          <w:lang w:val="en-GB"/>
        </w:rPr>
      </w:pPr>
      <w:r w:rsidRPr="00D904E3">
        <w:rPr>
          <w:rFonts w:ascii="Arial" w:eastAsia="Times New Roman" w:hAnsi="Arial"/>
          <w:iCs/>
          <w:sz w:val="20"/>
          <w:szCs w:val="20"/>
          <w:lang w:val="en-GB"/>
        </w:rPr>
        <w:lastRenderedPageBreak/>
        <w:t>The employment rate in the observed quarter was 50.5% and, compared to the previous quarter, it is lower by 0.2</w:t>
      </w:r>
      <w:r w:rsidR="00566CD5">
        <w:rPr>
          <w:rFonts w:ascii="Arial" w:eastAsia="Times New Roman" w:hAnsi="Arial"/>
          <w:iCs/>
          <w:sz w:val="20"/>
          <w:szCs w:val="20"/>
          <w:lang w:val="en-GB"/>
        </w:rPr>
        <w:t> </w:t>
      </w:r>
      <w:r w:rsidRPr="00D904E3">
        <w:rPr>
          <w:rFonts w:ascii="Arial" w:eastAsia="Times New Roman" w:hAnsi="Arial"/>
          <w:iCs/>
          <w:sz w:val="20"/>
          <w:szCs w:val="20"/>
          <w:lang w:val="en-GB"/>
        </w:rPr>
        <w:t xml:space="preserve">p. p. A slight increase (of 0.1 p.p.) was recorded in the unemployment rate, as well as the rate of the population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(0.2 p.p.), so these rates have values of 9.1% and 44.4%, respectively.</w:t>
      </w:r>
    </w:p>
    <w:p w:rsidR="003113B3" w:rsidRPr="00D904E3" w:rsidRDefault="003113B3" w:rsidP="003113B3">
      <w:pPr>
        <w:pStyle w:val="ListParagraph"/>
        <w:spacing w:before="120" w:after="120" w:line="310" w:lineRule="auto"/>
        <w:ind w:left="0"/>
        <w:contextualSpacing w:val="0"/>
        <w:jc w:val="both"/>
        <w:rPr>
          <w:rFonts w:ascii="Arial" w:eastAsia="Times New Roman" w:hAnsi="Arial"/>
          <w:iCs/>
          <w:sz w:val="20"/>
          <w:szCs w:val="20"/>
          <w:lang w:val="en-GB"/>
        </w:rPr>
      </w:pPr>
      <w:r w:rsidRPr="00D904E3">
        <w:rPr>
          <w:rFonts w:ascii="Arial" w:eastAsia="Times New Roman" w:hAnsi="Arial"/>
          <w:iCs/>
          <w:sz w:val="20"/>
          <w:szCs w:val="20"/>
          <w:lang w:val="en-GB"/>
        </w:rPr>
        <w:t xml:space="preserve">The total decrease in employment of 18 400 was predominantly influenced by the decrease in the number of employed in the male population, where that number is </w:t>
      </w:r>
      <w:r w:rsidR="00D019C0">
        <w:rPr>
          <w:rFonts w:ascii="Arial" w:eastAsia="Times New Roman" w:hAnsi="Arial"/>
          <w:iCs/>
          <w:sz w:val="20"/>
          <w:szCs w:val="20"/>
          <w:lang w:val="en-GB"/>
        </w:rPr>
        <w:t xml:space="preserve">by </w:t>
      </w:r>
      <w:r w:rsidRPr="00D904E3">
        <w:rPr>
          <w:rFonts w:ascii="Arial" w:eastAsia="Times New Roman" w:hAnsi="Arial"/>
          <w:iCs/>
          <w:sz w:val="20"/>
          <w:szCs w:val="20"/>
          <w:lang w:val="en-GB"/>
        </w:rPr>
        <w:t xml:space="preserve">20 100 lower than in the third quarter, while the number of employed women is higher by 1 800. The number of employed men in the fourth quarter of 2023 was 1 559 800 and the employment rate was 57.0%, while the number of employed women was 1 310 400, with a rate of 44.5%. The slightly more </w:t>
      </w:r>
      <w:r w:rsidR="00D904E3" w:rsidRPr="00D904E3">
        <w:rPr>
          <w:rFonts w:ascii="Arial" w:eastAsia="Times New Roman" w:hAnsi="Arial"/>
          <w:iCs/>
          <w:sz w:val="20"/>
          <w:szCs w:val="20"/>
          <w:lang w:val="en-GB"/>
        </w:rPr>
        <w:t>favourable</w:t>
      </w:r>
      <w:r w:rsidRPr="00D904E3">
        <w:rPr>
          <w:rFonts w:ascii="Arial" w:eastAsia="Times New Roman" w:hAnsi="Arial"/>
          <w:iCs/>
          <w:sz w:val="20"/>
          <w:szCs w:val="20"/>
          <w:lang w:val="en-GB"/>
        </w:rPr>
        <w:t xml:space="preserve"> position of women on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market compared to the previous quarter is also noticeable in the contingent of the unemployed. The number of unemployed persons in the male population is higher by 4 500, while it is lower by 2 000 in the female population, which led to 151 000 unemployed men and 137</w:t>
      </w:r>
      <w:r w:rsidR="00566CD5">
        <w:rPr>
          <w:rFonts w:ascii="Arial" w:eastAsia="Times New Roman" w:hAnsi="Arial"/>
          <w:iCs/>
          <w:sz w:val="20"/>
          <w:szCs w:val="20"/>
          <w:lang w:val="en-GB"/>
        </w:rPr>
        <w:t> </w:t>
      </w:r>
      <w:r w:rsidRPr="00D904E3">
        <w:rPr>
          <w:rFonts w:ascii="Arial" w:eastAsia="Times New Roman" w:hAnsi="Arial"/>
          <w:iCs/>
          <w:sz w:val="20"/>
          <w:szCs w:val="20"/>
          <w:lang w:val="en-GB"/>
        </w:rPr>
        <w:t>100 unemployed women in the fourth quarter of 2023. At the same time, the male unemployment rate increased by 0.3 p. p. and amounted to 8.8%, while the unemployment rate of women recorded a decrease of 0.1</w:t>
      </w:r>
      <w:r w:rsidR="00566CD5">
        <w:rPr>
          <w:rFonts w:ascii="Arial" w:eastAsia="Times New Roman" w:hAnsi="Arial"/>
          <w:iCs/>
          <w:sz w:val="20"/>
          <w:szCs w:val="20"/>
          <w:lang w:val="en-GB"/>
        </w:rPr>
        <w:t> </w:t>
      </w:r>
      <w:r w:rsidRPr="00D904E3">
        <w:rPr>
          <w:rFonts w:ascii="Arial" w:eastAsia="Times New Roman" w:hAnsi="Arial"/>
          <w:iCs/>
          <w:sz w:val="20"/>
          <w:szCs w:val="20"/>
          <w:lang w:val="en-GB"/>
        </w:rPr>
        <w:t>p. p. and amounted to 9.5%.</w:t>
      </w:r>
    </w:p>
    <w:p w:rsidR="003113B3" w:rsidRPr="00D904E3" w:rsidRDefault="003113B3" w:rsidP="003113B3">
      <w:pPr>
        <w:pStyle w:val="ListParagraph"/>
        <w:spacing w:before="120" w:after="120" w:line="310" w:lineRule="auto"/>
        <w:ind w:left="0"/>
        <w:contextualSpacing w:val="0"/>
        <w:jc w:val="both"/>
        <w:rPr>
          <w:rFonts w:ascii="Arial" w:eastAsia="Times New Roman" w:hAnsi="Arial"/>
          <w:iCs/>
          <w:sz w:val="20"/>
          <w:szCs w:val="20"/>
          <w:lang w:val="en-GB"/>
        </w:rPr>
      </w:pPr>
      <w:r w:rsidRPr="00D904E3">
        <w:rPr>
          <w:rFonts w:ascii="Arial" w:eastAsia="Times New Roman" w:hAnsi="Arial"/>
          <w:iCs/>
          <w:sz w:val="20"/>
          <w:szCs w:val="20"/>
          <w:lang w:val="en-GB"/>
        </w:rPr>
        <w:t xml:space="preserve">As part of the overall reduction in the number of </w:t>
      </w:r>
      <w:r w:rsidR="00D019C0">
        <w:rPr>
          <w:rFonts w:ascii="Arial" w:eastAsia="Times New Roman" w:hAnsi="Arial"/>
          <w:iCs/>
          <w:sz w:val="20"/>
          <w:szCs w:val="20"/>
          <w:lang w:val="en-GB"/>
        </w:rPr>
        <w:t>employed</w:t>
      </w:r>
      <w:r w:rsidRPr="00D904E3">
        <w:rPr>
          <w:rFonts w:ascii="Arial" w:eastAsia="Times New Roman" w:hAnsi="Arial"/>
          <w:iCs/>
          <w:sz w:val="20"/>
          <w:szCs w:val="20"/>
          <w:lang w:val="en-GB"/>
        </w:rPr>
        <w:t>, the number of formally employed is lower by 7 900, and the number of informally employed by 10 400.</w:t>
      </w:r>
    </w:p>
    <w:p w:rsidR="003113B3" w:rsidRPr="00D904E3" w:rsidRDefault="003113B3" w:rsidP="003113B3">
      <w:pPr>
        <w:pStyle w:val="ListParagraph"/>
        <w:spacing w:before="120" w:after="120" w:line="310" w:lineRule="auto"/>
        <w:ind w:left="0"/>
        <w:contextualSpacing w:val="0"/>
        <w:jc w:val="both"/>
        <w:rPr>
          <w:rFonts w:ascii="Arial" w:eastAsia="Times New Roman" w:hAnsi="Arial"/>
          <w:iCs/>
          <w:sz w:val="20"/>
          <w:szCs w:val="20"/>
          <w:lang w:val="en-GB"/>
        </w:rPr>
      </w:pPr>
      <w:r w:rsidRPr="00D904E3">
        <w:rPr>
          <w:rFonts w:ascii="Arial" w:eastAsia="Times New Roman" w:hAnsi="Arial"/>
          <w:iCs/>
          <w:sz w:val="20"/>
          <w:szCs w:val="20"/>
          <w:lang w:val="en-GB"/>
        </w:rPr>
        <w:t>In the fourth quarter of 2023, the rate of total informal employment was 12.5%, which represents a decrease of 0.3</w:t>
      </w:r>
      <w:r w:rsidR="00566CD5">
        <w:rPr>
          <w:rFonts w:ascii="Arial" w:eastAsia="Times New Roman" w:hAnsi="Arial"/>
          <w:iCs/>
          <w:sz w:val="20"/>
          <w:szCs w:val="20"/>
          <w:lang w:val="en-GB"/>
        </w:rPr>
        <w:t> </w:t>
      </w:r>
      <w:r w:rsidRPr="00D904E3">
        <w:rPr>
          <w:rFonts w:ascii="Arial" w:eastAsia="Times New Roman" w:hAnsi="Arial"/>
          <w:iCs/>
          <w:sz w:val="20"/>
          <w:szCs w:val="20"/>
          <w:lang w:val="en-GB"/>
        </w:rPr>
        <w:t>p. p. compared to the previous quarter. The rate of informal employment outside agriculture increased by 0.3%, while in agriculture it decreased by 3.2%.</w:t>
      </w:r>
    </w:p>
    <w:p w:rsidR="003113B3" w:rsidRPr="00D904E3" w:rsidRDefault="003113B3" w:rsidP="003113B3">
      <w:pPr>
        <w:pStyle w:val="ListParagraph"/>
        <w:spacing w:before="120" w:after="120" w:line="310" w:lineRule="auto"/>
        <w:ind w:left="0"/>
        <w:contextualSpacing w:val="0"/>
        <w:jc w:val="both"/>
        <w:rPr>
          <w:rFonts w:ascii="Arial" w:eastAsia="Times New Roman" w:hAnsi="Arial"/>
          <w:iCs/>
          <w:sz w:val="20"/>
          <w:szCs w:val="20"/>
          <w:lang w:val="en-GB"/>
        </w:rPr>
      </w:pPr>
      <w:r w:rsidRPr="00D904E3">
        <w:rPr>
          <w:rFonts w:ascii="Arial" w:eastAsia="Times New Roman" w:hAnsi="Arial"/>
          <w:iCs/>
          <w:sz w:val="20"/>
          <w:szCs w:val="20"/>
          <w:lang w:val="en-GB"/>
        </w:rPr>
        <w:t xml:space="preserve">Observed by region, the number of </w:t>
      </w:r>
      <w:r w:rsidR="00D019C0">
        <w:rPr>
          <w:rFonts w:ascii="Arial" w:eastAsia="Times New Roman" w:hAnsi="Arial"/>
          <w:iCs/>
          <w:sz w:val="20"/>
          <w:szCs w:val="20"/>
          <w:lang w:val="en-GB"/>
        </w:rPr>
        <w:t>employed</w:t>
      </w:r>
      <w:r w:rsidRPr="00D904E3">
        <w:rPr>
          <w:rFonts w:ascii="Arial" w:eastAsia="Times New Roman" w:hAnsi="Arial"/>
          <w:iCs/>
          <w:sz w:val="20"/>
          <w:szCs w:val="20"/>
          <w:lang w:val="en-GB"/>
        </w:rPr>
        <w:t xml:space="preserve"> recorded the largest decrease in the Region of Šumadija and Western Serbia, by 27 200. A smaller decrease, of 8 400 </w:t>
      </w:r>
      <w:r w:rsidR="00D019C0">
        <w:rPr>
          <w:rFonts w:ascii="Arial" w:eastAsia="Times New Roman" w:hAnsi="Arial"/>
          <w:iCs/>
          <w:sz w:val="20"/>
          <w:szCs w:val="20"/>
          <w:lang w:val="en-GB"/>
        </w:rPr>
        <w:t>employed</w:t>
      </w:r>
      <w:r w:rsidRPr="00D904E3">
        <w:rPr>
          <w:rFonts w:ascii="Arial" w:eastAsia="Times New Roman" w:hAnsi="Arial"/>
          <w:iCs/>
          <w:sz w:val="20"/>
          <w:szCs w:val="20"/>
          <w:lang w:val="en-GB"/>
        </w:rPr>
        <w:t xml:space="preserve">, was recorded in the Region of Southern and Eastern Serbia, followed by a decrease of 3 200 in the Belgrade Region, while in the Region In Vojvodina, there was an increase in the number of </w:t>
      </w:r>
      <w:r w:rsidR="00D019C0">
        <w:rPr>
          <w:rFonts w:ascii="Arial" w:eastAsia="Times New Roman" w:hAnsi="Arial"/>
          <w:iCs/>
          <w:sz w:val="20"/>
          <w:szCs w:val="20"/>
          <w:lang w:val="en-GB"/>
        </w:rPr>
        <w:t>employed</w:t>
      </w:r>
      <w:r w:rsidRPr="00D904E3">
        <w:rPr>
          <w:rFonts w:ascii="Arial" w:eastAsia="Times New Roman" w:hAnsi="Arial"/>
          <w:iCs/>
          <w:sz w:val="20"/>
          <w:szCs w:val="20"/>
          <w:lang w:val="en-GB"/>
        </w:rPr>
        <w:t xml:space="preserve"> by 20 300 compared to the previous quarter. Thus, the employment rate recorded an increase of 1.5 p. p. in the Region of Vojvodina, and it is lower by 1.7 p. p. in the Region of Šumadija and Western Serbia, by 0.6 p. p. in the Region of Southern and Eastern Serbia and by 0.2 p. p. in the Belgrade region. The region of Šumadija and Western Serbia recorded an increase in the unemployment rate and the rate of the population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for the same value of 1.1 p. p, while in the Region of Vojvodina both rates recorded a decline, the unemployment rate by 0.9 p. p. and the non-</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population rate by 1.0</w:t>
      </w:r>
      <w:r w:rsidR="00566CD5">
        <w:rPr>
          <w:rFonts w:ascii="Arial" w:eastAsia="Times New Roman" w:hAnsi="Arial"/>
          <w:iCs/>
          <w:sz w:val="20"/>
          <w:szCs w:val="20"/>
          <w:lang w:val="en-GB"/>
        </w:rPr>
        <w:t> </w:t>
      </w:r>
      <w:r w:rsidRPr="00D904E3">
        <w:rPr>
          <w:rFonts w:ascii="Arial" w:eastAsia="Times New Roman" w:hAnsi="Arial"/>
          <w:iCs/>
          <w:sz w:val="20"/>
          <w:szCs w:val="20"/>
          <w:lang w:val="en-GB"/>
        </w:rPr>
        <w:t>p. p. In the Belgrade region, in the fourth quarter, compared to the third quarter, the unemployment rate was slightly</w:t>
      </w:r>
      <w:r w:rsidR="00D019C0">
        <w:rPr>
          <w:rFonts w:ascii="Arial" w:eastAsia="Times New Roman" w:hAnsi="Arial"/>
          <w:iCs/>
          <w:sz w:val="20"/>
          <w:szCs w:val="20"/>
          <w:lang w:val="en-GB"/>
        </w:rPr>
        <w:t xml:space="preserve"> higher by 0.3 p</w:t>
      </w:r>
      <w:r w:rsidRPr="00D904E3">
        <w:rPr>
          <w:rFonts w:ascii="Arial" w:eastAsia="Times New Roman" w:hAnsi="Arial"/>
          <w:iCs/>
          <w:sz w:val="20"/>
          <w:szCs w:val="20"/>
          <w:lang w:val="en-GB"/>
        </w:rPr>
        <w:t xml:space="preserve">.p., while the rate of the population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remained unchanged. In the Region of South and East Serbia, the unemployment rate is lower by 0.2 p. p., while the rate of the population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recorded an increase of 0.7 p. p.</w:t>
      </w:r>
    </w:p>
    <w:p w:rsidR="003113B3" w:rsidRPr="00D904E3" w:rsidRDefault="003113B3" w:rsidP="003113B3">
      <w:pPr>
        <w:pStyle w:val="ListParagraph"/>
        <w:spacing w:before="120" w:after="120" w:line="310" w:lineRule="auto"/>
        <w:ind w:left="0"/>
        <w:contextualSpacing w:val="0"/>
        <w:jc w:val="both"/>
        <w:rPr>
          <w:rFonts w:ascii="Arial" w:eastAsia="Times New Roman" w:hAnsi="Arial"/>
          <w:iCs/>
          <w:sz w:val="20"/>
          <w:szCs w:val="20"/>
          <w:lang w:val="en-GB"/>
        </w:rPr>
      </w:pPr>
      <w:r w:rsidRPr="00D904E3">
        <w:rPr>
          <w:rFonts w:ascii="Arial" w:eastAsia="Times New Roman" w:hAnsi="Arial"/>
          <w:iCs/>
          <w:sz w:val="20"/>
          <w:szCs w:val="20"/>
          <w:lang w:val="en-GB"/>
        </w:rPr>
        <w:t xml:space="preserve">The total number of persons aged 15-24 is lower by 1 300 compared to the previous quarter. The number of employed young people is lower by 10 500 and the number of young people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is higher by 9</w:t>
      </w:r>
      <w:r w:rsidR="00566CD5">
        <w:rPr>
          <w:rFonts w:ascii="Arial" w:eastAsia="Times New Roman" w:hAnsi="Arial"/>
          <w:iCs/>
          <w:sz w:val="20"/>
          <w:szCs w:val="20"/>
          <w:lang w:val="en-GB"/>
        </w:rPr>
        <w:t> </w:t>
      </w:r>
      <w:r w:rsidRPr="00D904E3">
        <w:rPr>
          <w:rFonts w:ascii="Arial" w:eastAsia="Times New Roman" w:hAnsi="Arial"/>
          <w:iCs/>
          <w:sz w:val="20"/>
          <w:szCs w:val="20"/>
          <w:lang w:val="en-GB"/>
        </w:rPr>
        <w:t xml:space="preserve">500. The mentioned trend led to a drop in the employment rate and at the same time an increase in the rate of the population outside the </w:t>
      </w:r>
      <w:r w:rsidR="00D904E3" w:rsidRPr="00D904E3">
        <w:rPr>
          <w:rFonts w:ascii="Arial" w:eastAsia="Times New Roman" w:hAnsi="Arial"/>
          <w:iCs/>
          <w:sz w:val="20"/>
          <w:szCs w:val="20"/>
          <w:lang w:val="en-GB"/>
        </w:rPr>
        <w:t>labour</w:t>
      </w:r>
      <w:r w:rsidRPr="00D904E3">
        <w:rPr>
          <w:rFonts w:ascii="Arial" w:eastAsia="Times New Roman" w:hAnsi="Arial"/>
          <w:iCs/>
          <w:sz w:val="20"/>
          <w:szCs w:val="20"/>
          <w:lang w:val="en-GB"/>
        </w:rPr>
        <w:t xml:space="preserve"> force by the same value of 1.5 p. p, as well as an increase in the unemployment rate of 1.1 p. p. compared to the third quarter of 2023.</w:t>
      </w:r>
    </w:p>
    <w:p w:rsidR="007B112C" w:rsidRPr="00D904E3" w:rsidRDefault="00D904E3" w:rsidP="007B112C">
      <w:pPr>
        <w:pStyle w:val="NormalWeb"/>
        <w:spacing w:beforeLines="0" w:before="60" w:afterLines="0" w:after="60" w:line="288" w:lineRule="auto"/>
        <w:jc w:val="both"/>
        <w:rPr>
          <w:rFonts w:ascii="Arial" w:eastAsia="Times New Roman" w:hAnsi="Arial" w:cs="Arial"/>
          <w:lang w:val="en-GB"/>
        </w:rPr>
      </w:pPr>
      <w:r w:rsidRPr="00D904E3">
        <w:rPr>
          <w:rFonts w:ascii="Arial" w:eastAsia="Times New Roman" w:hAnsi="Arial" w:cs="Arial"/>
          <w:lang w:val="en-GB"/>
        </w:rPr>
        <w:t>The so-called NEET rate, which represents the share of young people aged 15-24 who neither work nor are in the process of education or training in the total population of young people (15‒24), recorded an increase of 0.9</w:t>
      </w:r>
      <w:r w:rsidR="00566CD5">
        <w:rPr>
          <w:rFonts w:ascii="Arial" w:eastAsia="Times New Roman" w:hAnsi="Arial" w:cs="Arial"/>
          <w:lang w:val="en-GB"/>
        </w:rPr>
        <w:t xml:space="preserve"> </w:t>
      </w:r>
      <w:r w:rsidRPr="00D904E3">
        <w:rPr>
          <w:rFonts w:ascii="Arial" w:eastAsia="Times New Roman" w:hAnsi="Arial" w:cs="Arial"/>
          <w:lang w:val="en-GB"/>
        </w:rPr>
        <w:t xml:space="preserve">p.p. in the </w:t>
      </w:r>
      <w:r>
        <w:rPr>
          <w:rFonts w:ascii="Arial" w:eastAsia="Times New Roman" w:hAnsi="Arial" w:cs="Arial"/>
          <w:lang w:val="en-GB"/>
        </w:rPr>
        <w:t xml:space="preserve">quarter to </w:t>
      </w:r>
      <w:r w:rsidRPr="00D904E3">
        <w:rPr>
          <w:rFonts w:ascii="Arial" w:eastAsia="Times New Roman" w:hAnsi="Arial" w:cs="Arial"/>
          <w:lang w:val="en-GB"/>
        </w:rPr>
        <w:t xml:space="preserve">quarter period. </w:t>
      </w:r>
    </w:p>
    <w:p w:rsidR="00BC2072" w:rsidRPr="00D904E3" w:rsidRDefault="00BC2072" w:rsidP="003244FE">
      <w:pPr>
        <w:spacing w:before="120" w:after="120" w:line="310" w:lineRule="auto"/>
        <w:ind w:firstLine="403"/>
        <w:jc w:val="both"/>
        <w:rPr>
          <w:rFonts w:cs="Arial"/>
        </w:rPr>
      </w:pPr>
    </w:p>
    <w:p w:rsidR="00BC2072" w:rsidRPr="00D904E3" w:rsidRDefault="00BC2072" w:rsidP="003244FE">
      <w:pPr>
        <w:spacing w:before="120" w:after="120" w:line="310" w:lineRule="auto"/>
        <w:ind w:firstLine="403"/>
        <w:jc w:val="both"/>
        <w:rPr>
          <w:rFonts w:cs="Arial"/>
        </w:rPr>
      </w:pPr>
    </w:p>
    <w:p w:rsidR="00BC2072" w:rsidRPr="00D904E3" w:rsidRDefault="00BC2072" w:rsidP="003244FE">
      <w:pPr>
        <w:spacing w:before="120" w:after="120" w:line="310" w:lineRule="auto"/>
        <w:ind w:firstLine="403"/>
        <w:jc w:val="both"/>
        <w:rPr>
          <w:rFonts w:cs="Arial"/>
        </w:rPr>
      </w:pPr>
      <w:bookmarkStart w:id="0" w:name="_GoBack"/>
      <w:bookmarkEnd w:id="0"/>
    </w:p>
    <w:p w:rsidR="00BC2072" w:rsidRPr="00D904E3" w:rsidRDefault="00BC2072" w:rsidP="003244FE">
      <w:pPr>
        <w:spacing w:before="120" w:after="120" w:line="310" w:lineRule="auto"/>
        <w:ind w:firstLine="403"/>
        <w:jc w:val="both"/>
        <w:rPr>
          <w:rFonts w:cs="Arial"/>
        </w:rPr>
      </w:pPr>
    </w:p>
    <w:p w:rsidR="00BC2072" w:rsidRPr="00D904E3" w:rsidRDefault="00290EAE" w:rsidP="00566CD5">
      <w:pPr>
        <w:spacing w:before="120" w:after="120" w:line="310" w:lineRule="auto"/>
        <w:jc w:val="both"/>
        <w:rPr>
          <w:rFonts w:cs="Arial"/>
        </w:rPr>
      </w:pPr>
      <w:r>
        <w:pict>
          <v:shape id="Round Diagonal Corner Rectangle 3" o:spid="_x0000_s1028" style="width:509.25pt;height:679.5pt;visibility:visible;mso-wrap-style:square;mso-left-percent:-10001;mso-top-percent:-10001;mso-position-horizontal:absolute;mso-position-horizontal-relative:char;mso-position-vertical:absolute;mso-position-vertical-relative:line;mso-left-percent:-10001;mso-top-percent:-10001;v-text-anchor:middle" coordsize="6467475,8629650" o:spt="100" adj="-11796480,,5400" path="m1077934,l6467475,r,l6467475,7551716v,595327,-482607,1077934,-1077934,1077934l,8629650r,l,1077934c,482607,482607,,1077934,xe" fillcolor="#f2f2f2" strokecolor="#2f5597" strokeweight=".5pt">
            <v:stroke joinstyle="miter"/>
            <v:formulas/>
            <v:path arrowok="t" o:connecttype="custom" o:connectlocs="1077934,0;6467475,0;6467475,0;6467475,7551716;5389541,8629650;0,8629650;0,8629650;0,1077934;1077934,0" o:connectangles="0,0,0,0,0,0,0,0,0" textboxrect="0,0,6467475,8629650"/>
            <v:textbox>
              <w:txbxContent>
                <w:p w:rsidR="00BC2072" w:rsidRDefault="00BC2072" w:rsidP="00566CD5">
                  <w:pPr>
                    <w:spacing w:before="80" w:after="80"/>
                    <w:jc w:val="center"/>
                    <w:rPr>
                      <w:rFonts w:cstheme="minorHAnsi"/>
                      <w:lang w:val="sr-Latn-RS"/>
                    </w:rPr>
                  </w:pPr>
                  <w:bookmarkStart w:id="1" w:name="_Hlk135996922"/>
                  <w:bookmarkStart w:id="2" w:name="_Hlk135996923"/>
                  <w:r w:rsidRPr="00BC2072">
                    <w:rPr>
                      <w:rFonts w:cstheme="minorHAnsi"/>
                      <w:lang w:val="sr-Latn-RS"/>
                    </w:rPr>
                    <w:t>Grades</w:t>
                  </w:r>
                  <w:r w:rsidRPr="00BC2072">
                    <w:rPr>
                      <w:rFonts w:cstheme="minorHAnsi"/>
                      <w:vertAlign w:val="superscript"/>
                      <w:lang w:val="sr-Latn-RS"/>
                    </w:rPr>
                    <w:t>1</w:t>
                  </w:r>
                  <w:r w:rsidRPr="00BC2072">
                    <w:rPr>
                      <w:rFonts w:cstheme="minorHAnsi"/>
                      <w:lang w:val="sr-Latn-RS"/>
                    </w:rPr>
                    <w:t xml:space="preserve"> are calculated from the first quarter of 2023 on the basis of demographic estimates for 2022 according to the final data from 2022 Census of Population, Households and Dwellings. Demographic estimates based on 2011 Census were used to calculate the grades as of the fourth quarter of 2022.</w:t>
                  </w:r>
                </w:p>
                <w:p w:rsidR="00BC2072" w:rsidRDefault="00BC2072" w:rsidP="00BC2072">
                  <w:pPr>
                    <w:spacing w:before="80" w:after="80"/>
                    <w:jc w:val="both"/>
                    <w:rPr>
                      <w:rFonts w:cstheme="minorHAnsi"/>
                    </w:rPr>
                  </w:pPr>
                  <w:r w:rsidRPr="00BC2072">
                    <w:rPr>
                      <w:rFonts w:cstheme="minorHAnsi"/>
                    </w:rPr>
                    <w:t xml:space="preserve">Due to the application of weights based on the most recent demographic indicators, the data from this </w:t>
                  </w:r>
                  <w:r>
                    <w:rPr>
                      <w:rFonts w:cstheme="minorHAnsi"/>
                    </w:rPr>
                    <w:t>statistical release</w:t>
                  </w:r>
                  <w:r w:rsidRPr="00BC2072">
                    <w:rPr>
                      <w:rFonts w:cstheme="minorHAnsi"/>
                    </w:rPr>
                    <w:t xml:space="preserve"> are not comparable to previous data published in the same </w:t>
                  </w:r>
                  <w:r>
                    <w:rPr>
                      <w:rFonts w:cstheme="minorHAnsi"/>
                    </w:rPr>
                    <w:t>releases</w:t>
                  </w:r>
                  <w:r w:rsidRPr="00BC2072">
                    <w:rPr>
                      <w:rFonts w:cstheme="minorHAnsi"/>
                    </w:rPr>
                    <w:t xml:space="preserve"> before 2023.</w:t>
                  </w:r>
                </w:p>
                <w:p w:rsidR="00BC2072" w:rsidRDefault="00BC2072" w:rsidP="00BC2072">
                  <w:pPr>
                    <w:spacing w:before="80" w:after="80"/>
                    <w:jc w:val="both"/>
                    <w:rPr>
                      <w:rFonts w:cstheme="minorHAnsi"/>
                    </w:rPr>
                  </w:pPr>
                  <w:r w:rsidRPr="00BC2072">
                    <w:rPr>
                      <w:rFonts w:cstheme="minorHAnsi"/>
                    </w:rPr>
                    <w:t xml:space="preserve">In order to ensure comparability, the data from 2021 and 2022 have been revised, based on a revision of demographic estimates </w:t>
                  </w:r>
                  <w:r>
                    <w:rPr>
                      <w:rFonts w:cstheme="minorHAnsi"/>
                    </w:rPr>
                    <w:t>according to</w:t>
                  </w:r>
                  <w:r w:rsidRPr="00BC2072">
                    <w:rPr>
                      <w:rFonts w:cstheme="minorHAnsi"/>
                    </w:rPr>
                    <w:t xml:space="preserve"> the final results of 2022 Census.</w:t>
                  </w:r>
                </w:p>
                <w:p w:rsidR="00BC2072" w:rsidRPr="00BC2072" w:rsidRDefault="00BC2072" w:rsidP="00BC2072">
                  <w:pPr>
                    <w:spacing w:before="80" w:after="80"/>
                    <w:jc w:val="both"/>
                    <w:rPr>
                      <w:rFonts w:cstheme="minorHAnsi"/>
                      <w:b/>
                    </w:rPr>
                  </w:pPr>
                  <w:r w:rsidRPr="00BC2072">
                    <w:rPr>
                      <w:rFonts w:cstheme="minorHAnsi"/>
                      <w:b/>
                    </w:rPr>
                    <w:t>This release compares data for the fourth quarter of 2023 with revised data from the fourth quarter of 2022 and data for the third quarter of 2023.</w:t>
                  </w:r>
                </w:p>
                <w:p w:rsidR="00BC2072" w:rsidRDefault="00BC2072" w:rsidP="00BC2072">
                  <w:pPr>
                    <w:spacing w:before="80" w:after="80"/>
                    <w:jc w:val="both"/>
                    <w:rPr>
                      <w:rFonts w:cstheme="minorHAnsi"/>
                      <w:b/>
                    </w:rPr>
                  </w:pPr>
                  <w:r w:rsidRPr="00BC2072">
                    <w:rPr>
                      <w:rFonts w:cstheme="minorHAnsi"/>
                      <w:b/>
                    </w:rPr>
                    <w:t>Revised data from 2021 have been updated in the database on the RZS website.</w:t>
                  </w:r>
                </w:p>
                <w:bookmarkEnd w:id="1"/>
                <w:bookmarkEnd w:id="2"/>
                <w:p w:rsidR="002E64EA" w:rsidRDefault="002E64EA" w:rsidP="00BC2072">
                  <w:pPr>
                    <w:spacing w:before="80" w:after="80"/>
                    <w:jc w:val="both"/>
                    <w:rPr>
                      <w:rFonts w:cstheme="minorHAnsi"/>
                    </w:rPr>
                  </w:pPr>
                  <w:r w:rsidRPr="002E64EA">
                    <w:rPr>
                      <w:rFonts w:cstheme="minorHAnsi"/>
                    </w:rPr>
                    <w:t>The post-census revision is carried out in accordance with the General Revision Policy of the RSO, which is fully aligned with the guidelines from the Manual on Revision Policy in the European Statistical System (</w:t>
                  </w:r>
                  <w:r w:rsidRPr="002E64EA">
                    <w:rPr>
                      <w:rFonts w:cstheme="minorHAnsi"/>
                      <w:i/>
                    </w:rPr>
                    <w:t>ESS Guidelines on Revision Policy</w:t>
                  </w:r>
                  <w:r w:rsidRPr="002E64EA">
                    <w:rPr>
                      <w:rFonts w:cstheme="minorHAnsi"/>
                    </w:rPr>
                    <w:t>), which was adopted by the Committee of the European Statistical System (</w:t>
                  </w:r>
                  <w:r w:rsidRPr="002E64EA">
                    <w:rPr>
                      <w:rFonts w:cstheme="minorHAnsi"/>
                      <w:i/>
                    </w:rPr>
                    <w:t>European Statistical System Committee</w:t>
                  </w:r>
                  <w:r w:rsidRPr="002E64EA">
                    <w:rPr>
                      <w:rFonts w:cstheme="minorHAnsi"/>
                    </w:rPr>
                    <w:t>).</w:t>
                  </w:r>
                </w:p>
                <w:p w:rsidR="002E64EA" w:rsidRDefault="002E64EA" w:rsidP="00BC2072">
                  <w:pPr>
                    <w:spacing w:before="80" w:after="80"/>
                    <w:jc w:val="both"/>
                    <w:rPr>
                      <w:rFonts w:cstheme="minorHAnsi"/>
                    </w:rPr>
                  </w:pPr>
                  <w:r w:rsidRPr="002E64EA">
                    <w:rPr>
                      <w:rFonts w:cstheme="minorHAnsi"/>
                    </w:rPr>
                    <w:t>The aim of the post-census revision of ARS data is to ensure comparability without breaking the time series.</w:t>
                  </w:r>
                </w:p>
                <w:p w:rsidR="002E64EA" w:rsidRPr="002E64EA" w:rsidRDefault="002E64EA" w:rsidP="00BC2072">
                  <w:pPr>
                    <w:spacing w:before="480" w:after="120"/>
                    <w:jc w:val="both"/>
                    <w:rPr>
                      <w:rFonts w:cstheme="minorHAnsi"/>
                      <w:b/>
                    </w:rPr>
                  </w:pPr>
                  <w:r w:rsidRPr="002E64EA">
                    <w:rPr>
                      <w:rFonts w:cstheme="minorHAnsi"/>
                      <w:b/>
                      <w:color w:val="2B71AC"/>
                    </w:rPr>
                    <w:t xml:space="preserve">Graph: </w:t>
                  </w:r>
                  <w:r w:rsidRPr="002E64EA">
                    <w:rPr>
                      <w:rFonts w:cstheme="minorHAnsi"/>
                      <w:b/>
                    </w:rPr>
                    <w:t xml:space="preserve">Comparative overview of the most important </w:t>
                  </w:r>
                  <w:r>
                    <w:rPr>
                      <w:rFonts w:cstheme="minorHAnsi"/>
                      <w:b/>
                    </w:rPr>
                    <w:t xml:space="preserve">LFS </w:t>
                  </w:r>
                  <w:r w:rsidRPr="002E64EA">
                    <w:rPr>
                      <w:rFonts w:cstheme="minorHAnsi"/>
                      <w:b/>
                    </w:rPr>
                    <w:t xml:space="preserve">indicators (employment, unemployment and population outside </w:t>
                  </w:r>
                  <w:r>
                    <w:rPr>
                      <w:rFonts w:cstheme="minorHAnsi"/>
                      <w:b/>
                    </w:rPr>
                    <w:t xml:space="preserve">of </w:t>
                  </w:r>
                  <w:r w:rsidRPr="002E64EA">
                    <w:rPr>
                      <w:rFonts w:cstheme="minorHAnsi"/>
                      <w:b/>
                    </w:rPr>
                    <w:t>the labo</w:t>
                  </w:r>
                  <w:r>
                    <w:rPr>
                      <w:rFonts w:cstheme="minorHAnsi"/>
                      <w:b/>
                    </w:rPr>
                    <w:t>u</w:t>
                  </w:r>
                  <w:r w:rsidRPr="002E64EA">
                    <w:rPr>
                      <w:rFonts w:cstheme="minorHAnsi"/>
                      <w:b/>
                    </w:rPr>
                    <w:t>r force) for 2022 before (previous data) and after (revised data) the application of new weights</w:t>
                  </w:r>
                </w:p>
                <w:p w:rsidR="00BC2072" w:rsidRPr="00E7668E" w:rsidRDefault="00BC2072" w:rsidP="00BC2072">
                  <w:pPr>
                    <w:jc w:val="center"/>
                    <w:rPr>
                      <w:rFonts w:cstheme="minorHAnsi"/>
                    </w:rPr>
                  </w:pPr>
                  <w:r w:rsidRPr="00E7668E">
                    <w:rPr>
                      <w:noProof/>
                      <w:lang w:val="en-US"/>
                    </w:rPr>
                    <w:drawing>
                      <wp:inline distT="0" distB="0" distL="0" distR="0" wp14:anchorId="038DC233" wp14:editId="705FD00D">
                        <wp:extent cx="5144770" cy="2279176"/>
                        <wp:effectExtent l="0" t="0" r="17780" b="6985"/>
                        <wp:docPr id="2" name="Chart 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64EA" w:rsidRPr="002E64EA" w:rsidRDefault="002E64EA" w:rsidP="002E64EA">
                  <w:pPr>
                    <w:spacing w:before="240" w:after="80"/>
                    <w:jc w:val="both"/>
                    <w:rPr>
                      <w:rFonts w:cstheme="minorHAnsi"/>
                    </w:rPr>
                  </w:pPr>
                  <w:r w:rsidRPr="002E64EA">
                    <w:rPr>
                      <w:rFonts w:cstheme="minorHAnsi"/>
                    </w:rPr>
                    <w:t>Explanation of terms:</w:t>
                  </w:r>
                </w:p>
                <w:p w:rsidR="002E64EA" w:rsidRPr="002E64EA" w:rsidRDefault="002E64EA" w:rsidP="002E64EA">
                  <w:pPr>
                    <w:spacing w:before="240" w:after="80"/>
                    <w:jc w:val="both"/>
                    <w:rPr>
                      <w:rFonts w:cstheme="minorHAnsi"/>
                    </w:rPr>
                  </w:pPr>
                  <w:r w:rsidRPr="002E64EA">
                    <w:rPr>
                      <w:rFonts w:cstheme="minorHAnsi"/>
                    </w:rPr>
                    <w:t>Previous data - data based on a weighting system that implied the use of demographic estimates based on 2011 Census.</w:t>
                  </w:r>
                </w:p>
                <w:p w:rsidR="002E64EA" w:rsidRDefault="002E64EA" w:rsidP="002E64EA">
                  <w:pPr>
                    <w:spacing w:before="240" w:after="80"/>
                    <w:jc w:val="both"/>
                    <w:rPr>
                      <w:rFonts w:cstheme="minorHAnsi"/>
                    </w:rPr>
                  </w:pPr>
                  <w:r w:rsidRPr="002E64EA">
                    <w:rPr>
                      <w:rFonts w:cstheme="minorHAnsi"/>
                    </w:rPr>
                    <w:t>Revised data – data based on a weighting system that implies the use of demographic estimates based on 2022 Census.</w:t>
                  </w:r>
                </w:p>
                <w:p w:rsidR="00151B31" w:rsidRPr="00290EAE" w:rsidRDefault="00151B31" w:rsidP="00290EAE">
                  <w:pPr>
                    <w:spacing w:before="480"/>
                    <w:jc w:val="both"/>
                    <w:rPr>
                      <w:rFonts w:cstheme="minorHAnsi"/>
                      <w:sz w:val="16"/>
                      <w:szCs w:val="16"/>
                    </w:rPr>
                  </w:pPr>
                  <w:r w:rsidRPr="00290EAE">
                    <w:rPr>
                      <w:rFonts w:cstheme="minorHAnsi"/>
                      <w:sz w:val="16"/>
                      <w:szCs w:val="16"/>
                      <w:vertAlign w:val="superscript"/>
                    </w:rPr>
                    <w:t xml:space="preserve">1 </w:t>
                  </w:r>
                  <w:r w:rsidRPr="00290EAE">
                    <w:rPr>
                      <w:rFonts w:cstheme="minorHAnsi"/>
                      <w:sz w:val="16"/>
                      <w:szCs w:val="16"/>
                    </w:rPr>
                    <w:t>Ratings were calculated using the weights obtained by the calibration procedure.</w:t>
                  </w:r>
                </w:p>
                <w:p w:rsidR="00151B31" w:rsidRPr="00290EAE" w:rsidRDefault="00151B31" w:rsidP="00290EAE">
                  <w:pPr>
                    <w:spacing w:before="120"/>
                    <w:jc w:val="both"/>
                    <w:rPr>
                      <w:rFonts w:cstheme="minorHAnsi"/>
                      <w:sz w:val="16"/>
                      <w:szCs w:val="16"/>
                    </w:rPr>
                  </w:pPr>
                  <w:r w:rsidRPr="00290EAE">
                    <w:rPr>
                      <w:rFonts w:cstheme="minorHAnsi"/>
                      <w:sz w:val="16"/>
                      <w:szCs w:val="16"/>
                      <w:vertAlign w:val="superscript"/>
                    </w:rPr>
                    <w:t xml:space="preserve"> </w:t>
                  </w:r>
                  <w:r w:rsidRPr="00290EAE">
                    <w:rPr>
                      <w:rFonts w:cstheme="minorHAnsi"/>
                      <w:sz w:val="16"/>
                      <w:szCs w:val="16"/>
                    </w:rPr>
                    <w:t xml:space="preserve">  For a more detailed explanation, see:</w:t>
                  </w:r>
                  <w:r w:rsidRPr="00290EAE">
                    <w:rPr>
                      <w:rFonts w:cstheme="minorHAnsi"/>
                      <w:color w:val="2E74B5"/>
                      <w:sz w:val="16"/>
                      <w:szCs w:val="16"/>
                    </w:rPr>
                    <w:t xml:space="preserve"> </w:t>
                  </w:r>
                  <w:hyperlink r:id="rId11" w:history="1">
                    <w:r w:rsidRPr="00290EAE">
                      <w:rPr>
                        <w:rStyle w:val="Hyperlink"/>
                        <w:rFonts w:cstheme="minorHAnsi"/>
                        <w:color w:val="2E74B5"/>
                        <w:sz w:val="16"/>
                        <w:szCs w:val="16"/>
                      </w:rPr>
                      <w:t>https://publikacije.stat.gov.rs/G2017/Pdf/G20177069.pdf</w:t>
                    </w:r>
                  </w:hyperlink>
                </w:p>
              </w:txbxContent>
            </v:textbox>
            <w10:wrap type="none"/>
            <w10:anchorlock/>
          </v:shape>
        </w:pict>
      </w:r>
    </w:p>
    <w:p w:rsidR="00AD5140" w:rsidRPr="00D904E3" w:rsidRDefault="00AD5140" w:rsidP="003244FE">
      <w:pPr>
        <w:spacing w:before="480" w:after="240" w:line="310" w:lineRule="auto"/>
        <w:rPr>
          <w:rStyle w:val="IntenseEmphasis1"/>
          <w:i w:val="0"/>
          <w:color w:val="2E74B5"/>
          <w:sz w:val="22"/>
          <w:szCs w:val="22"/>
        </w:rPr>
      </w:pPr>
    </w:p>
    <w:p w:rsidR="00F52262" w:rsidRPr="00D904E3" w:rsidRDefault="00884FE7" w:rsidP="003244FE">
      <w:pPr>
        <w:spacing w:before="480" w:after="240" w:line="310" w:lineRule="auto"/>
        <w:rPr>
          <w:rStyle w:val="IntenseEmphasis1"/>
          <w:rFonts w:cs="Arial"/>
          <w:i w:val="0"/>
          <w:color w:val="2E74B5"/>
        </w:rPr>
      </w:pPr>
      <w:r w:rsidRPr="00D904E3">
        <w:rPr>
          <w:rStyle w:val="IntenseEmphasis1"/>
          <w:i w:val="0"/>
          <w:color w:val="2E74B5"/>
          <w:sz w:val="22"/>
          <w:szCs w:val="22"/>
        </w:rPr>
        <w:lastRenderedPageBreak/>
        <w:t xml:space="preserve">Major indicators, </w:t>
      </w:r>
      <w:r w:rsidR="00151B31" w:rsidRPr="00D904E3">
        <w:rPr>
          <w:rStyle w:val="IntenseEmphasis1"/>
          <w:i w:val="0"/>
          <w:color w:val="2E74B5"/>
          <w:sz w:val="22"/>
          <w:szCs w:val="22"/>
        </w:rPr>
        <w:t>fourth</w:t>
      </w:r>
      <w:r w:rsidRPr="00D904E3">
        <w:rPr>
          <w:rStyle w:val="IntenseEmphasis1"/>
          <w:i w:val="0"/>
          <w:color w:val="2E74B5"/>
          <w:sz w:val="22"/>
          <w:szCs w:val="22"/>
        </w:rPr>
        <w:t xml:space="preserve"> quarter 202</w:t>
      </w:r>
      <w:r w:rsidR="00151B31" w:rsidRPr="00D904E3">
        <w:rPr>
          <w:rStyle w:val="IntenseEmphasis1"/>
          <w:i w:val="0"/>
          <w:color w:val="2E74B5"/>
          <w:sz w:val="22"/>
          <w:szCs w:val="22"/>
        </w:rPr>
        <w:t>3</w:t>
      </w:r>
    </w:p>
    <w:p w:rsidR="00F52262" w:rsidRPr="00D904E3" w:rsidRDefault="00884FE7" w:rsidP="00566CD5">
      <w:pPr>
        <w:pStyle w:val="ListParagraph"/>
        <w:spacing w:before="120" w:after="120" w:line="310" w:lineRule="auto"/>
        <w:ind w:left="0"/>
        <w:contextualSpacing w:val="0"/>
        <w:jc w:val="both"/>
        <w:rPr>
          <w:rFonts w:ascii="Arial" w:hAnsi="Arial" w:cs="Arial"/>
          <w:sz w:val="20"/>
          <w:szCs w:val="20"/>
          <w:lang w:val="en-GB"/>
        </w:rPr>
      </w:pPr>
      <w:r w:rsidRPr="00D904E3">
        <w:rPr>
          <w:rFonts w:ascii="Arial" w:eastAsia="Times New Roman" w:hAnsi="Arial" w:cs="Arial"/>
          <w:b/>
          <w:bCs/>
          <w:sz w:val="20"/>
          <w:szCs w:val="20"/>
          <w:lang w:val="en-GB"/>
        </w:rPr>
        <w:t xml:space="preserve">Activity rate </w:t>
      </w:r>
      <w:r w:rsidRPr="00D904E3">
        <w:rPr>
          <w:rFonts w:ascii="Arial" w:eastAsia="Times New Roman" w:hAnsi="Arial" w:cs="Arial"/>
          <w:sz w:val="20"/>
          <w:szCs w:val="20"/>
          <w:lang w:val="en-GB"/>
        </w:rPr>
        <w:t>of people age</w:t>
      </w:r>
      <w:r w:rsidR="00262CE8" w:rsidRPr="00D904E3">
        <w:rPr>
          <w:rFonts w:ascii="Arial" w:eastAsia="Times New Roman" w:hAnsi="Arial" w:cs="Arial"/>
          <w:sz w:val="20"/>
          <w:szCs w:val="20"/>
          <w:lang w:val="en-GB"/>
        </w:rPr>
        <w:t>d</w:t>
      </w:r>
      <w:r w:rsidRPr="00D904E3">
        <w:rPr>
          <w:rFonts w:ascii="Arial" w:eastAsia="Times New Roman" w:hAnsi="Arial" w:cs="Arial"/>
          <w:sz w:val="20"/>
          <w:szCs w:val="20"/>
          <w:lang w:val="en-GB"/>
        </w:rPr>
        <w:t xml:space="preserve"> 15 and over in the </w:t>
      </w:r>
      <w:r w:rsidR="00151B31" w:rsidRPr="00D904E3">
        <w:rPr>
          <w:rFonts w:ascii="Arial" w:eastAsia="Times New Roman" w:hAnsi="Arial" w:cs="Arial"/>
          <w:sz w:val="20"/>
          <w:szCs w:val="20"/>
          <w:lang w:val="en-GB"/>
        </w:rPr>
        <w:t>fourth</w:t>
      </w:r>
      <w:r w:rsidRPr="00D904E3">
        <w:rPr>
          <w:rFonts w:ascii="Arial" w:eastAsia="Times New Roman" w:hAnsi="Arial" w:cs="Arial"/>
          <w:sz w:val="20"/>
          <w:szCs w:val="20"/>
          <w:lang w:val="en-GB"/>
        </w:rPr>
        <w:t xml:space="preserve"> quarter 202</w:t>
      </w:r>
      <w:r w:rsidR="00151B31" w:rsidRPr="00D904E3">
        <w:rPr>
          <w:rFonts w:ascii="Arial" w:eastAsia="Times New Roman" w:hAnsi="Arial" w:cs="Arial"/>
          <w:sz w:val="20"/>
          <w:szCs w:val="20"/>
          <w:lang w:val="en-GB"/>
        </w:rPr>
        <w:t>3</w:t>
      </w:r>
      <w:r w:rsidRPr="00D904E3">
        <w:rPr>
          <w:rFonts w:ascii="Arial" w:eastAsia="Times New Roman" w:hAnsi="Arial" w:cs="Arial"/>
          <w:sz w:val="20"/>
          <w:szCs w:val="20"/>
          <w:lang w:val="en-GB"/>
        </w:rPr>
        <w:t xml:space="preserve"> amounted to 5</w:t>
      </w:r>
      <w:r w:rsidR="00151B31" w:rsidRPr="00D904E3">
        <w:rPr>
          <w:rFonts w:ascii="Arial" w:eastAsia="Times New Roman" w:hAnsi="Arial" w:cs="Arial"/>
          <w:sz w:val="20"/>
          <w:szCs w:val="20"/>
          <w:lang w:val="en-GB"/>
        </w:rPr>
        <w:t>5</w:t>
      </w:r>
      <w:r w:rsidRPr="00D904E3">
        <w:rPr>
          <w:rFonts w:ascii="Arial" w:eastAsia="Times New Roman" w:hAnsi="Arial" w:cs="Arial"/>
          <w:sz w:val="20"/>
          <w:szCs w:val="20"/>
          <w:lang w:val="en-GB"/>
        </w:rPr>
        <w:t>.</w:t>
      </w:r>
      <w:r w:rsidR="00151B31" w:rsidRPr="00D904E3">
        <w:rPr>
          <w:rFonts w:ascii="Arial" w:eastAsia="Times New Roman" w:hAnsi="Arial" w:cs="Arial"/>
          <w:sz w:val="20"/>
          <w:szCs w:val="20"/>
          <w:lang w:val="en-GB"/>
        </w:rPr>
        <w:t>6</w:t>
      </w:r>
      <w:r w:rsidRPr="00D904E3">
        <w:rPr>
          <w:rFonts w:ascii="Arial" w:eastAsia="Times New Roman" w:hAnsi="Arial" w:cs="Arial"/>
          <w:sz w:val="20"/>
          <w:szCs w:val="20"/>
          <w:lang w:val="en-GB"/>
        </w:rPr>
        <w:t>%, the activity rates among men and women being 6</w:t>
      </w:r>
      <w:r w:rsidR="00262CE8" w:rsidRPr="00D904E3">
        <w:rPr>
          <w:rFonts w:ascii="Arial" w:eastAsia="Times New Roman" w:hAnsi="Arial" w:cs="Arial"/>
          <w:sz w:val="20"/>
          <w:szCs w:val="20"/>
          <w:lang w:val="en-GB"/>
        </w:rPr>
        <w:t>2</w:t>
      </w:r>
      <w:r w:rsidRPr="00D904E3">
        <w:rPr>
          <w:rFonts w:ascii="Arial" w:eastAsia="Times New Roman" w:hAnsi="Arial" w:cs="Arial"/>
          <w:sz w:val="20"/>
          <w:szCs w:val="20"/>
          <w:lang w:val="en-GB"/>
        </w:rPr>
        <w:t>.</w:t>
      </w:r>
      <w:r w:rsidR="00151B31" w:rsidRPr="00D904E3">
        <w:rPr>
          <w:rFonts w:ascii="Arial" w:eastAsia="Times New Roman" w:hAnsi="Arial" w:cs="Arial"/>
          <w:sz w:val="20"/>
          <w:szCs w:val="20"/>
          <w:lang w:val="en-GB"/>
        </w:rPr>
        <w:t>5</w:t>
      </w:r>
      <w:r w:rsidRPr="00D904E3">
        <w:rPr>
          <w:rFonts w:ascii="Arial" w:eastAsia="Times New Roman" w:hAnsi="Arial" w:cs="Arial"/>
          <w:sz w:val="20"/>
          <w:szCs w:val="20"/>
          <w:lang w:val="en-GB"/>
        </w:rPr>
        <w:t>% and 4</w:t>
      </w:r>
      <w:r w:rsidR="00151B31" w:rsidRPr="00D904E3">
        <w:rPr>
          <w:rFonts w:ascii="Arial" w:eastAsia="Times New Roman" w:hAnsi="Arial" w:cs="Arial"/>
          <w:sz w:val="20"/>
          <w:szCs w:val="20"/>
          <w:lang w:val="en-GB"/>
        </w:rPr>
        <w:t>9</w:t>
      </w:r>
      <w:r w:rsidRPr="00D904E3">
        <w:rPr>
          <w:rFonts w:ascii="Arial" w:eastAsia="Times New Roman" w:hAnsi="Arial" w:cs="Arial"/>
          <w:sz w:val="20"/>
          <w:szCs w:val="20"/>
          <w:lang w:val="en-GB"/>
        </w:rPr>
        <w:t>.</w:t>
      </w:r>
      <w:r w:rsidR="00151B31" w:rsidRPr="00D904E3">
        <w:rPr>
          <w:rFonts w:ascii="Arial" w:eastAsia="Times New Roman" w:hAnsi="Arial" w:cs="Arial"/>
          <w:sz w:val="20"/>
          <w:szCs w:val="20"/>
          <w:lang w:val="en-GB"/>
        </w:rPr>
        <w:t>1</w:t>
      </w:r>
      <w:r w:rsidRPr="00D904E3">
        <w:rPr>
          <w:rFonts w:ascii="Arial" w:eastAsia="Times New Roman" w:hAnsi="Arial" w:cs="Arial"/>
          <w:sz w:val="20"/>
          <w:szCs w:val="20"/>
          <w:lang w:val="en-GB"/>
        </w:rPr>
        <w:t>%, respectively. The largest activity rate was recorded in Beogradski region (</w:t>
      </w:r>
      <w:r w:rsidR="00151B31" w:rsidRPr="00D904E3">
        <w:rPr>
          <w:rFonts w:ascii="Arial" w:eastAsia="Times New Roman" w:hAnsi="Arial" w:cs="Arial"/>
          <w:sz w:val="20"/>
          <w:szCs w:val="20"/>
          <w:lang w:val="en-GB"/>
        </w:rPr>
        <w:t>60</w:t>
      </w:r>
      <w:r w:rsidRPr="00D904E3">
        <w:rPr>
          <w:rFonts w:ascii="Arial" w:eastAsia="Times New Roman" w:hAnsi="Arial" w:cs="Arial"/>
          <w:sz w:val="20"/>
          <w:szCs w:val="20"/>
          <w:lang w:val="en-GB"/>
        </w:rPr>
        <w:t>.</w:t>
      </w:r>
      <w:r w:rsidR="00151B31" w:rsidRPr="00D904E3">
        <w:rPr>
          <w:rFonts w:ascii="Arial" w:eastAsia="Times New Roman" w:hAnsi="Arial" w:cs="Arial"/>
          <w:sz w:val="20"/>
          <w:szCs w:val="20"/>
          <w:lang w:val="en-GB"/>
        </w:rPr>
        <w:t>1</w:t>
      </w:r>
      <w:r w:rsidRPr="00D904E3">
        <w:rPr>
          <w:rFonts w:ascii="Arial" w:eastAsia="Times New Roman" w:hAnsi="Arial" w:cs="Arial"/>
          <w:sz w:val="20"/>
          <w:szCs w:val="20"/>
          <w:lang w:val="en-GB"/>
        </w:rPr>
        <w:t xml:space="preserve">%), followed by Region </w:t>
      </w:r>
      <w:r w:rsidR="00151B31" w:rsidRPr="00D904E3">
        <w:rPr>
          <w:rFonts w:ascii="Arial" w:eastAsia="Times New Roman" w:hAnsi="Arial" w:cs="Arial"/>
          <w:sz w:val="20"/>
          <w:szCs w:val="20"/>
          <w:lang w:val="en-GB"/>
        </w:rPr>
        <w:t xml:space="preserve">Vojvodine (56.2%), Region </w:t>
      </w:r>
      <w:r w:rsidRPr="00D904E3">
        <w:rPr>
          <w:rFonts w:ascii="Arial" w:eastAsia="Times New Roman" w:hAnsi="Arial" w:cs="Arial"/>
          <w:sz w:val="20"/>
          <w:szCs w:val="20"/>
          <w:lang w:val="en-GB"/>
        </w:rPr>
        <w:t>Sumadije  i Zapadne Srbije</w:t>
      </w:r>
      <w:r w:rsidR="00151B31" w:rsidRPr="00D904E3">
        <w:rPr>
          <w:rFonts w:ascii="Arial" w:eastAsia="Times New Roman" w:hAnsi="Arial" w:cs="Arial"/>
          <w:sz w:val="20"/>
          <w:szCs w:val="20"/>
          <w:lang w:val="en-GB"/>
        </w:rPr>
        <w:t>, 54.2%,</w:t>
      </w:r>
      <w:r w:rsidRPr="00D904E3">
        <w:rPr>
          <w:rFonts w:ascii="Arial" w:eastAsia="Times New Roman" w:hAnsi="Arial" w:cs="Arial"/>
          <w:sz w:val="20"/>
          <w:szCs w:val="20"/>
          <w:lang w:val="en-GB"/>
        </w:rPr>
        <w:t xml:space="preserve"> and </w:t>
      </w:r>
      <w:r w:rsidR="00151B31" w:rsidRPr="00D904E3">
        <w:rPr>
          <w:rFonts w:ascii="Arial" w:eastAsia="Times New Roman" w:hAnsi="Arial" w:cs="Arial"/>
          <w:sz w:val="20"/>
          <w:szCs w:val="20"/>
          <w:lang w:val="en-GB"/>
        </w:rPr>
        <w:t xml:space="preserve">in </w:t>
      </w:r>
      <w:r w:rsidRPr="00D904E3">
        <w:rPr>
          <w:rFonts w:ascii="Arial" w:eastAsia="Times New Roman" w:hAnsi="Arial" w:cs="Arial"/>
          <w:sz w:val="20"/>
          <w:szCs w:val="20"/>
          <w:lang w:val="en-GB"/>
        </w:rPr>
        <w:t xml:space="preserve">Region Juzne i Istocne Srbije  </w:t>
      </w:r>
      <w:r w:rsidR="00151B31" w:rsidRPr="00D904E3">
        <w:rPr>
          <w:rFonts w:ascii="Arial" w:eastAsia="Times New Roman" w:hAnsi="Arial" w:cs="Arial"/>
          <w:sz w:val="20"/>
          <w:szCs w:val="20"/>
          <w:lang w:val="en-GB"/>
        </w:rPr>
        <w:t>51</w:t>
      </w:r>
      <w:r w:rsidRPr="00D904E3">
        <w:rPr>
          <w:rFonts w:ascii="Arial" w:eastAsia="Times New Roman" w:hAnsi="Arial" w:cs="Arial"/>
          <w:sz w:val="20"/>
          <w:szCs w:val="20"/>
          <w:lang w:val="en-GB"/>
        </w:rPr>
        <w:t>.</w:t>
      </w:r>
      <w:r w:rsidR="00151B31" w:rsidRPr="00D904E3">
        <w:rPr>
          <w:rFonts w:ascii="Arial" w:eastAsia="Times New Roman" w:hAnsi="Arial" w:cs="Arial"/>
          <w:sz w:val="20"/>
          <w:szCs w:val="20"/>
          <w:lang w:val="en-GB"/>
        </w:rPr>
        <w:t>2</w:t>
      </w:r>
      <w:r w:rsidRPr="00D904E3">
        <w:rPr>
          <w:rFonts w:ascii="Arial" w:eastAsia="Times New Roman" w:hAnsi="Arial" w:cs="Arial"/>
          <w:sz w:val="20"/>
          <w:szCs w:val="20"/>
          <w:lang w:val="en-GB"/>
        </w:rPr>
        <w:t>%</w:t>
      </w:r>
      <w:r w:rsidRPr="00D904E3">
        <w:rPr>
          <w:rFonts w:ascii="Arial" w:hAnsi="Arial" w:cs="Arial"/>
          <w:sz w:val="20"/>
          <w:szCs w:val="20"/>
          <w:lang w:val="en-GB"/>
        </w:rPr>
        <w:t>.</w:t>
      </w:r>
    </w:p>
    <w:p w:rsidR="00F52262" w:rsidRPr="00D904E3" w:rsidRDefault="00112254" w:rsidP="00566CD5">
      <w:pPr>
        <w:pStyle w:val="ListParagraph"/>
        <w:spacing w:before="120" w:after="120" w:line="288" w:lineRule="auto"/>
        <w:ind w:left="0"/>
        <w:contextualSpacing w:val="0"/>
        <w:jc w:val="both"/>
        <w:rPr>
          <w:rFonts w:ascii="Arial" w:hAnsi="Arial" w:cs="Arial"/>
          <w:sz w:val="20"/>
          <w:szCs w:val="20"/>
          <w:lang w:val="en-GB"/>
        </w:rPr>
      </w:pPr>
      <w:r w:rsidRPr="00D904E3">
        <w:rPr>
          <w:rFonts w:ascii="Arial" w:hAnsi="Arial" w:cs="Arial"/>
          <w:b/>
          <w:bCs/>
          <w:sz w:val="20"/>
          <w:szCs w:val="20"/>
          <w:lang w:val="en-GB"/>
        </w:rPr>
        <w:t>Employment</w:t>
      </w:r>
      <w:r w:rsidR="00884FE7" w:rsidRPr="00D904E3">
        <w:rPr>
          <w:rFonts w:ascii="Arial" w:hAnsi="Arial" w:cs="Arial"/>
          <w:b/>
          <w:bCs/>
          <w:sz w:val="20"/>
          <w:szCs w:val="20"/>
          <w:lang w:val="en-GB"/>
        </w:rPr>
        <w:t xml:space="preserve"> rate </w:t>
      </w:r>
      <w:r w:rsidR="00884FE7" w:rsidRPr="00D904E3">
        <w:rPr>
          <w:rFonts w:ascii="Arial" w:hAnsi="Arial" w:cs="Arial"/>
          <w:sz w:val="20"/>
          <w:szCs w:val="20"/>
          <w:lang w:val="en-GB"/>
        </w:rPr>
        <w:t xml:space="preserve">of people aged 15 and over in the </w:t>
      </w:r>
      <w:r w:rsidR="00151B31" w:rsidRPr="00D904E3">
        <w:rPr>
          <w:rFonts w:ascii="Arial" w:hAnsi="Arial" w:cs="Arial"/>
          <w:sz w:val="20"/>
          <w:szCs w:val="20"/>
          <w:lang w:val="en-GB"/>
        </w:rPr>
        <w:t>fourth</w:t>
      </w:r>
      <w:r w:rsidR="00884FE7" w:rsidRPr="00D904E3">
        <w:rPr>
          <w:rFonts w:ascii="Arial" w:hAnsi="Arial" w:cs="Arial"/>
          <w:sz w:val="20"/>
          <w:szCs w:val="20"/>
          <w:lang w:val="en-GB"/>
        </w:rPr>
        <w:t xml:space="preserve"> quarter amounted to </w:t>
      </w:r>
      <w:r w:rsidR="00151B31" w:rsidRPr="00D904E3">
        <w:rPr>
          <w:rFonts w:ascii="Arial" w:hAnsi="Arial" w:cs="Arial"/>
          <w:sz w:val="20"/>
          <w:szCs w:val="20"/>
          <w:lang w:val="en-GB"/>
        </w:rPr>
        <w:t>50</w:t>
      </w:r>
      <w:r w:rsidR="00884FE7" w:rsidRPr="00D904E3">
        <w:rPr>
          <w:rFonts w:ascii="Arial" w:hAnsi="Arial" w:cs="Arial"/>
          <w:sz w:val="20"/>
          <w:szCs w:val="20"/>
          <w:lang w:val="en-GB"/>
        </w:rPr>
        <w:t>.</w:t>
      </w:r>
      <w:r w:rsidR="00151B31" w:rsidRPr="00D904E3">
        <w:rPr>
          <w:rFonts w:ascii="Arial" w:hAnsi="Arial" w:cs="Arial"/>
          <w:sz w:val="20"/>
          <w:szCs w:val="20"/>
          <w:lang w:val="en-GB"/>
        </w:rPr>
        <w:t>5</w:t>
      </w:r>
      <w:r w:rsidR="00884FE7" w:rsidRPr="00D904E3">
        <w:rPr>
          <w:rFonts w:ascii="Arial" w:hAnsi="Arial" w:cs="Arial"/>
          <w:sz w:val="20"/>
          <w:szCs w:val="20"/>
          <w:lang w:val="en-GB"/>
        </w:rPr>
        <w:t>%, among men 5</w:t>
      </w:r>
      <w:r w:rsidR="00151B31" w:rsidRPr="00D904E3">
        <w:rPr>
          <w:rFonts w:ascii="Arial" w:hAnsi="Arial" w:cs="Arial"/>
          <w:sz w:val="20"/>
          <w:szCs w:val="20"/>
          <w:lang w:val="en-GB"/>
        </w:rPr>
        <w:t>7</w:t>
      </w:r>
      <w:r w:rsidR="00907C09" w:rsidRPr="00D904E3">
        <w:rPr>
          <w:rFonts w:ascii="Arial" w:hAnsi="Arial" w:cs="Arial"/>
          <w:sz w:val="20"/>
          <w:szCs w:val="20"/>
          <w:lang w:val="en-GB"/>
        </w:rPr>
        <w:t>.</w:t>
      </w:r>
      <w:r w:rsidR="00151B31" w:rsidRPr="00D904E3">
        <w:rPr>
          <w:rFonts w:ascii="Arial" w:hAnsi="Arial" w:cs="Arial"/>
          <w:sz w:val="20"/>
          <w:szCs w:val="20"/>
          <w:lang w:val="en-GB"/>
        </w:rPr>
        <w:t>0</w:t>
      </w:r>
      <w:r w:rsidR="00884FE7" w:rsidRPr="00D904E3">
        <w:rPr>
          <w:rFonts w:ascii="Arial" w:hAnsi="Arial" w:cs="Arial"/>
          <w:sz w:val="20"/>
          <w:szCs w:val="20"/>
          <w:lang w:val="en-GB"/>
        </w:rPr>
        <w:t xml:space="preserve">% and women </w:t>
      </w:r>
      <w:r w:rsidR="00907C09" w:rsidRPr="00D904E3">
        <w:rPr>
          <w:rFonts w:ascii="Arial" w:hAnsi="Arial" w:cs="Arial"/>
          <w:sz w:val="20"/>
          <w:szCs w:val="20"/>
          <w:lang w:val="en-GB"/>
        </w:rPr>
        <w:t>4</w:t>
      </w:r>
      <w:r w:rsidR="00151B31" w:rsidRPr="00D904E3">
        <w:rPr>
          <w:rFonts w:ascii="Arial" w:hAnsi="Arial" w:cs="Arial"/>
          <w:sz w:val="20"/>
          <w:szCs w:val="20"/>
          <w:lang w:val="en-GB"/>
        </w:rPr>
        <w:t>4</w:t>
      </w:r>
      <w:r w:rsidR="00884FE7" w:rsidRPr="00D904E3">
        <w:rPr>
          <w:rFonts w:ascii="Arial" w:hAnsi="Arial" w:cs="Arial"/>
          <w:sz w:val="20"/>
          <w:szCs w:val="20"/>
          <w:lang w:val="en-GB"/>
        </w:rPr>
        <w:t>.</w:t>
      </w:r>
      <w:r w:rsidR="00151B31" w:rsidRPr="00D904E3">
        <w:rPr>
          <w:rFonts w:ascii="Arial" w:hAnsi="Arial" w:cs="Arial"/>
          <w:sz w:val="20"/>
          <w:szCs w:val="20"/>
          <w:lang w:val="en-GB"/>
        </w:rPr>
        <w:t>5</w:t>
      </w:r>
      <w:r w:rsidR="00884FE7" w:rsidRPr="00D904E3">
        <w:rPr>
          <w:rFonts w:ascii="Arial" w:hAnsi="Arial" w:cs="Arial"/>
          <w:sz w:val="20"/>
          <w:szCs w:val="20"/>
          <w:lang w:val="en-GB"/>
        </w:rPr>
        <w:t>%. The largest employment rate was noted in Beogradski region (5</w:t>
      </w:r>
      <w:r w:rsidR="00151B31" w:rsidRPr="00D904E3">
        <w:rPr>
          <w:rFonts w:ascii="Arial" w:hAnsi="Arial" w:cs="Arial"/>
          <w:sz w:val="20"/>
          <w:szCs w:val="20"/>
          <w:lang w:val="en-GB"/>
        </w:rPr>
        <w:t>6</w:t>
      </w:r>
      <w:r w:rsidR="00884FE7" w:rsidRPr="00D904E3">
        <w:rPr>
          <w:rFonts w:ascii="Arial" w:hAnsi="Arial" w:cs="Arial"/>
          <w:sz w:val="20"/>
          <w:szCs w:val="20"/>
          <w:lang w:val="en-GB"/>
        </w:rPr>
        <w:t>.</w:t>
      </w:r>
      <w:r w:rsidR="00151B31" w:rsidRPr="00D904E3">
        <w:rPr>
          <w:rFonts w:ascii="Arial" w:hAnsi="Arial" w:cs="Arial"/>
          <w:sz w:val="20"/>
          <w:szCs w:val="20"/>
          <w:lang w:val="en-GB"/>
        </w:rPr>
        <w:t>1</w:t>
      </w:r>
      <w:r w:rsidR="00884FE7" w:rsidRPr="00D904E3">
        <w:rPr>
          <w:rFonts w:ascii="Arial" w:hAnsi="Arial" w:cs="Arial"/>
          <w:sz w:val="20"/>
          <w:szCs w:val="20"/>
          <w:lang w:val="en-GB"/>
        </w:rPr>
        <w:t xml:space="preserve">%), followed by Region </w:t>
      </w:r>
      <w:r w:rsidR="00151B31" w:rsidRPr="00D904E3">
        <w:rPr>
          <w:rFonts w:ascii="Arial" w:hAnsi="Arial" w:cs="Arial"/>
          <w:sz w:val="20"/>
          <w:szCs w:val="20"/>
          <w:lang w:val="en-GB"/>
        </w:rPr>
        <w:t xml:space="preserve">Vojvodine (51.1%), and Region </w:t>
      </w:r>
      <w:r w:rsidR="00884FE7" w:rsidRPr="00D904E3">
        <w:rPr>
          <w:rFonts w:ascii="Arial" w:hAnsi="Arial" w:cs="Arial"/>
          <w:sz w:val="20"/>
          <w:szCs w:val="20"/>
          <w:lang w:val="en-GB"/>
        </w:rPr>
        <w:t xml:space="preserve">Sumadije i Zapadne Srbije </w:t>
      </w:r>
      <w:r w:rsidR="00151B31" w:rsidRPr="00D904E3">
        <w:rPr>
          <w:rFonts w:ascii="Arial" w:hAnsi="Arial" w:cs="Arial"/>
          <w:sz w:val="20"/>
          <w:szCs w:val="20"/>
          <w:lang w:val="en-GB"/>
        </w:rPr>
        <w:t xml:space="preserve">(48.8%). </w:t>
      </w:r>
      <w:r w:rsidR="00884FE7" w:rsidRPr="00D904E3">
        <w:rPr>
          <w:rFonts w:ascii="Arial" w:hAnsi="Arial" w:cs="Arial"/>
          <w:sz w:val="20"/>
          <w:szCs w:val="20"/>
          <w:lang w:val="en-GB"/>
        </w:rPr>
        <w:t xml:space="preserve">Region Juzne i Istocne Srbije had the lowest value </w:t>
      </w:r>
      <w:r w:rsidR="00151B31" w:rsidRPr="00D904E3">
        <w:rPr>
          <w:rFonts w:ascii="Arial" w:hAnsi="Arial" w:cs="Arial"/>
          <w:sz w:val="20"/>
          <w:szCs w:val="20"/>
          <w:lang w:val="en-GB"/>
        </w:rPr>
        <w:t xml:space="preserve">of employment rate </w:t>
      </w:r>
      <w:r w:rsidR="00884FE7" w:rsidRPr="00D904E3">
        <w:rPr>
          <w:rFonts w:ascii="Arial" w:hAnsi="Arial" w:cs="Arial"/>
          <w:sz w:val="20"/>
          <w:szCs w:val="20"/>
          <w:lang w:val="en-GB"/>
        </w:rPr>
        <w:t>(4</w:t>
      </w:r>
      <w:r w:rsidR="00151B31" w:rsidRPr="00D904E3">
        <w:rPr>
          <w:rFonts w:ascii="Arial" w:hAnsi="Arial" w:cs="Arial"/>
          <w:sz w:val="20"/>
          <w:szCs w:val="20"/>
          <w:lang w:val="en-GB"/>
        </w:rPr>
        <w:t>5</w:t>
      </w:r>
      <w:r w:rsidR="00884FE7" w:rsidRPr="00D904E3">
        <w:rPr>
          <w:rFonts w:ascii="Arial" w:hAnsi="Arial" w:cs="Arial"/>
          <w:sz w:val="20"/>
          <w:szCs w:val="20"/>
          <w:lang w:val="en-GB"/>
        </w:rPr>
        <w:t>.</w:t>
      </w:r>
      <w:r w:rsidR="00151B31" w:rsidRPr="00D904E3">
        <w:rPr>
          <w:rFonts w:ascii="Arial" w:hAnsi="Arial" w:cs="Arial"/>
          <w:sz w:val="20"/>
          <w:szCs w:val="20"/>
          <w:lang w:val="en-GB"/>
        </w:rPr>
        <w:t>4</w:t>
      </w:r>
      <w:r w:rsidR="00884FE7" w:rsidRPr="00D904E3">
        <w:rPr>
          <w:rFonts w:ascii="Arial" w:hAnsi="Arial" w:cs="Arial"/>
          <w:sz w:val="20"/>
          <w:szCs w:val="20"/>
          <w:lang w:val="en-GB"/>
        </w:rPr>
        <w:t>%).</w:t>
      </w:r>
    </w:p>
    <w:p w:rsidR="00F52262" w:rsidRPr="00D904E3" w:rsidRDefault="00884FE7" w:rsidP="00566CD5">
      <w:pPr>
        <w:pStyle w:val="ListParagraph"/>
        <w:spacing w:before="120" w:after="120" w:line="288" w:lineRule="auto"/>
        <w:ind w:left="0"/>
        <w:contextualSpacing w:val="0"/>
        <w:jc w:val="both"/>
        <w:rPr>
          <w:rFonts w:ascii="Arial" w:hAnsi="Arial" w:cs="Arial"/>
          <w:sz w:val="20"/>
          <w:szCs w:val="20"/>
          <w:lang w:val="en-GB"/>
        </w:rPr>
      </w:pPr>
      <w:r w:rsidRPr="00D904E3">
        <w:rPr>
          <w:rFonts w:ascii="Arial" w:hAnsi="Arial" w:cs="Arial"/>
          <w:b/>
          <w:bCs/>
          <w:sz w:val="20"/>
          <w:szCs w:val="20"/>
          <w:lang w:val="en-GB"/>
        </w:rPr>
        <w:t xml:space="preserve">Informal employment rate </w:t>
      </w:r>
      <w:r w:rsidRPr="00D904E3">
        <w:rPr>
          <w:rFonts w:ascii="Arial" w:hAnsi="Arial" w:cs="Arial"/>
          <w:sz w:val="20"/>
          <w:szCs w:val="20"/>
          <w:lang w:val="en-GB"/>
        </w:rPr>
        <w:t>in the mentioned quarter in all activities amounted to 1</w:t>
      </w:r>
      <w:r w:rsidR="00C87D0F" w:rsidRPr="00D904E3">
        <w:rPr>
          <w:rFonts w:ascii="Arial" w:hAnsi="Arial" w:cs="Arial"/>
          <w:sz w:val="20"/>
          <w:szCs w:val="20"/>
          <w:lang w:val="en-GB"/>
        </w:rPr>
        <w:t>2</w:t>
      </w:r>
      <w:r w:rsidRPr="00D904E3">
        <w:rPr>
          <w:rFonts w:ascii="Arial" w:hAnsi="Arial" w:cs="Arial"/>
          <w:sz w:val="20"/>
          <w:szCs w:val="20"/>
          <w:lang w:val="en-GB"/>
        </w:rPr>
        <w:t>.</w:t>
      </w:r>
      <w:r w:rsidR="00C87D0F" w:rsidRPr="00D904E3">
        <w:rPr>
          <w:rFonts w:ascii="Arial" w:hAnsi="Arial" w:cs="Arial"/>
          <w:sz w:val="20"/>
          <w:szCs w:val="20"/>
          <w:lang w:val="en-GB"/>
        </w:rPr>
        <w:t>5</w:t>
      </w:r>
      <w:r w:rsidRPr="00D904E3">
        <w:rPr>
          <w:rFonts w:ascii="Arial" w:hAnsi="Arial" w:cs="Arial"/>
          <w:sz w:val="20"/>
          <w:szCs w:val="20"/>
          <w:lang w:val="en-GB"/>
        </w:rPr>
        <w:t xml:space="preserve">%. The informal employment rate in agricultural activities amounted to </w:t>
      </w:r>
      <w:r w:rsidR="00907C09" w:rsidRPr="00D904E3">
        <w:rPr>
          <w:rFonts w:ascii="Arial" w:hAnsi="Arial" w:cs="Arial"/>
          <w:sz w:val="20"/>
          <w:szCs w:val="20"/>
          <w:lang w:val="en-GB"/>
        </w:rPr>
        <w:t>5</w:t>
      </w:r>
      <w:r w:rsidR="00C87D0F" w:rsidRPr="00D904E3">
        <w:rPr>
          <w:rFonts w:ascii="Arial" w:hAnsi="Arial" w:cs="Arial"/>
          <w:sz w:val="20"/>
          <w:szCs w:val="20"/>
          <w:lang w:val="en-GB"/>
        </w:rPr>
        <w:t>0</w:t>
      </w:r>
      <w:r w:rsidRPr="00D904E3">
        <w:rPr>
          <w:rFonts w:ascii="Arial" w:hAnsi="Arial" w:cs="Arial"/>
          <w:sz w:val="20"/>
          <w:szCs w:val="20"/>
          <w:lang w:val="en-GB"/>
        </w:rPr>
        <w:t>.</w:t>
      </w:r>
      <w:r w:rsidR="00C87D0F" w:rsidRPr="00D904E3">
        <w:rPr>
          <w:rFonts w:ascii="Arial" w:hAnsi="Arial" w:cs="Arial"/>
          <w:sz w:val="20"/>
          <w:szCs w:val="20"/>
          <w:lang w:val="en-GB"/>
        </w:rPr>
        <w:t>3</w:t>
      </w:r>
      <w:r w:rsidRPr="00D904E3">
        <w:rPr>
          <w:rFonts w:ascii="Arial" w:hAnsi="Arial" w:cs="Arial"/>
          <w:sz w:val="20"/>
          <w:szCs w:val="20"/>
          <w:lang w:val="en-GB"/>
        </w:rPr>
        <w:t xml:space="preserve">%, while in activities outside agriculture this rate amounted to </w:t>
      </w:r>
      <w:r w:rsidR="00907C09" w:rsidRPr="00D904E3">
        <w:rPr>
          <w:rFonts w:ascii="Arial" w:hAnsi="Arial" w:cs="Arial"/>
          <w:sz w:val="20"/>
          <w:szCs w:val="20"/>
          <w:lang w:val="en-GB"/>
        </w:rPr>
        <w:t>6</w:t>
      </w:r>
      <w:r w:rsidRPr="00D904E3">
        <w:rPr>
          <w:rFonts w:ascii="Arial" w:hAnsi="Arial" w:cs="Arial"/>
          <w:sz w:val="20"/>
          <w:szCs w:val="20"/>
          <w:lang w:val="en-GB"/>
        </w:rPr>
        <w:t>.</w:t>
      </w:r>
      <w:r w:rsidR="00C87D0F" w:rsidRPr="00D904E3">
        <w:rPr>
          <w:rFonts w:ascii="Arial" w:hAnsi="Arial" w:cs="Arial"/>
          <w:sz w:val="20"/>
          <w:szCs w:val="20"/>
          <w:lang w:val="en-GB"/>
        </w:rPr>
        <w:t>8</w:t>
      </w:r>
      <w:r w:rsidRPr="00D904E3">
        <w:rPr>
          <w:rFonts w:ascii="Arial" w:hAnsi="Arial" w:cs="Arial"/>
          <w:sz w:val="20"/>
          <w:szCs w:val="20"/>
          <w:lang w:val="en-GB"/>
        </w:rPr>
        <w:t>%.</w:t>
      </w:r>
    </w:p>
    <w:p w:rsidR="00F52262" w:rsidRPr="00D904E3" w:rsidRDefault="00884FE7" w:rsidP="00566CD5">
      <w:pPr>
        <w:pStyle w:val="ListParagraph"/>
        <w:spacing w:before="120" w:after="120" w:line="288" w:lineRule="auto"/>
        <w:ind w:left="0"/>
        <w:contextualSpacing w:val="0"/>
        <w:jc w:val="both"/>
        <w:rPr>
          <w:rFonts w:ascii="Arial" w:hAnsi="Arial" w:cs="Arial"/>
          <w:sz w:val="20"/>
          <w:szCs w:val="20"/>
          <w:lang w:val="en-GB"/>
        </w:rPr>
      </w:pPr>
      <w:r w:rsidRPr="00D904E3">
        <w:rPr>
          <w:rFonts w:ascii="Arial" w:hAnsi="Arial" w:cs="Arial"/>
          <w:b/>
          <w:bCs/>
          <w:sz w:val="20"/>
          <w:szCs w:val="20"/>
          <w:lang w:val="en-GB"/>
        </w:rPr>
        <w:t xml:space="preserve">Unemployment rate </w:t>
      </w:r>
      <w:r w:rsidRPr="00D904E3">
        <w:rPr>
          <w:rFonts w:ascii="Arial" w:hAnsi="Arial" w:cs="Arial"/>
          <w:sz w:val="20"/>
          <w:szCs w:val="20"/>
          <w:lang w:val="en-GB"/>
        </w:rPr>
        <w:t xml:space="preserve">of people aged 15 and over amounted to </w:t>
      </w:r>
      <w:r w:rsidR="00C87D0F" w:rsidRPr="00D904E3">
        <w:rPr>
          <w:rFonts w:ascii="Arial" w:hAnsi="Arial" w:cs="Arial"/>
          <w:sz w:val="20"/>
          <w:szCs w:val="20"/>
          <w:lang w:val="en-GB"/>
        </w:rPr>
        <w:t>9</w:t>
      </w:r>
      <w:r w:rsidRPr="00D904E3">
        <w:rPr>
          <w:rFonts w:ascii="Arial" w:hAnsi="Arial" w:cs="Arial"/>
          <w:sz w:val="20"/>
          <w:szCs w:val="20"/>
          <w:lang w:val="en-GB"/>
        </w:rPr>
        <w:t>.</w:t>
      </w:r>
      <w:r w:rsidR="00907C09" w:rsidRPr="00D904E3">
        <w:rPr>
          <w:rFonts w:ascii="Arial" w:hAnsi="Arial" w:cs="Arial"/>
          <w:sz w:val="20"/>
          <w:szCs w:val="20"/>
          <w:lang w:val="en-GB"/>
        </w:rPr>
        <w:t>1</w:t>
      </w:r>
      <w:r w:rsidRPr="00D904E3">
        <w:rPr>
          <w:rFonts w:ascii="Arial" w:hAnsi="Arial" w:cs="Arial"/>
          <w:sz w:val="20"/>
          <w:szCs w:val="20"/>
          <w:lang w:val="en-GB"/>
        </w:rPr>
        <w:t xml:space="preserve">%, </w:t>
      </w:r>
      <w:r w:rsidR="00C87D0F" w:rsidRPr="00D904E3">
        <w:rPr>
          <w:rFonts w:ascii="Arial" w:hAnsi="Arial" w:cs="Arial"/>
          <w:sz w:val="20"/>
          <w:szCs w:val="20"/>
          <w:lang w:val="en-GB"/>
        </w:rPr>
        <w:t>8</w:t>
      </w:r>
      <w:r w:rsidRPr="00D904E3">
        <w:rPr>
          <w:rFonts w:ascii="Arial" w:hAnsi="Arial" w:cs="Arial"/>
          <w:sz w:val="20"/>
          <w:szCs w:val="20"/>
          <w:lang w:val="en-GB"/>
        </w:rPr>
        <w:t>.</w:t>
      </w:r>
      <w:r w:rsidR="00C87D0F" w:rsidRPr="00D904E3">
        <w:rPr>
          <w:rFonts w:ascii="Arial" w:hAnsi="Arial" w:cs="Arial"/>
          <w:sz w:val="20"/>
          <w:szCs w:val="20"/>
          <w:lang w:val="en-GB"/>
        </w:rPr>
        <w:t>8</w:t>
      </w:r>
      <w:r w:rsidRPr="00D904E3">
        <w:rPr>
          <w:rFonts w:ascii="Arial" w:hAnsi="Arial" w:cs="Arial"/>
          <w:sz w:val="20"/>
          <w:szCs w:val="20"/>
          <w:lang w:val="en-GB"/>
        </w:rPr>
        <w:t xml:space="preserve">% for men and </w:t>
      </w:r>
      <w:r w:rsidR="00C87D0F" w:rsidRPr="00D904E3">
        <w:rPr>
          <w:rFonts w:ascii="Arial" w:hAnsi="Arial" w:cs="Arial"/>
          <w:sz w:val="20"/>
          <w:szCs w:val="20"/>
          <w:lang w:val="en-GB"/>
        </w:rPr>
        <w:t>9</w:t>
      </w:r>
      <w:r w:rsidRPr="00D904E3">
        <w:rPr>
          <w:rFonts w:ascii="Arial" w:hAnsi="Arial" w:cs="Arial"/>
          <w:sz w:val="20"/>
          <w:szCs w:val="20"/>
          <w:lang w:val="en-GB"/>
        </w:rPr>
        <w:t>.</w:t>
      </w:r>
      <w:r w:rsidR="00C87D0F" w:rsidRPr="00D904E3">
        <w:rPr>
          <w:rFonts w:ascii="Arial" w:hAnsi="Arial" w:cs="Arial"/>
          <w:sz w:val="20"/>
          <w:szCs w:val="20"/>
          <w:lang w:val="en-GB"/>
        </w:rPr>
        <w:t>5</w:t>
      </w:r>
      <w:r w:rsidRPr="00D904E3">
        <w:rPr>
          <w:rFonts w:ascii="Arial" w:hAnsi="Arial" w:cs="Arial"/>
          <w:sz w:val="20"/>
          <w:szCs w:val="20"/>
          <w:lang w:val="en-GB"/>
        </w:rPr>
        <w:t>% for women. Observed on regional level, this rate was the lowest in Beogradski region (</w:t>
      </w:r>
      <w:r w:rsidR="00C87D0F" w:rsidRPr="00D904E3">
        <w:rPr>
          <w:rFonts w:ascii="Arial" w:hAnsi="Arial" w:cs="Arial"/>
          <w:sz w:val="20"/>
          <w:szCs w:val="20"/>
          <w:lang w:val="en-GB"/>
        </w:rPr>
        <w:t>6.7</w:t>
      </w:r>
      <w:r w:rsidRPr="00D904E3">
        <w:rPr>
          <w:rFonts w:ascii="Arial" w:hAnsi="Arial" w:cs="Arial"/>
          <w:sz w:val="20"/>
          <w:szCs w:val="20"/>
          <w:lang w:val="en-GB"/>
        </w:rPr>
        <w:t>%), followed by Region Vojvodine (</w:t>
      </w:r>
      <w:r w:rsidR="00907C09" w:rsidRPr="00D904E3">
        <w:rPr>
          <w:rFonts w:ascii="Arial" w:hAnsi="Arial" w:cs="Arial"/>
          <w:sz w:val="20"/>
          <w:szCs w:val="20"/>
          <w:lang w:val="en-GB"/>
        </w:rPr>
        <w:t>9</w:t>
      </w:r>
      <w:r w:rsidRPr="00D904E3">
        <w:rPr>
          <w:rFonts w:ascii="Arial" w:hAnsi="Arial" w:cs="Arial"/>
          <w:sz w:val="20"/>
          <w:szCs w:val="20"/>
          <w:lang w:val="en-GB"/>
        </w:rPr>
        <w:t>.</w:t>
      </w:r>
      <w:r w:rsidR="00C87D0F" w:rsidRPr="00D904E3">
        <w:rPr>
          <w:rFonts w:ascii="Arial" w:hAnsi="Arial" w:cs="Arial"/>
          <w:sz w:val="20"/>
          <w:szCs w:val="20"/>
          <w:lang w:val="en-GB"/>
        </w:rPr>
        <w:t>2</w:t>
      </w:r>
      <w:r w:rsidRPr="00D904E3">
        <w:rPr>
          <w:rFonts w:ascii="Arial" w:hAnsi="Arial" w:cs="Arial"/>
          <w:sz w:val="20"/>
          <w:szCs w:val="20"/>
          <w:lang w:val="en-GB"/>
        </w:rPr>
        <w:t>%)</w:t>
      </w:r>
      <w:r w:rsidR="00C87D0F" w:rsidRPr="00D904E3">
        <w:rPr>
          <w:rFonts w:ascii="Arial" w:hAnsi="Arial" w:cs="Arial"/>
          <w:sz w:val="20"/>
          <w:szCs w:val="20"/>
          <w:lang w:val="en-GB"/>
        </w:rPr>
        <w:t>,</w:t>
      </w:r>
      <w:r w:rsidRPr="00D904E3">
        <w:rPr>
          <w:rFonts w:ascii="Arial" w:hAnsi="Arial" w:cs="Arial"/>
          <w:sz w:val="20"/>
          <w:szCs w:val="20"/>
          <w:lang w:val="en-GB"/>
        </w:rPr>
        <w:t xml:space="preserve"> </w:t>
      </w:r>
      <w:r w:rsidR="00C87D0F" w:rsidRPr="00D904E3">
        <w:rPr>
          <w:rFonts w:ascii="Arial" w:hAnsi="Arial" w:cs="Arial"/>
          <w:sz w:val="20"/>
          <w:szCs w:val="20"/>
          <w:lang w:val="en-GB"/>
        </w:rPr>
        <w:t xml:space="preserve">Region Sumadije i Zapadne Srbije (9.9%), and </w:t>
      </w:r>
      <w:r w:rsidR="00907C09" w:rsidRPr="00D904E3">
        <w:rPr>
          <w:rFonts w:ascii="Arial" w:hAnsi="Arial" w:cs="Arial"/>
          <w:sz w:val="20"/>
          <w:szCs w:val="20"/>
          <w:lang w:val="en-GB"/>
        </w:rPr>
        <w:t>Region Juzne i Istocne Srbije (1</w:t>
      </w:r>
      <w:r w:rsidR="00C87D0F" w:rsidRPr="00D904E3">
        <w:rPr>
          <w:rFonts w:ascii="Arial" w:hAnsi="Arial" w:cs="Arial"/>
          <w:sz w:val="20"/>
          <w:szCs w:val="20"/>
          <w:lang w:val="en-GB"/>
        </w:rPr>
        <w:t>1</w:t>
      </w:r>
      <w:r w:rsidR="00907C09" w:rsidRPr="00D904E3">
        <w:rPr>
          <w:rFonts w:ascii="Arial" w:hAnsi="Arial" w:cs="Arial"/>
          <w:sz w:val="20"/>
          <w:szCs w:val="20"/>
          <w:lang w:val="en-GB"/>
        </w:rPr>
        <w:t>.</w:t>
      </w:r>
      <w:r w:rsidR="00C87D0F" w:rsidRPr="00D904E3">
        <w:rPr>
          <w:rFonts w:ascii="Arial" w:hAnsi="Arial" w:cs="Arial"/>
          <w:sz w:val="20"/>
          <w:szCs w:val="20"/>
          <w:lang w:val="en-GB"/>
        </w:rPr>
        <w:t>2</w:t>
      </w:r>
      <w:r w:rsidR="00907C09" w:rsidRPr="00D904E3">
        <w:rPr>
          <w:rFonts w:ascii="Arial" w:hAnsi="Arial" w:cs="Arial"/>
          <w:sz w:val="20"/>
          <w:szCs w:val="20"/>
          <w:lang w:val="en-GB"/>
        </w:rPr>
        <w:t xml:space="preserve">%). </w:t>
      </w:r>
    </w:p>
    <w:p w:rsidR="00F52262" w:rsidRPr="00D904E3" w:rsidRDefault="00884FE7" w:rsidP="003244FE">
      <w:pPr>
        <w:spacing w:before="600" w:after="120" w:line="300" w:lineRule="auto"/>
        <w:ind w:firstLine="403"/>
        <w:jc w:val="center"/>
        <w:rPr>
          <w:rFonts w:cs="Arial"/>
          <w:bCs/>
        </w:rPr>
      </w:pPr>
      <w:r w:rsidRPr="00D904E3">
        <w:rPr>
          <w:rFonts w:cs="Arial"/>
          <w:b/>
          <w:color w:val="323232"/>
        </w:rPr>
        <w:t xml:space="preserve">Table 1 </w:t>
      </w:r>
      <w:r w:rsidRPr="00D904E3">
        <w:rPr>
          <w:rFonts w:cs="Arial"/>
          <w:bCs/>
        </w:rPr>
        <w:t>Main indicators of labour market trend, Q</w:t>
      </w:r>
      <w:r w:rsidR="00C87D0F" w:rsidRPr="00D904E3">
        <w:rPr>
          <w:rFonts w:cs="Arial"/>
          <w:bCs/>
        </w:rPr>
        <w:t>4</w:t>
      </w:r>
      <w:r w:rsidRPr="00D904E3">
        <w:rPr>
          <w:rFonts w:cs="Arial"/>
          <w:bCs/>
        </w:rPr>
        <w:t xml:space="preserve"> 202</w:t>
      </w:r>
      <w:r w:rsidR="00C87D0F" w:rsidRPr="00D904E3">
        <w:rPr>
          <w:rFonts w:cs="Arial"/>
          <w:bCs/>
        </w:rPr>
        <w:t>3</w:t>
      </w:r>
    </w:p>
    <w:tbl>
      <w:tblPr>
        <w:tblW w:w="10206" w:type="dxa"/>
        <w:jc w:val="center"/>
        <w:tblLayout w:type="fixed"/>
        <w:tblCellMar>
          <w:left w:w="28" w:type="dxa"/>
          <w:right w:w="28" w:type="dxa"/>
        </w:tblCellMar>
        <w:tblLook w:val="04A0" w:firstRow="1" w:lastRow="0" w:firstColumn="1" w:lastColumn="0" w:noHBand="0" w:noVBand="1"/>
      </w:tblPr>
      <w:tblGrid>
        <w:gridCol w:w="4241"/>
        <w:gridCol w:w="1233"/>
        <w:gridCol w:w="1266"/>
        <w:gridCol w:w="1095"/>
        <w:gridCol w:w="1458"/>
        <w:gridCol w:w="913"/>
      </w:tblGrid>
      <w:tr w:rsidR="00C87D0F" w:rsidRPr="00D904E3" w:rsidTr="00566CD5">
        <w:trPr>
          <w:trHeight w:val="587"/>
          <w:jc w:val="center"/>
        </w:trPr>
        <w:tc>
          <w:tcPr>
            <w:tcW w:w="4362" w:type="dxa"/>
            <w:vMerge w:val="restart"/>
            <w:tcBorders>
              <w:top w:val="single" w:sz="4" w:space="0" w:color="2B71AC"/>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rsidR="00C87D0F" w:rsidRPr="00D904E3" w:rsidRDefault="00C87D0F" w:rsidP="007E78A2">
            <w:pPr>
              <w:spacing w:line="276" w:lineRule="auto"/>
              <w:rPr>
                <w:rFonts w:cs="Arial"/>
                <w:color w:val="000000"/>
                <w:sz w:val="18"/>
                <w:szCs w:val="18"/>
              </w:rPr>
            </w:pPr>
            <w:r w:rsidRPr="00D904E3">
              <w:rPr>
                <w:rFonts w:cs="Arial"/>
                <w:color w:val="000000"/>
                <w:sz w:val="18"/>
                <w:szCs w:val="18"/>
              </w:rPr>
              <w:t> </w:t>
            </w:r>
          </w:p>
        </w:tc>
        <w:tc>
          <w:tcPr>
            <w:tcW w:w="1267" w:type="dxa"/>
            <w:tcBorders>
              <w:top w:val="single" w:sz="4" w:space="0" w:color="2B71AC"/>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87D0F" w:rsidRPr="00D904E3" w:rsidRDefault="00C87D0F" w:rsidP="00C87D0F">
            <w:pPr>
              <w:spacing w:before="60" w:after="60" w:line="276" w:lineRule="auto"/>
              <w:jc w:val="center"/>
              <w:rPr>
                <w:rFonts w:cs="Arial"/>
                <w:color w:val="000000"/>
                <w:sz w:val="18"/>
                <w:szCs w:val="18"/>
              </w:rPr>
            </w:pPr>
            <w:r w:rsidRPr="00D904E3">
              <w:rPr>
                <w:rFonts w:cs="Arial"/>
                <w:color w:val="000000"/>
                <w:sz w:val="18"/>
                <w:szCs w:val="18"/>
              </w:rPr>
              <w:t xml:space="preserve">IV quarter 2023 </w:t>
            </w:r>
          </w:p>
        </w:tc>
        <w:tc>
          <w:tcPr>
            <w:tcW w:w="2426" w:type="dxa"/>
            <w:gridSpan w:val="2"/>
            <w:tcBorders>
              <w:top w:val="single" w:sz="4" w:space="0" w:color="2B71AC"/>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87D0F" w:rsidRPr="00D904E3" w:rsidRDefault="00C87D0F" w:rsidP="007E78A2">
            <w:pPr>
              <w:spacing w:before="60" w:after="60" w:line="276" w:lineRule="auto"/>
              <w:jc w:val="center"/>
              <w:rPr>
                <w:rFonts w:cs="Arial"/>
                <w:color w:val="000000"/>
                <w:sz w:val="18"/>
                <w:szCs w:val="18"/>
              </w:rPr>
            </w:pPr>
            <w:r w:rsidRPr="00D904E3">
              <w:rPr>
                <w:rFonts w:cs="Arial"/>
                <w:sz w:val="18"/>
                <w:szCs w:val="18"/>
              </w:rPr>
              <w:t>Changes relative to previous quarter</w:t>
            </w:r>
          </w:p>
        </w:tc>
        <w:tc>
          <w:tcPr>
            <w:tcW w:w="2435" w:type="dxa"/>
            <w:gridSpan w:val="2"/>
            <w:tcBorders>
              <w:top w:val="single" w:sz="4" w:space="0" w:color="2B71AC"/>
              <w:left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C87D0F" w:rsidRPr="00D904E3" w:rsidRDefault="00C87D0F" w:rsidP="00C87D0F">
            <w:pPr>
              <w:spacing w:before="60" w:after="60" w:line="276" w:lineRule="auto"/>
              <w:jc w:val="center"/>
              <w:rPr>
                <w:rFonts w:cs="Arial"/>
                <w:color w:val="000000"/>
                <w:sz w:val="18"/>
                <w:szCs w:val="18"/>
              </w:rPr>
            </w:pPr>
            <w:r w:rsidRPr="00D904E3">
              <w:rPr>
                <w:rFonts w:cs="Arial"/>
                <w:sz w:val="18"/>
                <w:szCs w:val="18"/>
              </w:rPr>
              <w:t>Changes relative to the same quarter of the previous year</w:t>
            </w:r>
            <w:r w:rsidRPr="00D904E3">
              <w:rPr>
                <w:rFonts w:cs="Arial"/>
                <w:color w:val="000000"/>
                <w:sz w:val="18"/>
                <w:szCs w:val="18"/>
              </w:rPr>
              <w:t xml:space="preserve"> </w:t>
            </w:r>
          </w:p>
        </w:tc>
      </w:tr>
      <w:tr w:rsidR="00C87D0F" w:rsidRPr="00D904E3" w:rsidTr="00566CD5">
        <w:trPr>
          <w:trHeight w:val="273"/>
          <w:jc w:val="center"/>
        </w:trPr>
        <w:tc>
          <w:tcPr>
            <w:tcW w:w="436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87D0F" w:rsidRPr="00D904E3" w:rsidRDefault="00C87D0F" w:rsidP="007E78A2">
            <w:pPr>
              <w:spacing w:line="276" w:lineRule="auto"/>
              <w:rPr>
                <w:rFonts w:cs="Arial"/>
                <w:color w:val="000000"/>
                <w:sz w:val="18"/>
                <w:szCs w:val="18"/>
              </w:rPr>
            </w:pP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87D0F" w:rsidRPr="00D904E3" w:rsidRDefault="00C87D0F" w:rsidP="007E78A2">
            <w:pPr>
              <w:jc w:val="center"/>
              <w:rPr>
                <w:rFonts w:cs="Arial"/>
                <w:color w:val="000000"/>
                <w:sz w:val="18"/>
                <w:szCs w:val="18"/>
              </w:rPr>
            </w:pPr>
            <w:r w:rsidRPr="00D904E3">
              <w:rPr>
                <w:rFonts w:cs="Arial"/>
                <w:sz w:val="18"/>
                <w:szCs w:val="18"/>
              </w:rPr>
              <w:t>(in thousand)</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87D0F" w:rsidRPr="00D904E3" w:rsidRDefault="00C87D0F" w:rsidP="007E78A2">
            <w:pPr>
              <w:jc w:val="center"/>
              <w:rPr>
                <w:rFonts w:cs="Arial"/>
                <w:color w:val="000000"/>
                <w:sz w:val="18"/>
                <w:szCs w:val="18"/>
              </w:rPr>
            </w:pPr>
            <w:r w:rsidRPr="00D904E3">
              <w:rPr>
                <w:rFonts w:cs="Arial"/>
                <w:sz w:val="18"/>
                <w:szCs w:val="18"/>
              </w:rPr>
              <w:t>(in thousand)</w:t>
            </w:r>
          </w:p>
        </w:tc>
        <w:tc>
          <w:tcPr>
            <w:tcW w:w="1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87D0F" w:rsidRPr="00D904E3" w:rsidRDefault="00C87D0F" w:rsidP="007E78A2">
            <w:pPr>
              <w:spacing w:line="276" w:lineRule="auto"/>
              <w:ind w:right="113"/>
              <w:jc w:val="right"/>
              <w:rPr>
                <w:rFonts w:cs="Arial"/>
                <w:color w:val="000000"/>
                <w:sz w:val="18"/>
                <w:szCs w:val="18"/>
              </w:rPr>
            </w:pPr>
            <w:r w:rsidRPr="00D904E3">
              <w:rPr>
                <w:rFonts w:cs="Arial"/>
                <w:color w:val="000000"/>
                <w:sz w:val="18"/>
                <w:szCs w:val="18"/>
              </w:rPr>
              <w:t>%</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87D0F" w:rsidRPr="00D904E3" w:rsidRDefault="00C87D0F" w:rsidP="007E78A2">
            <w:pPr>
              <w:jc w:val="center"/>
              <w:rPr>
                <w:rFonts w:cs="Arial"/>
                <w:color w:val="000000"/>
                <w:sz w:val="18"/>
                <w:szCs w:val="18"/>
              </w:rPr>
            </w:pPr>
            <w:r w:rsidRPr="00D904E3">
              <w:rPr>
                <w:rFonts w:cs="Arial"/>
                <w:sz w:val="18"/>
                <w:szCs w:val="18"/>
              </w:rPr>
              <w:t>(in thousand)</w:t>
            </w:r>
          </w:p>
        </w:tc>
        <w:tc>
          <w:tcPr>
            <w:tcW w:w="93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C87D0F" w:rsidRPr="00D904E3" w:rsidRDefault="00C87D0F" w:rsidP="007E78A2">
            <w:pPr>
              <w:spacing w:line="276" w:lineRule="auto"/>
              <w:ind w:right="113"/>
              <w:jc w:val="right"/>
              <w:rPr>
                <w:rFonts w:cs="Arial"/>
                <w:color w:val="000000"/>
                <w:sz w:val="18"/>
                <w:szCs w:val="18"/>
              </w:rPr>
            </w:pPr>
            <w:r w:rsidRPr="00D904E3">
              <w:rPr>
                <w:rFonts w:cs="Arial"/>
                <w:color w:val="000000"/>
                <w:sz w:val="18"/>
                <w:szCs w:val="18"/>
              </w:rPr>
              <w:t>%</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rPr>
                <w:rFonts w:cs="Arial"/>
                <w:b/>
                <w:bCs/>
                <w:color w:val="000000"/>
                <w:sz w:val="18"/>
                <w:szCs w:val="18"/>
              </w:rPr>
            </w:pPr>
            <w:r w:rsidRPr="00D904E3">
              <w:rPr>
                <w:rFonts w:cs="Arial"/>
                <w:b/>
                <w:bCs/>
                <w:color w:val="000000"/>
                <w:sz w:val="18"/>
                <w:szCs w:val="18"/>
              </w:rPr>
              <w:t> </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jc w:val="right"/>
              <w:rPr>
                <w:rFonts w:cs="Arial"/>
                <w:color w:val="000000"/>
                <w:sz w:val="18"/>
                <w:szCs w:val="18"/>
              </w:rPr>
            </w:pPr>
            <w:r w:rsidRPr="00D904E3">
              <w:rPr>
                <w:rFonts w:cs="Arial"/>
                <w:color w:val="000000"/>
                <w:sz w:val="18"/>
                <w:szCs w:val="18"/>
              </w:rPr>
              <w:t> </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hideMark/>
          </w:tcPr>
          <w:p w:rsidR="00C87D0F" w:rsidRPr="00D904E3" w:rsidRDefault="00C87D0F" w:rsidP="007E78A2">
            <w:pPr>
              <w:spacing w:line="276" w:lineRule="auto"/>
              <w:jc w:val="right"/>
              <w:rPr>
                <w:rFonts w:cs="Arial"/>
                <w:color w:val="000000"/>
                <w:sz w:val="18"/>
                <w:szCs w:val="18"/>
              </w:rPr>
            </w:pPr>
          </w:p>
        </w:tc>
        <w:tc>
          <w:tcPr>
            <w:tcW w:w="112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jc w:val="right"/>
              <w:rPr>
                <w:rFonts w:cs="Arial"/>
                <w:color w:val="000000"/>
                <w:sz w:val="18"/>
                <w:szCs w:val="18"/>
              </w:rPr>
            </w:pPr>
            <w:r w:rsidRPr="00D904E3">
              <w:rPr>
                <w:rFonts w:cs="Arial"/>
                <w:color w:val="000000"/>
                <w:sz w:val="18"/>
                <w:szCs w:val="18"/>
              </w:rPr>
              <w:t> </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hideMark/>
          </w:tcPr>
          <w:p w:rsidR="00C87D0F" w:rsidRPr="00D904E3" w:rsidRDefault="00C87D0F" w:rsidP="007E78A2">
            <w:pPr>
              <w:spacing w:line="276" w:lineRule="auto"/>
              <w:jc w:val="right"/>
              <w:rPr>
                <w:rFonts w:cs="Arial"/>
                <w:color w:val="000000"/>
                <w:sz w:val="18"/>
                <w:szCs w:val="18"/>
              </w:rPr>
            </w:pPr>
          </w:p>
        </w:tc>
        <w:tc>
          <w:tcPr>
            <w:tcW w:w="937" w:type="dxa"/>
            <w:tcBorders>
              <w:top w:val="single" w:sz="4" w:space="0" w:color="BFBFBF" w:themeColor="background1" w:themeShade="BF"/>
              <w:bottom w:val="single" w:sz="4" w:space="0" w:color="BFBFBF" w:themeColor="background1" w:themeShade="BF"/>
            </w:tcBorders>
            <w:shd w:val="clear" w:color="auto" w:fill="auto"/>
            <w:vAlign w:val="center"/>
            <w:hideMark/>
          </w:tcPr>
          <w:p w:rsidR="00C87D0F" w:rsidRPr="00D904E3" w:rsidRDefault="00C87D0F" w:rsidP="007E78A2">
            <w:pPr>
              <w:spacing w:line="276" w:lineRule="auto"/>
              <w:jc w:val="right"/>
              <w:rPr>
                <w:rFonts w:cs="Arial"/>
                <w:color w:val="000000"/>
                <w:sz w:val="18"/>
                <w:szCs w:val="18"/>
              </w:rPr>
            </w:pPr>
            <w:r w:rsidRPr="00D904E3">
              <w:rPr>
                <w:rFonts w:cs="Arial"/>
                <w:color w:val="000000"/>
                <w:sz w:val="18"/>
                <w:szCs w:val="18"/>
              </w:rPr>
              <w:t> </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rPr>
                <w:rFonts w:cs="Arial"/>
                <w:bCs/>
                <w:color w:val="000000"/>
                <w:sz w:val="18"/>
                <w:szCs w:val="18"/>
              </w:rPr>
            </w:pPr>
            <w:r w:rsidRPr="00D904E3">
              <w:rPr>
                <w:rFonts w:cs="Arial"/>
                <w:bCs/>
                <w:color w:val="000000"/>
                <w:sz w:val="18"/>
                <w:szCs w:val="18"/>
              </w:rPr>
              <w:t>Total</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5682,3</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-11,2</w:t>
            </w: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-0,2</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-50,9</w:t>
            </w: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-0,9</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C87D0F">
            <w:pPr>
              <w:spacing w:line="276" w:lineRule="auto"/>
              <w:rPr>
                <w:rFonts w:cs="Arial"/>
                <w:color w:val="000000"/>
                <w:sz w:val="18"/>
                <w:szCs w:val="18"/>
              </w:rPr>
            </w:pPr>
            <w:r w:rsidRPr="00D904E3">
              <w:rPr>
                <w:rFonts w:cs="Arial"/>
                <w:color w:val="000000"/>
                <w:sz w:val="18"/>
                <w:szCs w:val="18"/>
              </w:rPr>
              <w:t xml:space="preserve">     Active</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3158,3</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-15,9</w:t>
            </w: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-0,5</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48,5</w:t>
            </w: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1,6</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C87D0F">
            <w:pPr>
              <w:spacing w:line="276" w:lineRule="auto"/>
              <w:rPr>
                <w:rFonts w:cs="Arial"/>
                <w:color w:val="000000"/>
                <w:sz w:val="18"/>
                <w:szCs w:val="18"/>
              </w:rPr>
            </w:pPr>
            <w:r w:rsidRPr="00D904E3">
              <w:rPr>
                <w:rFonts w:cs="Arial"/>
                <w:color w:val="000000"/>
                <w:sz w:val="18"/>
                <w:szCs w:val="18"/>
              </w:rPr>
              <w:t xml:space="preserve">         Employed</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2870,2</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-18,4</w:t>
            </w: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-0,6</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52,1</w:t>
            </w: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1,8</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C87D0F" w:rsidRPr="00D904E3" w:rsidRDefault="00C87D0F" w:rsidP="00A72AE6">
            <w:pPr>
              <w:rPr>
                <w:rFonts w:cs="Arial"/>
                <w:sz w:val="18"/>
                <w:szCs w:val="18"/>
              </w:rPr>
            </w:pPr>
            <w:r w:rsidRPr="00D904E3">
              <w:rPr>
                <w:rFonts w:cs="Arial"/>
                <w:sz w:val="18"/>
                <w:szCs w:val="18"/>
              </w:rPr>
              <w:t xml:space="preserve">              Formally employed.</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2510,7</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-7,9</w:t>
            </w: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-0,3</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32,9</w:t>
            </w: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1,3</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C87D0F" w:rsidRPr="00D904E3" w:rsidRDefault="00C87D0F" w:rsidP="00A72AE6">
            <w:r w:rsidRPr="00D904E3">
              <w:rPr>
                <w:rFonts w:cs="Arial"/>
                <w:sz w:val="18"/>
                <w:szCs w:val="18"/>
              </w:rPr>
              <w:t xml:space="preserve">              Informally employed </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359,4</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-10,4</w:t>
            </w: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-2,8</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19,2</w:t>
            </w: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5,6</w:t>
            </w:r>
          </w:p>
        </w:tc>
      </w:tr>
      <w:tr w:rsidR="00C87D0F" w:rsidRPr="00D904E3" w:rsidTr="00566CD5">
        <w:trPr>
          <w:trHeight w:val="259"/>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rPr>
                <w:rFonts w:cs="Arial"/>
                <w:sz w:val="18"/>
                <w:szCs w:val="18"/>
              </w:rPr>
            </w:pPr>
            <w:r w:rsidRPr="00D904E3">
              <w:rPr>
                <w:rFonts w:cs="Arial"/>
                <w:sz w:val="18"/>
                <w:szCs w:val="18"/>
              </w:rPr>
              <w:t xml:space="preserve">         Unemployed</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288,2</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2,5</w:t>
            </w: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0,9</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-3,6</w:t>
            </w: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-1,2</w:t>
            </w:r>
          </w:p>
        </w:tc>
      </w:tr>
      <w:tr w:rsidR="00C87D0F" w:rsidRPr="00D904E3" w:rsidTr="00566CD5">
        <w:trPr>
          <w:trHeight w:val="259"/>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rPr>
                <w:rFonts w:cs="Arial"/>
                <w:sz w:val="18"/>
                <w:szCs w:val="18"/>
              </w:rPr>
            </w:pPr>
            <w:r w:rsidRPr="00D904E3">
              <w:rPr>
                <w:rFonts w:cs="Arial"/>
                <w:sz w:val="18"/>
                <w:szCs w:val="18"/>
              </w:rPr>
              <w:t xml:space="preserve">     Out of labour force</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2524,0</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4,7</w:t>
            </w: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0,2</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-99,4</w:t>
            </w: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-3,8</w:t>
            </w:r>
          </w:p>
        </w:tc>
      </w:tr>
      <w:tr w:rsidR="00C87D0F" w:rsidRPr="00D904E3" w:rsidTr="00566CD5">
        <w:trPr>
          <w:trHeight w:val="273"/>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before="60" w:after="60" w:line="276" w:lineRule="auto"/>
              <w:rPr>
                <w:rFonts w:cs="Arial"/>
                <w:color w:val="000000"/>
                <w:sz w:val="18"/>
                <w:szCs w:val="18"/>
              </w:rPr>
            </w:pPr>
            <w:r w:rsidRPr="00D904E3">
              <w:rPr>
                <w:rFonts w:cs="Arial"/>
                <w:color w:val="000000"/>
                <w:sz w:val="18"/>
                <w:szCs w:val="18"/>
              </w:rPr>
              <w:t> </w:t>
            </w:r>
          </w:p>
        </w:tc>
        <w:tc>
          <w:tcPr>
            <w:tcW w:w="1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before="60" w:after="60" w:line="276" w:lineRule="auto"/>
              <w:jc w:val="center"/>
              <w:rPr>
                <w:rFonts w:cs="Arial"/>
                <w:bCs/>
                <w:color w:val="000000"/>
              </w:rPr>
            </w:pPr>
            <w:r w:rsidRPr="00D904E3">
              <w:rPr>
                <w:rFonts w:cs="Arial"/>
                <w:bCs/>
                <w:color w:val="000000"/>
              </w:rPr>
              <w:t>%</w:t>
            </w:r>
          </w:p>
        </w:tc>
        <w:tc>
          <w:tcPr>
            <w:tcW w:w="48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87D0F" w:rsidRPr="00D904E3" w:rsidRDefault="00C87D0F" w:rsidP="00C87D0F">
            <w:pPr>
              <w:spacing w:before="60" w:after="60" w:line="276" w:lineRule="auto"/>
              <w:jc w:val="center"/>
              <w:rPr>
                <w:rFonts w:cs="Arial"/>
                <w:color w:val="000000"/>
              </w:rPr>
            </w:pPr>
            <w:r w:rsidRPr="00D904E3">
              <w:rPr>
                <w:rFonts w:cs="Arial"/>
                <w:color w:val="000000"/>
              </w:rPr>
              <w:t>(p.p.)</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rPr>
                <w:rFonts w:cs="Arial"/>
                <w:color w:val="000000"/>
                <w:sz w:val="18"/>
                <w:szCs w:val="18"/>
              </w:rPr>
            </w:pPr>
            <w:r w:rsidRPr="00D904E3">
              <w:rPr>
                <w:rFonts w:cs="Arial"/>
                <w:color w:val="000000"/>
                <w:sz w:val="18"/>
                <w:szCs w:val="18"/>
              </w:rPr>
              <w:t>Activity rate</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55,6</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C87D0F" w:rsidRPr="00D904E3" w:rsidRDefault="00C87D0F" w:rsidP="007E78A2">
            <w:pPr>
              <w:spacing w:line="276" w:lineRule="auto"/>
              <w:ind w:right="113"/>
              <w:jc w:val="right"/>
              <w:rPr>
                <w:sz w:val="18"/>
                <w:szCs w:val="18"/>
              </w:rPr>
            </w:pP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-0,2</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C87D0F" w:rsidRPr="00D904E3" w:rsidRDefault="00C87D0F" w:rsidP="007E78A2">
            <w:pPr>
              <w:spacing w:line="276" w:lineRule="auto"/>
              <w:ind w:right="113"/>
              <w:jc w:val="right"/>
              <w:rPr>
                <w:sz w:val="18"/>
                <w:szCs w:val="18"/>
              </w:rPr>
            </w:pP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1,3</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C87D0F">
            <w:pPr>
              <w:spacing w:line="276" w:lineRule="auto"/>
              <w:rPr>
                <w:rFonts w:cs="Arial"/>
                <w:color w:val="000000"/>
                <w:sz w:val="18"/>
                <w:szCs w:val="18"/>
              </w:rPr>
            </w:pPr>
            <w:r w:rsidRPr="00D904E3">
              <w:rPr>
                <w:rFonts w:cs="Arial"/>
                <w:color w:val="000000"/>
                <w:sz w:val="18"/>
                <w:szCs w:val="18"/>
              </w:rPr>
              <w:t>Employment rate</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50,5</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C87D0F" w:rsidRPr="00D904E3" w:rsidRDefault="00C87D0F" w:rsidP="007E78A2">
            <w:pPr>
              <w:spacing w:line="276" w:lineRule="auto"/>
              <w:ind w:right="113"/>
              <w:jc w:val="right"/>
              <w:rPr>
                <w:sz w:val="18"/>
                <w:szCs w:val="18"/>
              </w:rPr>
            </w:pP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-0,2</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C87D0F" w:rsidRPr="00D904E3" w:rsidRDefault="00C87D0F" w:rsidP="007E78A2">
            <w:pPr>
              <w:spacing w:line="276" w:lineRule="auto"/>
              <w:ind w:right="113"/>
              <w:jc w:val="right"/>
              <w:rPr>
                <w:sz w:val="18"/>
                <w:szCs w:val="18"/>
              </w:rPr>
            </w:pP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1,4</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C87D0F">
            <w:pPr>
              <w:spacing w:line="276" w:lineRule="auto"/>
              <w:rPr>
                <w:rFonts w:cs="Arial"/>
                <w:color w:val="000000"/>
                <w:sz w:val="18"/>
                <w:szCs w:val="18"/>
              </w:rPr>
            </w:pPr>
            <w:r w:rsidRPr="00D904E3">
              <w:rPr>
                <w:rFonts w:cs="Arial"/>
                <w:color w:val="000000"/>
                <w:sz w:val="18"/>
                <w:szCs w:val="18"/>
              </w:rPr>
              <w:t xml:space="preserve">    Informal </w:t>
            </w:r>
            <w:r w:rsidR="00D904E3" w:rsidRPr="00D904E3">
              <w:rPr>
                <w:rFonts w:cs="Arial"/>
                <w:color w:val="000000"/>
                <w:sz w:val="18"/>
                <w:szCs w:val="18"/>
              </w:rPr>
              <w:t>employment</w:t>
            </w:r>
            <w:r w:rsidRPr="00D904E3">
              <w:rPr>
                <w:rFonts w:cs="Arial"/>
                <w:color w:val="000000"/>
                <w:sz w:val="18"/>
                <w:szCs w:val="18"/>
              </w:rPr>
              <w:t xml:space="preserve"> rate</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12,5</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-0,3</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0,4</w:t>
            </w:r>
          </w:p>
        </w:tc>
      </w:tr>
      <w:tr w:rsidR="00C87D0F" w:rsidRPr="00D904E3" w:rsidTr="00566CD5">
        <w:trPr>
          <w:trHeight w:val="260"/>
          <w:jc w:val="center"/>
        </w:trPr>
        <w:tc>
          <w:tcPr>
            <w:tcW w:w="43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rPr>
                <w:rFonts w:cs="Arial"/>
                <w:color w:val="000000"/>
                <w:sz w:val="18"/>
                <w:szCs w:val="18"/>
              </w:rPr>
            </w:pPr>
            <w:r w:rsidRPr="00D904E3">
              <w:rPr>
                <w:rFonts w:cs="Arial"/>
                <w:color w:val="000000"/>
                <w:sz w:val="18"/>
                <w:szCs w:val="18"/>
              </w:rPr>
              <w:t>Unemployment rate</w:t>
            </w:r>
          </w:p>
        </w:tc>
        <w:tc>
          <w:tcPr>
            <w:tcW w:w="12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9,1</w:t>
            </w:r>
          </w:p>
        </w:tc>
        <w:tc>
          <w:tcPr>
            <w:tcW w:w="130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C87D0F" w:rsidRPr="00D904E3" w:rsidRDefault="00C87D0F" w:rsidP="007E78A2">
            <w:pPr>
              <w:spacing w:line="276" w:lineRule="auto"/>
              <w:ind w:right="113"/>
              <w:jc w:val="right"/>
              <w:rPr>
                <w:sz w:val="18"/>
                <w:szCs w:val="18"/>
              </w:rPr>
            </w:pPr>
          </w:p>
        </w:tc>
        <w:tc>
          <w:tcPr>
            <w:tcW w:w="1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0,1</w:t>
            </w:r>
          </w:p>
        </w:tc>
        <w:tc>
          <w:tcPr>
            <w:tcW w:w="1498"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C87D0F" w:rsidRPr="00D904E3" w:rsidRDefault="00C87D0F" w:rsidP="007E78A2">
            <w:pPr>
              <w:spacing w:line="276" w:lineRule="auto"/>
              <w:ind w:right="113"/>
              <w:jc w:val="right"/>
              <w:rPr>
                <w:sz w:val="18"/>
                <w:szCs w:val="18"/>
              </w:rPr>
            </w:pPr>
          </w:p>
        </w:tc>
        <w:tc>
          <w:tcPr>
            <w:tcW w:w="937"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C87D0F" w:rsidRPr="00D904E3" w:rsidRDefault="00C87D0F" w:rsidP="007E78A2">
            <w:pPr>
              <w:spacing w:line="276" w:lineRule="auto"/>
              <w:ind w:right="113"/>
              <w:jc w:val="right"/>
              <w:rPr>
                <w:sz w:val="18"/>
                <w:szCs w:val="18"/>
              </w:rPr>
            </w:pPr>
            <w:r w:rsidRPr="00D904E3">
              <w:rPr>
                <w:rFonts w:cs="Arial"/>
                <w:color w:val="000000"/>
                <w:sz w:val="18"/>
                <w:szCs w:val="18"/>
              </w:rPr>
              <w:t>-0,3</w:t>
            </w:r>
          </w:p>
        </w:tc>
      </w:tr>
      <w:tr w:rsidR="00C87D0F" w:rsidRPr="00D904E3" w:rsidTr="00566CD5">
        <w:trPr>
          <w:trHeight w:val="273"/>
          <w:jc w:val="center"/>
        </w:trPr>
        <w:tc>
          <w:tcPr>
            <w:tcW w:w="4362" w:type="dxa"/>
            <w:tcBorders>
              <w:top w:val="single" w:sz="4" w:space="0" w:color="BFBFBF" w:themeColor="background1" w:themeShade="BF"/>
              <w:bottom w:val="single" w:sz="4" w:space="0" w:color="2B71AC"/>
            </w:tcBorders>
            <w:shd w:val="clear" w:color="auto" w:fill="auto"/>
            <w:vAlign w:val="center"/>
            <w:hideMark/>
          </w:tcPr>
          <w:p w:rsidR="00C87D0F" w:rsidRPr="00D904E3" w:rsidRDefault="0022404C" w:rsidP="0022404C">
            <w:pPr>
              <w:spacing w:after="40" w:line="276" w:lineRule="auto"/>
              <w:rPr>
                <w:rFonts w:cs="Arial"/>
                <w:color w:val="000000"/>
                <w:sz w:val="18"/>
                <w:szCs w:val="18"/>
              </w:rPr>
            </w:pPr>
            <w:r w:rsidRPr="00D904E3">
              <w:rPr>
                <w:rFonts w:cs="Arial"/>
                <w:color w:val="000000"/>
                <w:sz w:val="18"/>
                <w:szCs w:val="18"/>
              </w:rPr>
              <w:t xml:space="preserve">Out of the labour force rate </w:t>
            </w:r>
          </w:p>
        </w:tc>
        <w:tc>
          <w:tcPr>
            <w:tcW w:w="1267" w:type="dxa"/>
            <w:tcBorders>
              <w:top w:val="single" w:sz="4" w:space="0" w:color="BFBFBF" w:themeColor="background1" w:themeShade="BF"/>
              <w:left w:val="nil"/>
              <w:bottom w:val="single" w:sz="4" w:space="0" w:color="2B71AC"/>
              <w:right w:val="single" w:sz="4" w:space="0" w:color="BFBFBF" w:themeColor="background1" w:themeShade="BF"/>
            </w:tcBorders>
            <w:shd w:val="clear" w:color="auto" w:fill="auto"/>
            <w:vAlign w:val="center"/>
            <w:hideMark/>
          </w:tcPr>
          <w:p w:rsidR="00C87D0F" w:rsidRPr="00D904E3" w:rsidRDefault="00C87D0F" w:rsidP="007E78A2">
            <w:pPr>
              <w:spacing w:after="40" w:line="276" w:lineRule="auto"/>
              <w:ind w:right="113"/>
              <w:jc w:val="right"/>
              <w:rPr>
                <w:sz w:val="18"/>
                <w:szCs w:val="18"/>
              </w:rPr>
            </w:pPr>
            <w:r w:rsidRPr="00D904E3">
              <w:rPr>
                <w:rFonts w:cs="Arial"/>
                <w:color w:val="000000"/>
                <w:sz w:val="18"/>
                <w:szCs w:val="18"/>
              </w:rPr>
              <w:t>44,4</w:t>
            </w:r>
          </w:p>
        </w:tc>
        <w:tc>
          <w:tcPr>
            <w:tcW w:w="1301" w:type="dxa"/>
            <w:tcBorders>
              <w:top w:val="single" w:sz="4" w:space="0" w:color="BFBFBF" w:themeColor="background1" w:themeShade="BF"/>
              <w:left w:val="single" w:sz="4" w:space="0" w:color="BFBFBF" w:themeColor="background1" w:themeShade="BF"/>
              <w:bottom w:val="single" w:sz="4" w:space="0" w:color="2B71AC"/>
              <w:right w:val="nil"/>
            </w:tcBorders>
            <w:shd w:val="clear" w:color="auto" w:fill="auto"/>
            <w:noWrap/>
            <w:vAlign w:val="center"/>
            <w:hideMark/>
          </w:tcPr>
          <w:p w:rsidR="00C87D0F" w:rsidRPr="00D904E3" w:rsidRDefault="00C87D0F" w:rsidP="007E78A2">
            <w:pPr>
              <w:spacing w:after="40" w:line="276" w:lineRule="auto"/>
              <w:ind w:right="113"/>
              <w:jc w:val="right"/>
              <w:rPr>
                <w:sz w:val="18"/>
                <w:szCs w:val="18"/>
              </w:rPr>
            </w:pPr>
          </w:p>
        </w:tc>
        <w:tc>
          <w:tcPr>
            <w:tcW w:w="1125" w:type="dxa"/>
            <w:tcBorders>
              <w:top w:val="single" w:sz="4" w:space="0" w:color="BFBFBF" w:themeColor="background1" w:themeShade="BF"/>
              <w:left w:val="nil"/>
              <w:bottom w:val="single" w:sz="4" w:space="0" w:color="2B71AC"/>
              <w:right w:val="single" w:sz="4" w:space="0" w:color="BFBFBF" w:themeColor="background1" w:themeShade="BF"/>
            </w:tcBorders>
            <w:shd w:val="clear" w:color="auto" w:fill="auto"/>
            <w:vAlign w:val="center"/>
            <w:hideMark/>
          </w:tcPr>
          <w:p w:rsidR="00C87D0F" w:rsidRPr="00D904E3" w:rsidRDefault="00C87D0F" w:rsidP="007E78A2">
            <w:pPr>
              <w:spacing w:after="40" w:line="276" w:lineRule="auto"/>
              <w:ind w:right="113"/>
              <w:jc w:val="right"/>
              <w:rPr>
                <w:sz w:val="18"/>
                <w:szCs w:val="18"/>
              </w:rPr>
            </w:pPr>
            <w:r w:rsidRPr="00D904E3">
              <w:rPr>
                <w:rFonts w:cs="Arial"/>
                <w:color w:val="000000"/>
                <w:sz w:val="18"/>
                <w:szCs w:val="18"/>
              </w:rPr>
              <w:t>0,2</w:t>
            </w:r>
          </w:p>
        </w:tc>
        <w:tc>
          <w:tcPr>
            <w:tcW w:w="1498" w:type="dxa"/>
            <w:tcBorders>
              <w:top w:val="single" w:sz="4" w:space="0" w:color="BFBFBF" w:themeColor="background1" w:themeShade="BF"/>
              <w:left w:val="single" w:sz="4" w:space="0" w:color="BFBFBF" w:themeColor="background1" w:themeShade="BF"/>
              <w:bottom w:val="single" w:sz="4" w:space="0" w:color="2B71AC"/>
              <w:right w:val="nil"/>
            </w:tcBorders>
            <w:shd w:val="clear" w:color="auto" w:fill="auto"/>
            <w:noWrap/>
            <w:vAlign w:val="center"/>
            <w:hideMark/>
          </w:tcPr>
          <w:p w:rsidR="00C87D0F" w:rsidRPr="00D904E3" w:rsidRDefault="00C87D0F" w:rsidP="007E78A2">
            <w:pPr>
              <w:spacing w:after="40" w:line="276" w:lineRule="auto"/>
              <w:ind w:right="113"/>
              <w:jc w:val="right"/>
              <w:rPr>
                <w:sz w:val="18"/>
                <w:szCs w:val="18"/>
              </w:rPr>
            </w:pPr>
          </w:p>
        </w:tc>
        <w:tc>
          <w:tcPr>
            <w:tcW w:w="937" w:type="dxa"/>
            <w:tcBorders>
              <w:top w:val="single" w:sz="4" w:space="0" w:color="BFBFBF" w:themeColor="background1" w:themeShade="BF"/>
              <w:left w:val="nil"/>
              <w:bottom w:val="single" w:sz="4" w:space="0" w:color="2B71AC"/>
              <w:right w:val="nil"/>
            </w:tcBorders>
            <w:shd w:val="clear" w:color="auto" w:fill="auto"/>
            <w:vAlign w:val="center"/>
            <w:hideMark/>
          </w:tcPr>
          <w:p w:rsidR="00C87D0F" w:rsidRPr="00D904E3" w:rsidRDefault="00C87D0F" w:rsidP="007E78A2">
            <w:pPr>
              <w:spacing w:after="40" w:line="276" w:lineRule="auto"/>
              <w:ind w:right="113"/>
              <w:jc w:val="right"/>
              <w:rPr>
                <w:sz w:val="18"/>
                <w:szCs w:val="18"/>
              </w:rPr>
            </w:pPr>
            <w:r w:rsidRPr="00D904E3">
              <w:rPr>
                <w:rFonts w:cs="Arial"/>
                <w:color w:val="000000"/>
                <w:sz w:val="18"/>
                <w:szCs w:val="18"/>
              </w:rPr>
              <w:t>-1,3</w:t>
            </w:r>
          </w:p>
        </w:tc>
      </w:tr>
    </w:tbl>
    <w:p w:rsidR="00F52262" w:rsidRPr="00D904E3" w:rsidRDefault="0022404C" w:rsidP="00566CD5">
      <w:pPr>
        <w:spacing w:before="480" w:after="120" w:line="288" w:lineRule="auto"/>
        <w:jc w:val="both"/>
        <w:rPr>
          <w:rFonts w:cs="Arial"/>
        </w:rPr>
      </w:pPr>
      <w:r w:rsidRPr="00D904E3">
        <w:rPr>
          <w:rFonts w:cs="Arial"/>
        </w:rPr>
        <w:t>In t</w:t>
      </w:r>
      <w:r w:rsidR="00051A5E" w:rsidRPr="00D904E3">
        <w:rPr>
          <w:rFonts w:cs="Arial"/>
        </w:rPr>
        <w:t xml:space="preserve">he </w:t>
      </w:r>
      <w:r w:rsidRPr="00D904E3">
        <w:rPr>
          <w:rFonts w:cs="Arial"/>
        </w:rPr>
        <w:t>fourth</w:t>
      </w:r>
      <w:r w:rsidR="00884FE7" w:rsidRPr="00D904E3">
        <w:rPr>
          <w:rFonts w:cs="Arial"/>
        </w:rPr>
        <w:t xml:space="preserve"> quarter 202</w:t>
      </w:r>
      <w:r w:rsidRPr="00D904E3">
        <w:rPr>
          <w:rFonts w:cs="Arial"/>
        </w:rPr>
        <w:t>3</w:t>
      </w:r>
      <w:r w:rsidR="00884FE7" w:rsidRPr="00D904E3">
        <w:rPr>
          <w:rFonts w:cs="Arial"/>
        </w:rPr>
        <w:t>, 1</w:t>
      </w:r>
      <w:r w:rsidRPr="00D904E3">
        <w:rPr>
          <w:rFonts w:cs="Arial"/>
        </w:rPr>
        <w:t>1</w:t>
      </w:r>
      <w:r w:rsidR="00884FE7" w:rsidRPr="00D904E3">
        <w:rPr>
          <w:rFonts w:cs="Arial"/>
        </w:rPr>
        <w:t> </w:t>
      </w:r>
      <w:r w:rsidR="006E1489" w:rsidRPr="00D904E3">
        <w:rPr>
          <w:rFonts w:cs="Arial"/>
        </w:rPr>
        <w:t>5</w:t>
      </w:r>
      <w:r w:rsidRPr="00D904E3">
        <w:rPr>
          <w:rFonts w:cs="Arial"/>
        </w:rPr>
        <w:t>12</w:t>
      </w:r>
      <w:r w:rsidR="00884FE7" w:rsidRPr="00D904E3">
        <w:rPr>
          <w:rFonts w:cs="Arial"/>
        </w:rPr>
        <w:t xml:space="preserve"> households</w:t>
      </w:r>
      <w:r w:rsidRPr="00D904E3">
        <w:rPr>
          <w:rFonts w:cs="Arial"/>
        </w:rPr>
        <w:t xml:space="preserve"> were interviewed</w:t>
      </w:r>
      <w:r w:rsidR="00884FE7" w:rsidRPr="00D904E3">
        <w:rPr>
          <w:rFonts w:cs="Arial"/>
        </w:rPr>
        <w:t xml:space="preserve">, </w:t>
      </w:r>
      <w:r w:rsidRPr="00D904E3">
        <w:rPr>
          <w:rFonts w:cs="Arial"/>
        </w:rPr>
        <w:t>i.e. 28</w:t>
      </w:r>
      <w:r w:rsidR="00884FE7" w:rsidRPr="00D904E3">
        <w:rPr>
          <w:rFonts w:cs="Arial"/>
        </w:rPr>
        <w:t> </w:t>
      </w:r>
      <w:r w:rsidRPr="00D904E3">
        <w:rPr>
          <w:rFonts w:cs="Arial"/>
        </w:rPr>
        <w:t>288</w:t>
      </w:r>
      <w:r w:rsidR="00884FE7" w:rsidRPr="00D904E3">
        <w:rPr>
          <w:rFonts w:cs="Arial"/>
        </w:rPr>
        <w:t xml:space="preserve"> </w:t>
      </w:r>
      <w:r w:rsidRPr="00D904E3">
        <w:rPr>
          <w:rFonts w:cs="Arial"/>
        </w:rPr>
        <w:t>persons aged 15 and over</w:t>
      </w:r>
      <w:r w:rsidR="00884FE7" w:rsidRPr="00D904E3">
        <w:rPr>
          <w:rFonts w:cs="Arial"/>
        </w:rPr>
        <w:t>.</w:t>
      </w:r>
    </w:p>
    <w:p w:rsidR="00F52262" w:rsidRPr="00566CD5" w:rsidRDefault="00884FE7" w:rsidP="00566CD5">
      <w:pPr>
        <w:spacing w:before="120" w:after="120" w:line="288" w:lineRule="auto"/>
        <w:jc w:val="both"/>
        <w:rPr>
          <w:rFonts w:cs="Arial"/>
          <w:color w:val="2E74B5"/>
        </w:rPr>
      </w:pPr>
      <w:r w:rsidRPr="00D904E3">
        <w:rPr>
          <w:rFonts w:cs="Arial"/>
          <w:spacing w:val="-2"/>
        </w:rPr>
        <w:t xml:space="preserve">More detailed data can be obtained in the tables that are part of the Statistical Release on Labour Force Survey for the </w:t>
      </w:r>
      <w:r w:rsidR="0022404C" w:rsidRPr="00D904E3">
        <w:rPr>
          <w:rFonts w:cs="Arial"/>
          <w:spacing w:val="-2"/>
        </w:rPr>
        <w:t>fourth</w:t>
      </w:r>
      <w:r w:rsidRPr="00D904E3">
        <w:rPr>
          <w:rFonts w:cs="Arial"/>
          <w:spacing w:val="-2"/>
        </w:rPr>
        <w:t xml:space="preserve"> quarter 202</w:t>
      </w:r>
      <w:r w:rsidR="0022404C" w:rsidRPr="00D904E3">
        <w:rPr>
          <w:rFonts w:cs="Arial"/>
          <w:spacing w:val="-2"/>
        </w:rPr>
        <w:t>3</w:t>
      </w:r>
      <w:r w:rsidRPr="00D904E3">
        <w:rPr>
          <w:rFonts w:cs="Arial"/>
          <w:spacing w:val="-2"/>
        </w:rPr>
        <w:t xml:space="preserve"> (RS10), on the address: </w:t>
      </w:r>
      <w:hyperlink r:id="rId12" w:history="1">
        <w:r w:rsidR="00566CD5" w:rsidRPr="001E6168">
          <w:rPr>
            <w:rStyle w:val="Hyperlink"/>
            <w:rFonts w:cs="Arial"/>
          </w:rPr>
          <w:t>http://publikacije.stat.gov.rs/G2024/Xls/G20241053.xlsx</w:t>
        </w:r>
      </w:hyperlink>
      <w:r w:rsidRPr="00566CD5">
        <w:rPr>
          <w:rFonts w:cs="Arial"/>
          <w:color w:val="2E74B5"/>
        </w:rPr>
        <w:t>.</w:t>
      </w:r>
    </w:p>
    <w:p w:rsidR="0022404C" w:rsidRPr="00D904E3" w:rsidRDefault="0022404C" w:rsidP="003244FE">
      <w:pPr>
        <w:spacing w:before="120" w:after="120" w:line="288" w:lineRule="auto"/>
        <w:ind w:firstLine="403"/>
        <w:jc w:val="both"/>
        <w:rPr>
          <w:rFonts w:cs="Arial"/>
        </w:rPr>
      </w:pPr>
    </w:p>
    <w:p w:rsidR="0022404C" w:rsidRPr="00D904E3" w:rsidRDefault="0022404C" w:rsidP="003244FE">
      <w:pPr>
        <w:spacing w:before="120" w:after="120" w:line="288" w:lineRule="auto"/>
        <w:ind w:firstLine="403"/>
        <w:jc w:val="both"/>
        <w:rPr>
          <w:rFonts w:cs="Arial"/>
        </w:rPr>
      </w:pPr>
    </w:p>
    <w:p w:rsidR="0022404C" w:rsidRPr="00D904E3" w:rsidRDefault="0022404C" w:rsidP="003244FE">
      <w:pPr>
        <w:spacing w:before="120" w:after="120" w:line="288" w:lineRule="auto"/>
        <w:ind w:firstLine="403"/>
        <w:jc w:val="both"/>
        <w:rPr>
          <w:rFonts w:cs="Arial"/>
        </w:rPr>
      </w:pPr>
    </w:p>
    <w:p w:rsidR="00A049F0" w:rsidRPr="00D904E3" w:rsidRDefault="00A049F0">
      <w:pPr>
        <w:spacing w:after="160" w:line="259" w:lineRule="auto"/>
        <w:rPr>
          <w:rFonts w:cs="Arial"/>
          <w:b/>
        </w:rPr>
      </w:pPr>
    </w:p>
    <w:p w:rsidR="00A049F0" w:rsidRPr="00D904E3" w:rsidRDefault="00A049F0">
      <w:pPr>
        <w:spacing w:after="160" w:line="259" w:lineRule="auto"/>
        <w:rPr>
          <w:rFonts w:cs="Arial"/>
          <w:b/>
        </w:rPr>
      </w:pPr>
    </w:p>
    <w:p w:rsidR="00F52262" w:rsidRPr="00566CD5" w:rsidRDefault="00884FE7" w:rsidP="00566CD5">
      <w:pPr>
        <w:spacing w:before="480" w:after="120" w:line="264" w:lineRule="auto"/>
        <w:rPr>
          <w:rFonts w:cs="Arial"/>
          <w:b/>
          <w:color w:val="2E74B5"/>
        </w:rPr>
      </w:pPr>
      <w:r w:rsidRPr="00566CD5">
        <w:rPr>
          <w:rFonts w:cs="Arial"/>
          <w:b/>
          <w:color w:val="2E74B5"/>
        </w:rPr>
        <w:t>Methodological notes</w:t>
      </w:r>
    </w:p>
    <w:p w:rsidR="00F52262" w:rsidRPr="00D904E3" w:rsidRDefault="00884FE7" w:rsidP="00566CD5">
      <w:pPr>
        <w:spacing w:before="120" w:after="120" w:line="264" w:lineRule="auto"/>
        <w:jc w:val="both"/>
        <w:rPr>
          <w:rFonts w:eastAsia="Calibri" w:cs="Arial"/>
        </w:rPr>
      </w:pPr>
      <w:r w:rsidRPr="00D904E3">
        <w:rPr>
          <w:rFonts w:eastAsia="Calibri" w:cs="Arial"/>
        </w:rPr>
        <w:lastRenderedPageBreak/>
        <w:t xml:space="preserve">Labour Force Survey (LFS) is the most complex and the only internationally comparable instrument for labour trends monitoring, registering demographic and socio–economic characteristics of population aged 15 and over.  </w:t>
      </w:r>
    </w:p>
    <w:p w:rsidR="00F52262" w:rsidRPr="00D904E3" w:rsidRDefault="00884FE7" w:rsidP="00566CD5">
      <w:pPr>
        <w:spacing w:before="120" w:after="120" w:line="264" w:lineRule="auto"/>
        <w:jc w:val="both"/>
        <w:rPr>
          <w:rFonts w:eastAsia="Calibri" w:cs="Arial"/>
        </w:rPr>
      </w:pPr>
      <w:r w:rsidRPr="00D904E3">
        <w:rPr>
          <w:rFonts w:eastAsia="Calibri" w:cs="Arial"/>
        </w:rPr>
        <w:t>The main aim of the survey is estimating the labour force volume, i.e. employed and unemployed population, where employment relates to work in both formal and informal sector.</w:t>
      </w:r>
    </w:p>
    <w:p w:rsidR="00F52262" w:rsidRPr="00D904E3" w:rsidRDefault="00884FE7" w:rsidP="00566CD5">
      <w:pPr>
        <w:spacing w:before="120" w:after="120" w:line="264" w:lineRule="auto"/>
        <w:jc w:val="both"/>
        <w:rPr>
          <w:rFonts w:eastAsia="Calibri" w:cs="Arial"/>
        </w:rPr>
      </w:pPr>
      <w:r w:rsidRPr="00D904E3">
        <w:rPr>
          <w:rFonts w:eastAsia="Calibri" w:cs="Arial"/>
        </w:rPr>
        <w:t>Additionally, LFS deals with characteristics of employment (professional status of the employed persons, their activity, occupation, rights realized at work…) and unemployment (acquired education, duration of job seeking, previous working experience…), as well as characteristics of inactive population – their education, age, income source and readiness for involvement in labour market.</w:t>
      </w:r>
    </w:p>
    <w:p w:rsidR="00F52262" w:rsidRPr="00D904E3" w:rsidRDefault="00884FE7" w:rsidP="00566CD5">
      <w:pPr>
        <w:spacing w:before="120" w:after="120" w:line="264" w:lineRule="auto"/>
        <w:jc w:val="both"/>
        <w:rPr>
          <w:rFonts w:eastAsia="Calibri" w:cs="Arial"/>
        </w:rPr>
      </w:pPr>
      <w:r w:rsidRPr="00D904E3">
        <w:rPr>
          <w:rFonts w:eastAsia="Calibri" w:cs="Arial"/>
        </w:rPr>
        <w:t xml:space="preserve">Persons (aged 15-89) who performed at least for </w:t>
      </w:r>
      <w:r w:rsidR="00D904E3">
        <w:rPr>
          <w:rFonts w:eastAsia="Calibri" w:cs="Arial"/>
        </w:rPr>
        <w:t>an</w:t>
      </w:r>
      <w:r w:rsidRPr="00D904E3">
        <w:rPr>
          <w:rFonts w:eastAsia="Calibri" w:cs="Arial"/>
        </w:rPr>
        <w:t xml:space="preserve"> hour paid work (for cash or in kind) in the reference week, as well as persons who had an employment, but were temporarily absent from work in that week, are counted as </w:t>
      </w:r>
      <w:r w:rsidRPr="00D904E3">
        <w:rPr>
          <w:rFonts w:eastAsia="Calibri" w:cs="Arial"/>
          <w:b/>
          <w:bCs/>
        </w:rPr>
        <w:t>employed persons</w:t>
      </w:r>
      <w:r w:rsidRPr="00D904E3">
        <w:rPr>
          <w:rFonts w:eastAsia="Calibri" w:cs="Arial"/>
        </w:rPr>
        <w:t>.</w:t>
      </w:r>
    </w:p>
    <w:p w:rsidR="00F52262" w:rsidRPr="00D904E3" w:rsidRDefault="00884FE7" w:rsidP="00566CD5">
      <w:pPr>
        <w:spacing w:before="120" w:after="120" w:line="264" w:lineRule="auto"/>
        <w:jc w:val="both"/>
        <w:rPr>
          <w:rFonts w:cs="Arial"/>
        </w:rPr>
      </w:pPr>
      <w:r w:rsidRPr="00D904E3">
        <w:rPr>
          <w:rFonts w:cs="Arial"/>
          <w:b/>
          <w:bCs/>
        </w:rPr>
        <w:t xml:space="preserve">Employment rate </w:t>
      </w:r>
      <w:r w:rsidRPr="00D904E3">
        <w:rPr>
          <w:rFonts w:cs="Arial"/>
        </w:rPr>
        <w:t>is the percentage share of employed in the total population aged 15 and over.</w:t>
      </w:r>
    </w:p>
    <w:p w:rsidR="00F52262" w:rsidRPr="00D904E3" w:rsidRDefault="00884FE7" w:rsidP="00566CD5">
      <w:pPr>
        <w:spacing w:before="120" w:after="120" w:line="264" w:lineRule="auto"/>
        <w:jc w:val="both"/>
        <w:rPr>
          <w:rFonts w:cs="Arial"/>
        </w:rPr>
      </w:pPr>
      <w:r w:rsidRPr="00D904E3">
        <w:rPr>
          <w:rFonts w:cs="Arial"/>
          <w:b/>
        </w:rPr>
        <w:t>Informal employment</w:t>
      </w:r>
      <w:r w:rsidRPr="00D904E3">
        <w:rPr>
          <w:rFonts w:cs="Arial"/>
        </w:rPr>
        <w:t xml:space="preserve"> is considered to be work in unregistered companies, work in registered companies without an employment contract, as well as the work of contributing family members.</w:t>
      </w:r>
    </w:p>
    <w:p w:rsidR="00F52262" w:rsidRPr="00D904E3" w:rsidRDefault="00884FE7" w:rsidP="00566CD5">
      <w:pPr>
        <w:spacing w:before="120" w:after="120" w:line="264" w:lineRule="auto"/>
        <w:jc w:val="both"/>
        <w:rPr>
          <w:rFonts w:cs="Arial"/>
          <w:b/>
          <w:bCs/>
          <w:spacing w:val="-4"/>
        </w:rPr>
      </w:pPr>
      <w:r w:rsidRPr="00D904E3">
        <w:rPr>
          <w:rFonts w:cs="Arial"/>
          <w:b/>
          <w:bCs/>
        </w:rPr>
        <w:t>Informal employment rate</w:t>
      </w:r>
      <w:r w:rsidRPr="00D904E3">
        <w:rPr>
          <w:rFonts w:cs="Arial"/>
        </w:rPr>
        <w:t xml:space="preserve"> is the percentage share of informally employed in total employment.</w:t>
      </w:r>
    </w:p>
    <w:p w:rsidR="00F52262" w:rsidRPr="00D904E3" w:rsidRDefault="00884FE7" w:rsidP="00566CD5">
      <w:pPr>
        <w:spacing w:before="120" w:after="120" w:line="264" w:lineRule="auto"/>
        <w:jc w:val="both"/>
        <w:rPr>
          <w:rFonts w:cs="Arial"/>
        </w:rPr>
      </w:pPr>
      <w:r w:rsidRPr="00D904E3">
        <w:rPr>
          <w:rFonts w:cs="Arial"/>
          <w:b/>
          <w:bCs/>
        </w:rPr>
        <w:t>Unemployed persons</w:t>
      </w:r>
      <w:r w:rsidRPr="00D904E3">
        <w:rPr>
          <w:rFonts w:cs="Arial"/>
        </w:rPr>
        <w:t xml:space="preserve"> are the persons who, in the respective week, did no work for remuneration, who undertook active steps to find a job during four-week period preceding the respective week and who were able to start working in two-week time after the referent week.</w:t>
      </w:r>
    </w:p>
    <w:p w:rsidR="00F52262" w:rsidRPr="00D904E3" w:rsidRDefault="00884FE7" w:rsidP="00566CD5">
      <w:pPr>
        <w:keepNext/>
        <w:keepLines/>
        <w:spacing w:before="120" w:after="120" w:line="264" w:lineRule="auto"/>
        <w:jc w:val="both"/>
        <w:outlineLvl w:val="3"/>
        <w:rPr>
          <w:rFonts w:eastAsiaTheme="majorEastAsia" w:cs="Arial"/>
          <w:iCs/>
        </w:rPr>
      </w:pPr>
      <w:r w:rsidRPr="00D904E3">
        <w:rPr>
          <w:rFonts w:eastAsiaTheme="majorEastAsia" w:cs="Arial"/>
          <w:b/>
          <w:bCs/>
          <w:iCs/>
        </w:rPr>
        <w:t xml:space="preserve">Unemployment rate </w:t>
      </w:r>
      <w:r w:rsidRPr="00D904E3">
        <w:rPr>
          <w:rFonts w:eastAsiaTheme="majorEastAsia" w:cs="Arial"/>
          <w:iCs/>
        </w:rPr>
        <w:t>presents the percentage share of unemployed population in labour force (employed and unemployed).</w:t>
      </w:r>
    </w:p>
    <w:p w:rsidR="00F52262" w:rsidRPr="00D904E3" w:rsidRDefault="00884FE7" w:rsidP="00566CD5">
      <w:pPr>
        <w:spacing w:before="120" w:after="120" w:line="264" w:lineRule="auto"/>
        <w:jc w:val="both"/>
        <w:rPr>
          <w:rFonts w:cs="Arial"/>
        </w:rPr>
      </w:pPr>
      <w:r w:rsidRPr="00D904E3">
        <w:rPr>
          <w:rFonts w:cs="Arial"/>
          <w:b/>
          <w:bCs/>
        </w:rPr>
        <w:t>Long-term unemployment rate</w:t>
      </w:r>
      <w:r w:rsidRPr="00D904E3">
        <w:rPr>
          <w:rFonts w:cs="Arial"/>
        </w:rPr>
        <w:t xml:space="preserve"> presents the percentage share of the unemployed for one year and more, in labour force (employed and unemployed).</w:t>
      </w:r>
    </w:p>
    <w:p w:rsidR="00F52262" w:rsidRPr="00D904E3" w:rsidRDefault="00884FE7" w:rsidP="00566CD5">
      <w:pPr>
        <w:spacing w:before="120" w:after="120" w:line="264" w:lineRule="auto"/>
        <w:jc w:val="both"/>
        <w:rPr>
          <w:rFonts w:eastAsia="Calibri" w:cs="Arial"/>
        </w:rPr>
      </w:pPr>
      <w:r w:rsidRPr="00D904E3">
        <w:rPr>
          <w:rFonts w:eastAsia="Calibri" w:cs="Arial"/>
          <w:b/>
          <w:bCs/>
        </w:rPr>
        <w:t xml:space="preserve">NEET rate – </w:t>
      </w:r>
      <w:r w:rsidRPr="00D904E3">
        <w:rPr>
          <w:rFonts w:eastAsia="Calibri" w:cs="Arial"/>
        </w:rPr>
        <w:t>refers to share of persons aged 15 to 24 (оr 15 - 29) neither employed, nor in education, training, in total population of that age.</w:t>
      </w:r>
    </w:p>
    <w:p w:rsidR="00F52262" w:rsidRPr="00D904E3" w:rsidRDefault="00884FE7" w:rsidP="00566CD5">
      <w:pPr>
        <w:spacing w:before="120" w:after="120" w:line="264" w:lineRule="auto"/>
        <w:jc w:val="both"/>
        <w:rPr>
          <w:rFonts w:cs="Arial"/>
        </w:rPr>
      </w:pPr>
      <w:r w:rsidRPr="00D904E3">
        <w:rPr>
          <w:rFonts w:cs="Arial"/>
          <w:b/>
          <w:bCs/>
        </w:rPr>
        <w:t>Active population</w:t>
      </w:r>
      <w:r w:rsidRPr="00D904E3">
        <w:rPr>
          <w:rFonts w:cs="Arial"/>
        </w:rPr>
        <w:t xml:space="preserve"> (</w:t>
      </w:r>
      <w:r w:rsidRPr="00D904E3">
        <w:rPr>
          <w:rFonts w:cs="Arial"/>
          <w:b/>
          <w:bCs/>
        </w:rPr>
        <w:t>labour force</w:t>
      </w:r>
      <w:r w:rsidRPr="00D904E3">
        <w:rPr>
          <w:rFonts w:cs="Arial"/>
        </w:rPr>
        <w:t>) includes all employed and unemployed persons.</w:t>
      </w:r>
    </w:p>
    <w:p w:rsidR="00F52262" w:rsidRPr="00D904E3" w:rsidRDefault="00884FE7" w:rsidP="00566CD5">
      <w:pPr>
        <w:keepNext/>
        <w:keepLines/>
        <w:spacing w:before="120" w:after="120" w:line="264" w:lineRule="auto"/>
        <w:jc w:val="both"/>
        <w:outlineLvl w:val="3"/>
        <w:rPr>
          <w:rFonts w:eastAsiaTheme="majorEastAsia" w:cs="Arial"/>
          <w:iCs/>
          <w:spacing w:val="-4"/>
        </w:rPr>
      </w:pPr>
      <w:r w:rsidRPr="00D904E3">
        <w:rPr>
          <w:rFonts w:eastAsiaTheme="majorEastAsia" w:cs="Arial"/>
          <w:b/>
          <w:bCs/>
          <w:iCs/>
          <w:spacing w:val="-4"/>
        </w:rPr>
        <w:t>Activity rate (share of labour force)</w:t>
      </w:r>
      <w:r w:rsidRPr="00D904E3">
        <w:rPr>
          <w:rFonts w:eastAsiaTheme="majorEastAsia" w:cs="Arial"/>
          <w:iCs/>
          <w:spacing w:val="-4"/>
        </w:rPr>
        <w:t xml:space="preserve"> presents the percentage share of active population in the referent population aged 15 and over.</w:t>
      </w:r>
    </w:p>
    <w:p w:rsidR="00F52262" w:rsidRPr="00D904E3" w:rsidRDefault="00051A5E" w:rsidP="00566CD5">
      <w:pPr>
        <w:spacing w:before="120" w:after="120" w:line="264" w:lineRule="auto"/>
        <w:jc w:val="both"/>
        <w:rPr>
          <w:rFonts w:cs="Arial"/>
        </w:rPr>
      </w:pPr>
      <w:r w:rsidRPr="00D904E3">
        <w:rPr>
          <w:rFonts w:cs="Arial"/>
          <w:b/>
          <w:bCs/>
        </w:rPr>
        <w:t xml:space="preserve">Out of the </w:t>
      </w:r>
      <w:r w:rsidR="00903733" w:rsidRPr="00D904E3">
        <w:rPr>
          <w:rFonts w:cs="Arial"/>
          <w:b/>
          <w:bCs/>
        </w:rPr>
        <w:t>labour</w:t>
      </w:r>
      <w:r w:rsidRPr="00D904E3">
        <w:rPr>
          <w:rFonts w:cs="Arial"/>
          <w:b/>
          <w:bCs/>
        </w:rPr>
        <w:t xml:space="preserve"> force</w:t>
      </w:r>
      <w:r w:rsidR="00884FE7" w:rsidRPr="00D904E3">
        <w:rPr>
          <w:rFonts w:cs="Arial"/>
          <w:b/>
          <w:bCs/>
        </w:rPr>
        <w:t xml:space="preserve"> population</w:t>
      </w:r>
      <w:r w:rsidR="00884FE7" w:rsidRPr="00D904E3">
        <w:rPr>
          <w:rFonts w:cs="Arial"/>
        </w:rPr>
        <w:t xml:space="preserve"> includes all persons </w:t>
      </w:r>
      <w:r w:rsidR="00F31F60" w:rsidRPr="00D904E3">
        <w:rPr>
          <w:rFonts w:cs="Arial"/>
        </w:rPr>
        <w:t>in the observed population (</w:t>
      </w:r>
      <w:r w:rsidR="00884FE7" w:rsidRPr="00D904E3">
        <w:rPr>
          <w:rFonts w:cs="Arial"/>
        </w:rPr>
        <w:t>aged 15 and over</w:t>
      </w:r>
      <w:r w:rsidR="00F31F60" w:rsidRPr="00D904E3">
        <w:rPr>
          <w:rFonts w:cs="Arial"/>
        </w:rPr>
        <w:t>)</w:t>
      </w:r>
      <w:r w:rsidR="00884FE7" w:rsidRPr="00D904E3">
        <w:rPr>
          <w:rFonts w:cs="Arial"/>
        </w:rPr>
        <w:t xml:space="preserve"> who are not classified in employed and unemployed population. </w:t>
      </w:r>
      <w:r w:rsidRPr="00D904E3">
        <w:rPr>
          <w:rFonts w:cs="Arial"/>
        </w:rPr>
        <w:t xml:space="preserve">Out of the </w:t>
      </w:r>
      <w:r w:rsidR="00903733" w:rsidRPr="00D904E3">
        <w:rPr>
          <w:rFonts w:cs="Arial"/>
        </w:rPr>
        <w:t>labour</w:t>
      </w:r>
      <w:r w:rsidRPr="00D904E3">
        <w:rPr>
          <w:rFonts w:cs="Arial"/>
        </w:rPr>
        <w:t xml:space="preserve"> force </w:t>
      </w:r>
      <w:r w:rsidR="00884FE7" w:rsidRPr="00D904E3">
        <w:rPr>
          <w:rFonts w:cs="Arial"/>
        </w:rPr>
        <w:t>population comprises students, pensioners, persons performing household tasks, as well as all other persons who performed no paid job in the observed week, did not actively seek a job and who were not able to start working in two-week time after the observed week.</w:t>
      </w:r>
    </w:p>
    <w:p w:rsidR="00F52262" w:rsidRPr="00D904E3" w:rsidRDefault="00F244C2" w:rsidP="00566CD5">
      <w:pPr>
        <w:keepNext/>
        <w:keepLines/>
        <w:spacing w:before="120" w:after="120" w:line="264" w:lineRule="auto"/>
        <w:jc w:val="both"/>
        <w:outlineLvl w:val="0"/>
        <w:rPr>
          <w:rFonts w:ascii="Arial IS" w:hAnsi="Arial IS" w:cs="Arial IS"/>
          <w:i/>
          <w:iCs/>
        </w:rPr>
      </w:pPr>
      <w:r w:rsidRPr="00D904E3">
        <w:rPr>
          <w:rFonts w:cs="Arial"/>
          <w:b/>
          <w:bCs/>
        </w:rPr>
        <w:t xml:space="preserve">Out of the </w:t>
      </w:r>
      <w:r w:rsidR="00903733" w:rsidRPr="00D904E3">
        <w:rPr>
          <w:rFonts w:cs="Arial"/>
          <w:b/>
          <w:bCs/>
        </w:rPr>
        <w:t>labour</w:t>
      </w:r>
      <w:r w:rsidRPr="00D904E3">
        <w:rPr>
          <w:rFonts w:cs="Arial"/>
          <w:b/>
          <w:bCs/>
        </w:rPr>
        <w:t xml:space="preserve"> force </w:t>
      </w:r>
      <w:r w:rsidR="00884FE7" w:rsidRPr="00D904E3">
        <w:rPr>
          <w:rFonts w:cs="Arial"/>
          <w:b/>
          <w:bCs/>
        </w:rPr>
        <w:t xml:space="preserve">rate </w:t>
      </w:r>
      <w:r w:rsidR="00884FE7" w:rsidRPr="00D904E3">
        <w:rPr>
          <w:rFonts w:cs="Arial"/>
        </w:rPr>
        <w:t>presents the percentage share of inactive population in total referent population aged 15 and over.</w:t>
      </w:r>
    </w:p>
    <w:p w:rsidR="00D15B35" w:rsidRPr="00D904E3" w:rsidRDefault="00884FE7" w:rsidP="00566CD5">
      <w:pPr>
        <w:spacing w:before="120" w:after="120" w:line="264" w:lineRule="auto"/>
        <w:rPr>
          <w:rFonts w:cs="Arial"/>
          <w:color w:val="2B71AC"/>
        </w:rPr>
      </w:pPr>
      <w:r w:rsidRPr="00D904E3">
        <w:rPr>
          <w:rFonts w:cs="Arial"/>
        </w:rPr>
        <w:t xml:space="preserve">For more detailed description of the Survey and </w:t>
      </w:r>
      <w:r w:rsidR="00D15B35" w:rsidRPr="00D904E3">
        <w:rPr>
          <w:rFonts w:cs="Arial"/>
        </w:rPr>
        <w:t xml:space="preserve">methodology </w:t>
      </w:r>
      <w:r w:rsidRPr="00D904E3">
        <w:rPr>
          <w:rFonts w:cs="Arial"/>
        </w:rPr>
        <w:t xml:space="preserve">of labour force, see </w:t>
      </w:r>
      <w:hyperlink r:id="rId13" w:history="1">
        <w:r w:rsidR="00D15B35" w:rsidRPr="00D904E3">
          <w:rPr>
            <w:rStyle w:val="Hyperlink"/>
            <w:color w:val="2B71AC"/>
          </w:rPr>
          <w:t>https://data.stat.gov.rs/Metadata/24_Zarade/Html/240003_ESMS_G0_2021_1.html</w:t>
        </w:r>
      </w:hyperlink>
      <w:r w:rsidR="00D15B35" w:rsidRPr="00D904E3">
        <w:rPr>
          <w:rFonts w:cs="Arial"/>
          <w:color w:val="2B71AC"/>
        </w:rPr>
        <w:t xml:space="preserve"> </w:t>
      </w:r>
    </w:p>
    <w:p w:rsidR="00F52262" w:rsidRPr="00D904E3" w:rsidRDefault="00F52262" w:rsidP="00566CD5">
      <w:pPr>
        <w:spacing w:before="120" w:after="120" w:line="264" w:lineRule="auto"/>
        <w:jc w:val="both"/>
        <w:rPr>
          <w:rFonts w:cs="Arial"/>
        </w:rPr>
      </w:pPr>
    </w:p>
    <w:p w:rsidR="00F52262" w:rsidRPr="00D904E3" w:rsidRDefault="00884FE7" w:rsidP="00566CD5">
      <w:pPr>
        <w:spacing w:before="120" w:after="120" w:line="264" w:lineRule="auto"/>
        <w:jc w:val="both"/>
        <w:rPr>
          <w:rFonts w:cs="Arial"/>
        </w:rPr>
      </w:pPr>
      <w:r w:rsidRPr="00D904E3">
        <w:rPr>
          <w:rFonts w:cs="Arial"/>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rsidR="00F52262" w:rsidRPr="00D904E3" w:rsidRDefault="00F52262">
      <w:pPr>
        <w:pStyle w:val="FootnoteText"/>
        <w:spacing w:before="100" w:after="100" w:line="300" w:lineRule="auto"/>
        <w:jc w:val="both"/>
        <w:rPr>
          <w:rFonts w:ascii="Arial" w:hAnsi="Arial" w:cs="Arial"/>
        </w:rPr>
      </w:pPr>
    </w:p>
    <w:p w:rsidR="00F52262" w:rsidRPr="00D904E3" w:rsidRDefault="00F52262">
      <w:pPr>
        <w:ind w:left="1416" w:firstLine="708"/>
        <w:rPr>
          <w:rFonts w:cs="Arial"/>
          <w:sz w:val="18"/>
          <w:szCs w:val="18"/>
        </w:rPr>
      </w:pPr>
    </w:p>
    <w:p w:rsidR="00F52262" w:rsidRPr="00D904E3" w:rsidRDefault="00290EAE">
      <w:pPr>
        <w:ind w:left="1416" w:firstLine="708"/>
        <w:rPr>
          <w:rFonts w:cs="Arial"/>
          <w:sz w:val="18"/>
          <w:szCs w:val="18"/>
        </w:rPr>
      </w:pPr>
      <w:r>
        <w:pict>
          <v:line id="Straight Connector 8" o:spid="_x0000_s1027" style="position:absolute;left:0;text-align:left;z-index:251663360;visibility:visible;mso-wrap-distance-top:-3e-5mm;mso-wrap-distance-bottom:-3e-5mm;mso-width-relative:margin;mso-height-relative:margin" from="74.8pt,4.9pt" to="443.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" strokecolor="#7f7f7f" strokeweight="1pt">
            <o:lock v:ext="edit" shapetype="f"/>
          </v:line>
        </w:pict>
      </w:r>
    </w:p>
    <w:p w:rsidR="00F52262" w:rsidRPr="00D904E3" w:rsidRDefault="00884FE7">
      <w:pPr>
        <w:ind w:left="1416" w:firstLine="708"/>
        <w:rPr>
          <w:rFonts w:cs="Arial"/>
          <w:sz w:val="18"/>
          <w:szCs w:val="18"/>
        </w:rPr>
      </w:pPr>
      <w:r w:rsidRPr="00D904E3">
        <w:rPr>
          <w:rFonts w:cs="Arial"/>
          <w:sz w:val="18"/>
          <w:szCs w:val="18"/>
        </w:rPr>
        <w:t xml:space="preserve">Contact: </w:t>
      </w:r>
      <w:hyperlink r:id="rId14" w:history="1">
        <w:r w:rsidRPr="00D904E3">
          <w:rPr>
            <w:rStyle w:val="Hyperlink"/>
            <w:rFonts w:cs="Arial"/>
            <w:sz w:val="18"/>
            <w:szCs w:val="18"/>
          </w:rPr>
          <w:t>ars@stat.gov.rs</w:t>
        </w:r>
      </w:hyperlink>
      <w:r w:rsidRPr="00D904E3">
        <w:rPr>
          <w:rStyle w:val="Hyperlink"/>
          <w:rFonts w:cs="Arial"/>
          <w:sz w:val="18"/>
          <w:szCs w:val="18"/>
        </w:rPr>
        <w:t>,</w:t>
      </w:r>
      <w:r w:rsidRPr="00D904E3">
        <w:rPr>
          <w:rFonts w:cs="Arial"/>
          <w:sz w:val="18"/>
          <w:szCs w:val="18"/>
        </w:rPr>
        <w:t xml:space="preserve"> Phone: +381 11 2412 922, ext. </w:t>
      </w:r>
      <w:r w:rsidR="00D15B35" w:rsidRPr="00D904E3">
        <w:rPr>
          <w:rFonts w:cs="Arial"/>
          <w:sz w:val="18"/>
          <w:szCs w:val="18"/>
        </w:rPr>
        <w:t>372</w:t>
      </w:r>
    </w:p>
    <w:p w:rsidR="00F52262" w:rsidRPr="00D904E3" w:rsidRDefault="00884FE7">
      <w:pPr>
        <w:jc w:val="center"/>
        <w:rPr>
          <w:rFonts w:cs="Arial"/>
          <w:iCs/>
          <w:sz w:val="18"/>
          <w:szCs w:val="18"/>
        </w:rPr>
      </w:pPr>
      <w:r w:rsidRPr="00D904E3">
        <w:rPr>
          <w:rFonts w:cs="Arial"/>
          <w:iCs/>
          <w:sz w:val="18"/>
          <w:szCs w:val="18"/>
        </w:rPr>
        <w:t>Published and printed by: Statistical Office of the Republic of Serbia, 11 050 Belgrade, MilanaRakica 5</w:t>
      </w:r>
    </w:p>
    <w:p w:rsidR="00F52262" w:rsidRPr="00D904E3" w:rsidRDefault="00884FE7">
      <w:pPr>
        <w:jc w:val="center"/>
        <w:rPr>
          <w:rFonts w:cs="Arial"/>
          <w:iCs/>
          <w:sz w:val="18"/>
          <w:szCs w:val="18"/>
        </w:rPr>
      </w:pPr>
      <w:r w:rsidRPr="00D904E3">
        <w:rPr>
          <w:rFonts w:cs="Arial"/>
          <w:iCs/>
          <w:sz w:val="18"/>
          <w:szCs w:val="18"/>
        </w:rPr>
        <w:t xml:space="preserve">Phone: +381 11 2412922 </w:t>
      </w:r>
      <w:r w:rsidRPr="00D904E3">
        <w:rPr>
          <w:rFonts w:cs="Arial"/>
          <w:sz w:val="18"/>
          <w:szCs w:val="18"/>
        </w:rPr>
        <w:t xml:space="preserve">(telephone exchange) </w:t>
      </w:r>
      <w:r w:rsidRPr="00D904E3">
        <w:rPr>
          <w:rFonts w:cs="Arial"/>
          <w:iCs/>
          <w:sz w:val="18"/>
          <w:szCs w:val="18"/>
        </w:rPr>
        <w:t xml:space="preserve">● Fax: +381 11 2411260 ● www.stat.gov.rs  </w:t>
      </w:r>
    </w:p>
    <w:p w:rsidR="00F52262" w:rsidRPr="00D904E3" w:rsidRDefault="00884FE7">
      <w:pPr>
        <w:jc w:val="center"/>
        <w:rPr>
          <w:rFonts w:cs="Arial"/>
          <w:iCs/>
          <w:sz w:val="18"/>
          <w:szCs w:val="18"/>
        </w:rPr>
      </w:pPr>
      <w:r w:rsidRPr="00D904E3">
        <w:rPr>
          <w:rFonts w:cs="Arial"/>
          <w:iCs/>
          <w:sz w:val="18"/>
          <w:szCs w:val="18"/>
        </w:rPr>
        <w:t>Responsible: Dr Miladin Kovačević, Director</w:t>
      </w:r>
    </w:p>
    <w:p w:rsidR="00F52262" w:rsidRPr="00D904E3" w:rsidRDefault="00884FE7">
      <w:pPr>
        <w:spacing w:after="60"/>
        <w:jc w:val="center"/>
        <w:rPr>
          <w:rFonts w:cs="Arial"/>
          <w:sz w:val="18"/>
          <w:szCs w:val="18"/>
        </w:rPr>
      </w:pPr>
      <w:r w:rsidRPr="00D904E3">
        <w:rPr>
          <w:rFonts w:cs="Arial"/>
          <w:sz w:val="18"/>
          <w:szCs w:val="18"/>
        </w:rPr>
        <w:t>Circulation: 20 • Periodicity: quarterly</w:t>
      </w:r>
    </w:p>
    <w:sectPr w:rsidR="00F52262" w:rsidRPr="00D904E3" w:rsidSect="000334CA">
      <w:footerReference w:type="even" r:id="rId15"/>
      <w:footerReference w:type="default" r:id="rId16"/>
      <w:footnotePr>
        <w:numRestart w:val="eachPage"/>
      </w:footnotePr>
      <w:pgSz w:w="11906" w:h="16838"/>
      <w:pgMar w:top="907" w:right="851" w:bottom="90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8C" w:rsidRDefault="00F4118C">
      <w:r>
        <w:separator/>
      </w:r>
    </w:p>
  </w:endnote>
  <w:endnote w:type="continuationSeparator" w:id="0">
    <w:p w:rsidR="00F4118C" w:rsidRDefault="00F4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IS">
    <w:panose1 w:val="020B0604020202090204"/>
    <w:charset w:val="00"/>
    <w:family w:val="swiss"/>
    <w:pitch w:val="variable"/>
    <w:sig w:usb0="20000A87" w:usb1="0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2" w:rsidRDefault="00F14BC4">
    <w:pPr>
      <w:pStyle w:val="Footer"/>
      <w:pBdr>
        <w:top w:val="single" w:sz="4" w:space="1" w:color="auto"/>
      </w:pBdr>
      <w:spacing w:before="240"/>
      <w:rPr>
        <w:rFonts w:ascii="Arial" w:hAnsi="Arial" w:cs="Arial"/>
        <w:sz w:val="16"/>
        <w:szCs w:val="16"/>
      </w:rPr>
    </w:pPr>
    <w:r>
      <w:rPr>
        <w:rFonts w:ascii="Arial" w:hAnsi="Arial" w:cs="Arial"/>
        <w:sz w:val="16"/>
        <w:szCs w:val="16"/>
      </w:rPr>
      <w:fldChar w:fldCharType="begin"/>
    </w:r>
    <w:r w:rsidR="00884FE7">
      <w:rPr>
        <w:rFonts w:ascii="Arial" w:hAnsi="Arial" w:cs="Arial"/>
        <w:sz w:val="16"/>
        <w:szCs w:val="16"/>
      </w:rPr>
      <w:instrText xml:space="preserve"> PAGE   \* MERGEFORMAT </w:instrText>
    </w:r>
    <w:r>
      <w:rPr>
        <w:rFonts w:ascii="Arial" w:hAnsi="Arial" w:cs="Arial"/>
        <w:sz w:val="16"/>
        <w:szCs w:val="16"/>
      </w:rPr>
      <w:fldChar w:fldCharType="separate"/>
    </w:r>
    <w:r w:rsidR="00290EAE">
      <w:rPr>
        <w:rFonts w:ascii="Arial" w:hAnsi="Arial" w:cs="Arial"/>
        <w:noProof/>
        <w:sz w:val="16"/>
        <w:szCs w:val="16"/>
      </w:rPr>
      <w:t>6</w:t>
    </w:r>
    <w:r>
      <w:rPr>
        <w:rFonts w:ascii="Arial" w:hAnsi="Arial" w:cs="Arial"/>
        <w:sz w:val="16"/>
        <w:szCs w:val="16"/>
      </w:rPr>
      <w:fldChar w:fldCharType="end"/>
    </w:r>
    <w:r w:rsidR="00566CD5">
      <w:rPr>
        <w:rFonts w:ascii="Arial" w:hAnsi="Arial" w:cs="Arial"/>
        <w:sz w:val="16"/>
        <w:szCs w:val="16"/>
      </w:rPr>
      <w:t xml:space="preserve">                                                                                                                                                                                            </w:t>
    </w:r>
    <w:r w:rsidR="00884FE7">
      <w:rPr>
        <w:rFonts w:ascii="Arial" w:eastAsia="Times New Roman" w:hAnsi="Arial" w:cs="Arial"/>
        <w:sz w:val="16"/>
        <w:szCs w:val="16"/>
        <w:lang w:val="en-US"/>
      </w:rPr>
      <w:t>SERB</w:t>
    </w:r>
    <w:r w:rsidR="00566CD5">
      <w:rPr>
        <w:rFonts w:ascii="Arial" w:eastAsia="Times New Roman" w:hAnsi="Arial" w:cs="Arial"/>
        <w:sz w:val="16"/>
        <w:szCs w:val="16"/>
        <w:lang w:val="en-US"/>
      </w:rPr>
      <w:t>053</w:t>
    </w:r>
    <w:r w:rsidR="00884FE7">
      <w:rPr>
        <w:rFonts w:ascii="Arial" w:eastAsia="Times New Roman" w:hAnsi="Arial" w:cs="Arial"/>
        <w:sz w:val="16"/>
        <w:szCs w:val="16"/>
        <w:lang w:val="en-US"/>
      </w:rPr>
      <w:t xml:space="preserve"> RS10 </w:t>
    </w:r>
    <w:r w:rsidR="00566CD5">
      <w:rPr>
        <w:rFonts w:ascii="Arial" w:eastAsia="Times New Roman" w:hAnsi="Arial" w:cs="Arial"/>
        <w:sz w:val="16"/>
        <w:szCs w:val="16"/>
        <w:lang w:val="en-US"/>
      </w:rPr>
      <w:t>290224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62" w:rsidRDefault="00884FE7">
    <w:pPr>
      <w:pStyle w:val="Footer"/>
      <w:pBdr>
        <w:top w:val="single" w:sz="4" w:space="1" w:color="auto"/>
      </w:pBdr>
      <w:spacing w:before="240"/>
      <w:rPr>
        <w:rFonts w:ascii="Arial" w:hAnsi="Arial" w:cs="Arial"/>
        <w:sz w:val="16"/>
        <w:szCs w:val="16"/>
      </w:rPr>
    </w:pPr>
    <w:r>
      <w:rPr>
        <w:rFonts w:ascii="Arial" w:eastAsia="Times New Roman" w:hAnsi="Arial" w:cs="Arial"/>
        <w:sz w:val="16"/>
        <w:szCs w:val="16"/>
      </w:rPr>
      <w:t>SERB</w:t>
    </w:r>
    <w:r w:rsidR="00566CD5">
      <w:rPr>
        <w:rFonts w:ascii="Arial" w:eastAsia="Times New Roman" w:hAnsi="Arial" w:cs="Arial"/>
        <w:sz w:val="16"/>
        <w:szCs w:val="16"/>
      </w:rPr>
      <w:t>053</w:t>
    </w:r>
    <w:r>
      <w:rPr>
        <w:rFonts w:ascii="Arial" w:eastAsia="Times New Roman" w:hAnsi="Arial" w:cs="Arial"/>
        <w:sz w:val="16"/>
        <w:szCs w:val="16"/>
      </w:rPr>
      <w:t xml:space="preserve"> RS10 </w:t>
    </w:r>
    <w:r w:rsidR="00566CD5">
      <w:rPr>
        <w:rFonts w:ascii="Arial" w:eastAsia="Times New Roman" w:hAnsi="Arial" w:cs="Arial"/>
        <w:sz w:val="16"/>
        <w:szCs w:val="16"/>
      </w:rPr>
      <w:t>290224</w:t>
    </w:r>
    <w:r>
      <w:rPr>
        <w:rFonts w:ascii="Arial" w:eastAsia="Times New Roman" w:hAnsi="Arial" w:cs="Arial"/>
        <w:sz w:val="16"/>
        <w:szCs w:val="16"/>
      </w:rPr>
      <w:t xml:space="preserve">                                                                                                                                                                                            </w:t>
    </w:r>
    <w:r w:rsidR="00F14BC4">
      <w:rPr>
        <w:rFonts w:ascii="Arial" w:hAnsi="Arial" w:cs="Arial"/>
        <w:sz w:val="16"/>
        <w:szCs w:val="16"/>
      </w:rPr>
      <w:fldChar w:fldCharType="begin"/>
    </w:r>
    <w:r>
      <w:rPr>
        <w:rFonts w:ascii="Arial" w:hAnsi="Arial" w:cs="Arial"/>
        <w:sz w:val="16"/>
        <w:szCs w:val="16"/>
      </w:rPr>
      <w:instrText xml:space="preserve"> PAGE   \* MERGEFORMAT </w:instrText>
    </w:r>
    <w:r w:rsidR="00F14BC4">
      <w:rPr>
        <w:rFonts w:ascii="Arial" w:hAnsi="Arial" w:cs="Arial"/>
        <w:sz w:val="16"/>
        <w:szCs w:val="16"/>
      </w:rPr>
      <w:fldChar w:fldCharType="separate"/>
    </w:r>
    <w:r w:rsidR="00290EAE">
      <w:rPr>
        <w:rFonts w:ascii="Arial" w:hAnsi="Arial" w:cs="Arial"/>
        <w:noProof/>
        <w:sz w:val="16"/>
        <w:szCs w:val="16"/>
      </w:rPr>
      <w:t>5</w:t>
    </w:r>
    <w:r w:rsidR="00F14BC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8C" w:rsidRDefault="00F4118C">
      <w:r>
        <w:separator/>
      </w:r>
    </w:p>
  </w:footnote>
  <w:footnote w:type="continuationSeparator" w:id="0">
    <w:p w:rsidR="00F4118C" w:rsidRDefault="00F4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F1FDB"/>
    <w:rsid w:val="EFC8E199"/>
    <w:rsid w:val="F67ED716"/>
    <w:rsid w:val="FEFFC834"/>
    <w:rsid w:val="00000065"/>
    <w:rsid w:val="00000DA0"/>
    <w:rsid w:val="00003304"/>
    <w:rsid w:val="00006538"/>
    <w:rsid w:val="00010677"/>
    <w:rsid w:val="00010B08"/>
    <w:rsid w:val="00013093"/>
    <w:rsid w:val="00015B11"/>
    <w:rsid w:val="000239BD"/>
    <w:rsid w:val="0003096B"/>
    <w:rsid w:val="00030DBF"/>
    <w:rsid w:val="00030E76"/>
    <w:rsid w:val="00032799"/>
    <w:rsid w:val="000334CA"/>
    <w:rsid w:val="000348CE"/>
    <w:rsid w:val="00046DB9"/>
    <w:rsid w:val="00051A5E"/>
    <w:rsid w:val="0005439C"/>
    <w:rsid w:val="00056CE9"/>
    <w:rsid w:val="00066CE2"/>
    <w:rsid w:val="000738EC"/>
    <w:rsid w:val="00073C85"/>
    <w:rsid w:val="00075DD6"/>
    <w:rsid w:val="00076046"/>
    <w:rsid w:val="000764C1"/>
    <w:rsid w:val="00077879"/>
    <w:rsid w:val="00084400"/>
    <w:rsid w:val="00093C2C"/>
    <w:rsid w:val="0009649C"/>
    <w:rsid w:val="000A1427"/>
    <w:rsid w:val="000A395C"/>
    <w:rsid w:val="000B35EB"/>
    <w:rsid w:val="000B556F"/>
    <w:rsid w:val="000C3FD9"/>
    <w:rsid w:val="000C43A8"/>
    <w:rsid w:val="000C4CAF"/>
    <w:rsid w:val="000C6D73"/>
    <w:rsid w:val="000D69BB"/>
    <w:rsid w:val="000E70B3"/>
    <w:rsid w:val="000F046C"/>
    <w:rsid w:val="000F2A19"/>
    <w:rsid w:val="000F44C5"/>
    <w:rsid w:val="000F4A7D"/>
    <w:rsid w:val="00100800"/>
    <w:rsid w:val="00103A54"/>
    <w:rsid w:val="00106668"/>
    <w:rsid w:val="00106751"/>
    <w:rsid w:val="00106DE9"/>
    <w:rsid w:val="00112254"/>
    <w:rsid w:val="001156FD"/>
    <w:rsid w:val="0011686A"/>
    <w:rsid w:val="00122451"/>
    <w:rsid w:val="00126219"/>
    <w:rsid w:val="00127140"/>
    <w:rsid w:val="0013162E"/>
    <w:rsid w:val="00134023"/>
    <w:rsid w:val="0013616A"/>
    <w:rsid w:val="0015152C"/>
    <w:rsid w:val="0015173D"/>
    <w:rsid w:val="00151995"/>
    <w:rsid w:val="00151B31"/>
    <w:rsid w:val="00152D3F"/>
    <w:rsid w:val="001541A4"/>
    <w:rsid w:val="001643B8"/>
    <w:rsid w:val="00166DB3"/>
    <w:rsid w:val="00177381"/>
    <w:rsid w:val="00181947"/>
    <w:rsid w:val="00184AFD"/>
    <w:rsid w:val="00196487"/>
    <w:rsid w:val="00197228"/>
    <w:rsid w:val="001A2E37"/>
    <w:rsid w:val="001A5267"/>
    <w:rsid w:val="001A5920"/>
    <w:rsid w:val="001A634D"/>
    <w:rsid w:val="001C0F9C"/>
    <w:rsid w:val="001C2865"/>
    <w:rsid w:val="001C2A83"/>
    <w:rsid w:val="001C30FE"/>
    <w:rsid w:val="001D0622"/>
    <w:rsid w:val="001D3CEF"/>
    <w:rsid w:val="001E60E3"/>
    <w:rsid w:val="001F19B7"/>
    <w:rsid w:val="001F3AB9"/>
    <w:rsid w:val="0020430D"/>
    <w:rsid w:val="00204778"/>
    <w:rsid w:val="00204D36"/>
    <w:rsid w:val="002058FC"/>
    <w:rsid w:val="00205D63"/>
    <w:rsid w:val="00206DA3"/>
    <w:rsid w:val="00206E07"/>
    <w:rsid w:val="00210C1C"/>
    <w:rsid w:val="00210CD7"/>
    <w:rsid w:val="0021176C"/>
    <w:rsid w:val="00211806"/>
    <w:rsid w:val="00213C8C"/>
    <w:rsid w:val="002165BA"/>
    <w:rsid w:val="00220476"/>
    <w:rsid w:val="002230F8"/>
    <w:rsid w:val="0022404C"/>
    <w:rsid w:val="00225892"/>
    <w:rsid w:val="00227336"/>
    <w:rsid w:val="00232FA1"/>
    <w:rsid w:val="002338AB"/>
    <w:rsid w:val="00241CCE"/>
    <w:rsid w:val="002458F8"/>
    <w:rsid w:val="00251661"/>
    <w:rsid w:val="002518BC"/>
    <w:rsid w:val="002623E5"/>
    <w:rsid w:val="00262CE8"/>
    <w:rsid w:val="00271837"/>
    <w:rsid w:val="0027467B"/>
    <w:rsid w:val="0027499B"/>
    <w:rsid w:val="00275560"/>
    <w:rsid w:val="00277FE4"/>
    <w:rsid w:val="0028120D"/>
    <w:rsid w:val="0028150A"/>
    <w:rsid w:val="0028792B"/>
    <w:rsid w:val="00290EAE"/>
    <w:rsid w:val="00296794"/>
    <w:rsid w:val="002A0F49"/>
    <w:rsid w:val="002A5206"/>
    <w:rsid w:val="002A5578"/>
    <w:rsid w:val="002A7F09"/>
    <w:rsid w:val="002B6439"/>
    <w:rsid w:val="002B6AEA"/>
    <w:rsid w:val="002B7CF1"/>
    <w:rsid w:val="002C23C3"/>
    <w:rsid w:val="002C71F3"/>
    <w:rsid w:val="002D3A83"/>
    <w:rsid w:val="002D3DE0"/>
    <w:rsid w:val="002D6ED0"/>
    <w:rsid w:val="002E1F9F"/>
    <w:rsid w:val="002E2DA0"/>
    <w:rsid w:val="002E5232"/>
    <w:rsid w:val="002E64EA"/>
    <w:rsid w:val="002E68C6"/>
    <w:rsid w:val="002F2021"/>
    <w:rsid w:val="002F7531"/>
    <w:rsid w:val="00301CB4"/>
    <w:rsid w:val="0030252E"/>
    <w:rsid w:val="0030581A"/>
    <w:rsid w:val="00307EB0"/>
    <w:rsid w:val="003113B3"/>
    <w:rsid w:val="003138BC"/>
    <w:rsid w:val="00315106"/>
    <w:rsid w:val="0032019D"/>
    <w:rsid w:val="00320586"/>
    <w:rsid w:val="003207E5"/>
    <w:rsid w:val="003244FE"/>
    <w:rsid w:val="0032539F"/>
    <w:rsid w:val="00331733"/>
    <w:rsid w:val="00335F51"/>
    <w:rsid w:val="0033607C"/>
    <w:rsid w:val="0034349C"/>
    <w:rsid w:val="00356EDB"/>
    <w:rsid w:val="003648F3"/>
    <w:rsid w:val="0036735D"/>
    <w:rsid w:val="00370685"/>
    <w:rsid w:val="0037331A"/>
    <w:rsid w:val="003877B2"/>
    <w:rsid w:val="00387984"/>
    <w:rsid w:val="00391A81"/>
    <w:rsid w:val="0039649B"/>
    <w:rsid w:val="003A38E3"/>
    <w:rsid w:val="003A49CC"/>
    <w:rsid w:val="003A7B67"/>
    <w:rsid w:val="003B0A53"/>
    <w:rsid w:val="003B0E35"/>
    <w:rsid w:val="003B4E77"/>
    <w:rsid w:val="003C67F4"/>
    <w:rsid w:val="003C784C"/>
    <w:rsid w:val="003D1BAD"/>
    <w:rsid w:val="003D4780"/>
    <w:rsid w:val="003D6E3B"/>
    <w:rsid w:val="003D6FB6"/>
    <w:rsid w:val="003E6A11"/>
    <w:rsid w:val="003F1840"/>
    <w:rsid w:val="003F229B"/>
    <w:rsid w:val="00401B52"/>
    <w:rsid w:val="00401B6F"/>
    <w:rsid w:val="00402FB0"/>
    <w:rsid w:val="00407AEC"/>
    <w:rsid w:val="00412661"/>
    <w:rsid w:val="00415A07"/>
    <w:rsid w:val="00415AE4"/>
    <w:rsid w:val="004161FD"/>
    <w:rsid w:val="00417B20"/>
    <w:rsid w:val="00421F08"/>
    <w:rsid w:val="00424EB5"/>
    <w:rsid w:val="004253AF"/>
    <w:rsid w:val="00434417"/>
    <w:rsid w:val="004358E1"/>
    <w:rsid w:val="00436AE2"/>
    <w:rsid w:val="00440D47"/>
    <w:rsid w:val="004439E5"/>
    <w:rsid w:val="00444B09"/>
    <w:rsid w:val="0044726D"/>
    <w:rsid w:val="00451739"/>
    <w:rsid w:val="004533B8"/>
    <w:rsid w:val="0045438C"/>
    <w:rsid w:val="004568F6"/>
    <w:rsid w:val="0045721A"/>
    <w:rsid w:val="00460D42"/>
    <w:rsid w:val="00461651"/>
    <w:rsid w:val="004625B5"/>
    <w:rsid w:val="00466052"/>
    <w:rsid w:val="00472D04"/>
    <w:rsid w:val="00475D82"/>
    <w:rsid w:val="00475D8E"/>
    <w:rsid w:val="00476EBC"/>
    <w:rsid w:val="0049196E"/>
    <w:rsid w:val="004933F8"/>
    <w:rsid w:val="00494672"/>
    <w:rsid w:val="004A2B81"/>
    <w:rsid w:val="004A5C1A"/>
    <w:rsid w:val="004B0BEC"/>
    <w:rsid w:val="004B23E5"/>
    <w:rsid w:val="004B62C3"/>
    <w:rsid w:val="004C40C6"/>
    <w:rsid w:val="004C59E9"/>
    <w:rsid w:val="004D5448"/>
    <w:rsid w:val="004D5559"/>
    <w:rsid w:val="004E0CE4"/>
    <w:rsid w:val="004E4052"/>
    <w:rsid w:val="004E5E79"/>
    <w:rsid w:val="004F0B6D"/>
    <w:rsid w:val="004F268A"/>
    <w:rsid w:val="004F449F"/>
    <w:rsid w:val="004F6E59"/>
    <w:rsid w:val="0051113F"/>
    <w:rsid w:val="005149E9"/>
    <w:rsid w:val="00515EF4"/>
    <w:rsid w:val="00517932"/>
    <w:rsid w:val="00520D82"/>
    <w:rsid w:val="00523F0F"/>
    <w:rsid w:val="005270CA"/>
    <w:rsid w:val="005278AF"/>
    <w:rsid w:val="00531C77"/>
    <w:rsid w:val="00540EC8"/>
    <w:rsid w:val="005417F2"/>
    <w:rsid w:val="00541CEF"/>
    <w:rsid w:val="0054237A"/>
    <w:rsid w:val="00545B7A"/>
    <w:rsid w:val="005603EE"/>
    <w:rsid w:val="0056288F"/>
    <w:rsid w:val="00563809"/>
    <w:rsid w:val="00563A0D"/>
    <w:rsid w:val="00565286"/>
    <w:rsid w:val="00566CD5"/>
    <w:rsid w:val="00571C14"/>
    <w:rsid w:val="00575B7B"/>
    <w:rsid w:val="00576503"/>
    <w:rsid w:val="00584264"/>
    <w:rsid w:val="00586E90"/>
    <w:rsid w:val="005912BE"/>
    <w:rsid w:val="0059160F"/>
    <w:rsid w:val="005A78F5"/>
    <w:rsid w:val="005B08A0"/>
    <w:rsid w:val="005B2627"/>
    <w:rsid w:val="005D0BFA"/>
    <w:rsid w:val="005D3F8D"/>
    <w:rsid w:val="005D4CAF"/>
    <w:rsid w:val="005E3666"/>
    <w:rsid w:val="005E65AF"/>
    <w:rsid w:val="005E696F"/>
    <w:rsid w:val="005E6F1A"/>
    <w:rsid w:val="005F2939"/>
    <w:rsid w:val="0060303E"/>
    <w:rsid w:val="00605676"/>
    <w:rsid w:val="00607E22"/>
    <w:rsid w:val="00612AE0"/>
    <w:rsid w:val="00613ECE"/>
    <w:rsid w:val="006148C7"/>
    <w:rsid w:val="00624E41"/>
    <w:rsid w:val="00625934"/>
    <w:rsid w:val="006264D2"/>
    <w:rsid w:val="00632F01"/>
    <w:rsid w:val="00633F41"/>
    <w:rsid w:val="0064140B"/>
    <w:rsid w:val="006433F3"/>
    <w:rsid w:val="00667CA0"/>
    <w:rsid w:val="00670DFD"/>
    <w:rsid w:val="00671F79"/>
    <w:rsid w:val="006830B4"/>
    <w:rsid w:val="006854F3"/>
    <w:rsid w:val="00686AAB"/>
    <w:rsid w:val="00687560"/>
    <w:rsid w:val="0069569B"/>
    <w:rsid w:val="006A0E59"/>
    <w:rsid w:val="006A1222"/>
    <w:rsid w:val="006A15B1"/>
    <w:rsid w:val="006A1C70"/>
    <w:rsid w:val="006A6E25"/>
    <w:rsid w:val="006B1341"/>
    <w:rsid w:val="006B3B66"/>
    <w:rsid w:val="006C1641"/>
    <w:rsid w:val="006C2198"/>
    <w:rsid w:val="006C2E25"/>
    <w:rsid w:val="006C53DF"/>
    <w:rsid w:val="006D0ED9"/>
    <w:rsid w:val="006D21F5"/>
    <w:rsid w:val="006D5418"/>
    <w:rsid w:val="006D7E24"/>
    <w:rsid w:val="006E1489"/>
    <w:rsid w:val="006E4C40"/>
    <w:rsid w:val="006F0BB2"/>
    <w:rsid w:val="006F3615"/>
    <w:rsid w:val="00705354"/>
    <w:rsid w:val="00716008"/>
    <w:rsid w:val="00716137"/>
    <w:rsid w:val="007179D8"/>
    <w:rsid w:val="00721BBD"/>
    <w:rsid w:val="00722C7B"/>
    <w:rsid w:val="00725519"/>
    <w:rsid w:val="007258A5"/>
    <w:rsid w:val="00727EAB"/>
    <w:rsid w:val="007336AE"/>
    <w:rsid w:val="00737EA5"/>
    <w:rsid w:val="007411CC"/>
    <w:rsid w:val="0074514E"/>
    <w:rsid w:val="00746DD9"/>
    <w:rsid w:val="00747814"/>
    <w:rsid w:val="00751B4B"/>
    <w:rsid w:val="007568FD"/>
    <w:rsid w:val="00761651"/>
    <w:rsid w:val="0076359F"/>
    <w:rsid w:val="00766691"/>
    <w:rsid w:val="00767198"/>
    <w:rsid w:val="00780DB5"/>
    <w:rsid w:val="00781B0C"/>
    <w:rsid w:val="0078202D"/>
    <w:rsid w:val="0078275A"/>
    <w:rsid w:val="007838B6"/>
    <w:rsid w:val="00783A4C"/>
    <w:rsid w:val="00784C77"/>
    <w:rsid w:val="00794734"/>
    <w:rsid w:val="007972AA"/>
    <w:rsid w:val="007973C9"/>
    <w:rsid w:val="007A710F"/>
    <w:rsid w:val="007A7B1D"/>
    <w:rsid w:val="007A7D95"/>
    <w:rsid w:val="007B0A36"/>
    <w:rsid w:val="007B112C"/>
    <w:rsid w:val="007B433D"/>
    <w:rsid w:val="007B7F70"/>
    <w:rsid w:val="007C0EFB"/>
    <w:rsid w:val="007C1940"/>
    <w:rsid w:val="007C233B"/>
    <w:rsid w:val="007C388A"/>
    <w:rsid w:val="007C4816"/>
    <w:rsid w:val="007C4AA3"/>
    <w:rsid w:val="007C5CF3"/>
    <w:rsid w:val="007D478D"/>
    <w:rsid w:val="007D513C"/>
    <w:rsid w:val="007E2F4B"/>
    <w:rsid w:val="007E2FC1"/>
    <w:rsid w:val="007E39E2"/>
    <w:rsid w:val="007E6487"/>
    <w:rsid w:val="007E75F4"/>
    <w:rsid w:val="007F00DA"/>
    <w:rsid w:val="007F04AF"/>
    <w:rsid w:val="007F04C4"/>
    <w:rsid w:val="007F2030"/>
    <w:rsid w:val="007F58F3"/>
    <w:rsid w:val="007F79D5"/>
    <w:rsid w:val="008004E1"/>
    <w:rsid w:val="00800AAE"/>
    <w:rsid w:val="00810978"/>
    <w:rsid w:val="00814F67"/>
    <w:rsid w:val="008220FF"/>
    <w:rsid w:val="008253D5"/>
    <w:rsid w:val="00830131"/>
    <w:rsid w:val="008316F0"/>
    <w:rsid w:val="00837FE1"/>
    <w:rsid w:val="00852349"/>
    <w:rsid w:val="008544F6"/>
    <w:rsid w:val="008560F4"/>
    <w:rsid w:val="0085728F"/>
    <w:rsid w:val="00863855"/>
    <w:rsid w:val="00864F8D"/>
    <w:rsid w:val="0086505B"/>
    <w:rsid w:val="008807CB"/>
    <w:rsid w:val="00880A8B"/>
    <w:rsid w:val="00882574"/>
    <w:rsid w:val="00882BB3"/>
    <w:rsid w:val="00883C5C"/>
    <w:rsid w:val="0088400B"/>
    <w:rsid w:val="00884FE7"/>
    <w:rsid w:val="00895C7F"/>
    <w:rsid w:val="008A6A1E"/>
    <w:rsid w:val="008B2C9C"/>
    <w:rsid w:val="008B4880"/>
    <w:rsid w:val="008B4DF4"/>
    <w:rsid w:val="008C0465"/>
    <w:rsid w:val="008C2431"/>
    <w:rsid w:val="008C52BC"/>
    <w:rsid w:val="008C52F9"/>
    <w:rsid w:val="008D0A59"/>
    <w:rsid w:val="008D1A70"/>
    <w:rsid w:val="008E1872"/>
    <w:rsid w:val="008E20A0"/>
    <w:rsid w:val="008E72AB"/>
    <w:rsid w:val="008F1FDB"/>
    <w:rsid w:val="008F53C9"/>
    <w:rsid w:val="008F55FD"/>
    <w:rsid w:val="008F5D88"/>
    <w:rsid w:val="00901882"/>
    <w:rsid w:val="00903733"/>
    <w:rsid w:val="00903C4C"/>
    <w:rsid w:val="00907C09"/>
    <w:rsid w:val="00911976"/>
    <w:rsid w:val="00915BE5"/>
    <w:rsid w:val="009212F4"/>
    <w:rsid w:val="00924511"/>
    <w:rsid w:val="009246B8"/>
    <w:rsid w:val="00930544"/>
    <w:rsid w:val="00936402"/>
    <w:rsid w:val="0093657E"/>
    <w:rsid w:val="0094137C"/>
    <w:rsid w:val="00942052"/>
    <w:rsid w:val="00944E1D"/>
    <w:rsid w:val="00953601"/>
    <w:rsid w:val="00953DCE"/>
    <w:rsid w:val="00961739"/>
    <w:rsid w:val="00964DF0"/>
    <w:rsid w:val="00964EA6"/>
    <w:rsid w:val="00970E19"/>
    <w:rsid w:val="009773BD"/>
    <w:rsid w:val="009868C8"/>
    <w:rsid w:val="0099238E"/>
    <w:rsid w:val="0099256E"/>
    <w:rsid w:val="009927E5"/>
    <w:rsid w:val="009A1BA2"/>
    <w:rsid w:val="009A647E"/>
    <w:rsid w:val="009B1EAA"/>
    <w:rsid w:val="009B2524"/>
    <w:rsid w:val="009B3CCE"/>
    <w:rsid w:val="009B7E85"/>
    <w:rsid w:val="009D13A2"/>
    <w:rsid w:val="009E23F2"/>
    <w:rsid w:val="009E3604"/>
    <w:rsid w:val="009E479C"/>
    <w:rsid w:val="009F55B2"/>
    <w:rsid w:val="009F56BA"/>
    <w:rsid w:val="00A01539"/>
    <w:rsid w:val="00A03B79"/>
    <w:rsid w:val="00A049F0"/>
    <w:rsid w:val="00A16667"/>
    <w:rsid w:val="00A17D42"/>
    <w:rsid w:val="00A21645"/>
    <w:rsid w:val="00A24F8E"/>
    <w:rsid w:val="00A27BB4"/>
    <w:rsid w:val="00A36AA8"/>
    <w:rsid w:val="00A50011"/>
    <w:rsid w:val="00A51001"/>
    <w:rsid w:val="00A5363E"/>
    <w:rsid w:val="00A575CF"/>
    <w:rsid w:val="00A611EF"/>
    <w:rsid w:val="00A640BF"/>
    <w:rsid w:val="00A65CC1"/>
    <w:rsid w:val="00A70C18"/>
    <w:rsid w:val="00A73B1F"/>
    <w:rsid w:val="00A76B48"/>
    <w:rsid w:val="00A7749A"/>
    <w:rsid w:val="00A77F07"/>
    <w:rsid w:val="00A838BF"/>
    <w:rsid w:val="00A92086"/>
    <w:rsid w:val="00A92DE7"/>
    <w:rsid w:val="00A93D57"/>
    <w:rsid w:val="00AA3BC8"/>
    <w:rsid w:val="00AB4EA8"/>
    <w:rsid w:val="00AB7A3B"/>
    <w:rsid w:val="00AC22D0"/>
    <w:rsid w:val="00AC71DC"/>
    <w:rsid w:val="00AD0128"/>
    <w:rsid w:val="00AD5140"/>
    <w:rsid w:val="00AD5AB1"/>
    <w:rsid w:val="00AE0E77"/>
    <w:rsid w:val="00AE17A5"/>
    <w:rsid w:val="00AE1A0C"/>
    <w:rsid w:val="00AE2B74"/>
    <w:rsid w:val="00AE37FB"/>
    <w:rsid w:val="00B001B9"/>
    <w:rsid w:val="00B0074B"/>
    <w:rsid w:val="00B01D93"/>
    <w:rsid w:val="00B05442"/>
    <w:rsid w:val="00B2104F"/>
    <w:rsid w:val="00B2296A"/>
    <w:rsid w:val="00B24C3D"/>
    <w:rsid w:val="00B30441"/>
    <w:rsid w:val="00B336CD"/>
    <w:rsid w:val="00B33E6D"/>
    <w:rsid w:val="00B377AD"/>
    <w:rsid w:val="00B424F4"/>
    <w:rsid w:val="00B47D12"/>
    <w:rsid w:val="00B50D83"/>
    <w:rsid w:val="00B52C1F"/>
    <w:rsid w:val="00B547F5"/>
    <w:rsid w:val="00B57A70"/>
    <w:rsid w:val="00B60CBC"/>
    <w:rsid w:val="00B662FE"/>
    <w:rsid w:val="00B73410"/>
    <w:rsid w:val="00B84327"/>
    <w:rsid w:val="00B90D92"/>
    <w:rsid w:val="00B91C74"/>
    <w:rsid w:val="00B939E3"/>
    <w:rsid w:val="00BA076B"/>
    <w:rsid w:val="00BA1826"/>
    <w:rsid w:val="00BA28CA"/>
    <w:rsid w:val="00BA3FF9"/>
    <w:rsid w:val="00BA4AF7"/>
    <w:rsid w:val="00BA5900"/>
    <w:rsid w:val="00BB018E"/>
    <w:rsid w:val="00BC2072"/>
    <w:rsid w:val="00BC5415"/>
    <w:rsid w:val="00BD08A0"/>
    <w:rsid w:val="00BD494C"/>
    <w:rsid w:val="00BD4B17"/>
    <w:rsid w:val="00BD6688"/>
    <w:rsid w:val="00BD6BE5"/>
    <w:rsid w:val="00BD6FB6"/>
    <w:rsid w:val="00BE1D56"/>
    <w:rsid w:val="00BE4FEB"/>
    <w:rsid w:val="00BF092A"/>
    <w:rsid w:val="00BF686C"/>
    <w:rsid w:val="00C01122"/>
    <w:rsid w:val="00C01BBD"/>
    <w:rsid w:val="00C0716F"/>
    <w:rsid w:val="00C079BC"/>
    <w:rsid w:val="00C137BD"/>
    <w:rsid w:val="00C20CF6"/>
    <w:rsid w:val="00C21BE3"/>
    <w:rsid w:val="00C22061"/>
    <w:rsid w:val="00C25484"/>
    <w:rsid w:val="00C3023E"/>
    <w:rsid w:val="00C317B8"/>
    <w:rsid w:val="00C319E3"/>
    <w:rsid w:val="00C3339D"/>
    <w:rsid w:val="00C41EEF"/>
    <w:rsid w:val="00C44C23"/>
    <w:rsid w:val="00C452B4"/>
    <w:rsid w:val="00C465AE"/>
    <w:rsid w:val="00C47384"/>
    <w:rsid w:val="00C50458"/>
    <w:rsid w:val="00C57274"/>
    <w:rsid w:val="00C63CDF"/>
    <w:rsid w:val="00C64868"/>
    <w:rsid w:val="00C67681"/>
    <w:rsid w:val="00C73815"/>
    <w:rsid w:val="00C764D4"/>
    <w:rsid w:val="00C7661B"/>
    <w:rsid w:val="00C83F19"/>
    <w:rsid w:val="00C87C57"/>
    <w:rsid w:val="00C87D0F"/>
    <w:rsid w:val="00C90AFA"/>
    <w:rsid w:val="00C93537"/>
    <w:rsid w:val="00C94716"/>
    <w:rsid w:val="00C9494C"/>
    <w:rsid w:val="00CA3880"/>
    <w:rsid w:val="00CA60E8"/>
    <w:rsid w:val="00CA6360"/>
    <w:rsid w:val="00CB0869"/>
    <w:rsid w:val="00CB0F4E"/>
    <w:rsid w:val="00CB400A"/>
    <w:rsid w:val="00CB5DE5"/>
    <w:rsid w:val="00CC1B32"/>
    <w:rsid w:val="00CD0F7E"/>
    <w:rsid w:val="00CD1661"/>
    <w:rsid w:val="00CD3C9E"/>
    <w:rsid w:val="00CE4FF6"/>
    <w:rsid w:val="00CE5185"/>
    <w:rsid w:val="00CE52BA"/>
    <w:rsid w:val="00CE7B57"/>
    <w:rsid w:val="00CF1228"/>
    <w:rsid w:val="00CF2807"/>
    <w:rsid w:val="00CF7145"/>
    <w:rsid w:val="00D0048F"/>
    <w:rsid w:val="00D00AAC"/>
    <w:rsid w:val="00D019C0"/>
    <w:rsid w:val="00D11296"/>
    <w:rsid w:val="00D12954"/>
    <w:rsid w:val="00D15B35"/>
    <w:rsid w:val="00D30B05"/>
    <w:rsid w:val="00D3111B"/>
    <w:rsid w:val="00D31124"/>
    <w:rsid w:val="00D31C3E"/>
    <w:rsid w:val="00D33457"/>
    <w:rsid w:val="00D34336"/>
    <w:rsid w:val="00D34B44"/>
    <w:rsid w:val="00D35323"/>
    <w:rsid w:val="00D36BF2"/>
    <w:rsid w:val="00D4357B"/>
    <w:rsid w:val="00D44D7D"/>
    <w:rsid w:val="00D456B5"/>
    <w:rsid w:val="00D465E1"/>
    <w:rsid w:val="00D5113B"/>
    <w:rsid w:val="00D53A35"/>
    <w:rsid w:val="00D556F2"/>
    <w:rsid w:val="00D56483"/>
    <w:rsid w:val="00D655A4"/>
    <w:rsid w:val="00D65A50"/>
    <w:rsid w:val="00D709FB"/>
    <w:rsid w:val="00D710DA"/>
    <w:rsid w:val="00D73AD6"/>
    <w:rsid w:val="00D77732"/>
    <w:rsid w:val="00D8352F"/>
    <w:rsid w:val="00D904E3"/>
    <w:rsid w:val="00D925E2"/>
    <w:rsid w:val="00D97823"/>
    <w:rsid w:val="00DA0EF7"/>
    <w:rsid w:val="00DA2A7C"/>
    <w:rsid w:val="00DC19DA"/>
    <w:rsid w:val="00DC2D91"/>
    <w:rsid w:val="00DC35AC"/>
    <w:rsid w:val="00DD30B9"/>
    <w:rsid w:val="00DD36AA"/>
    <w:rsid w:val="00DE1522"/>
    <w:rsid w:val="00DE3C95"/>
    <w:rsid w:val="00DE4F1D"/>
    <w:rsid w:val="00DE662A"/>
    <w:rsid w:val="00DF002F"/>
    <w:rsid w:val="00DF5D71"/>
    <w:rsid w:val="00E03C68"/>
    <w:rsid w:val="00E068AF"/>
    <w:rsid w:val="00E075F0"/>
    <w:rsid w:val="00E079E5"/>
    <w:rsid w:val="00E15E0B"/>
    <w:rsid w:val="00E22119"/>
    <w:rsid w:val="00E225BA"/>
    <w:rsid w:val="00E25446"/>
    <w:rsid w:val="00E263C3"/>
    <w:rsid w:val="00E330AD"/>
    <w:rsid w:val="00E3429B"/>
    <w:rsid w:val="00E34BDD"/>
    <w:rsid w:val="00E36871"/>
    <w:rsid w:val="00E530A3"/>
    <w:rsid w:val="00E54662"/>
    <w:rsid w:val="00E55780"/>
    <w:rsid w:val="00E55AF0"/>
    <w:rsid w:val="00E57461"/>
    <w:rsid w:val="00E60984"/>
    <w:rsid w:val="00E61511"/>
    <w:rsid w:val="00E625E8"/>
    <w:rsid w:val="00E62C2D"/>
    <w:rsid w:val="00E711A9"/>
    <w:rsid w:val="00E726EE"/>
    <w:rsid w:val="00E75AED"/>
    <w:rsid w:val="00E80409"/>
    <w:rsid w:val="00E834F8"/>
    <w:rsid w:val="00E84BD5"/>
    <w:rsid w:val="00E86DD6"/>
    <w:rsid w:val="00E86E35"/>
    <w:rsid w:val="00E91E47"/>
    <w:rsid w:val="00E92341"/>
    <w:rsid w:val="00E93EDA"/>
    <w:rsid w:val="00E9726C"/>
    <w:rsid w:val="00EA0458"/>
    <w:rsid w:val="00EA3CC1"/>
    <w:rsid w:val="00EA57A8"/>
    <w:rsid w:val="00EA58CE"/>
    <w:rsid w:val="00EA7144"/>
    <w:rsid w:val="00EB3111"/>
    <w:rsid w:val="00EB5DC9"/>
    <w:rsid w:val="00EB69D8"/>
    <w:rsid w:val="00EB77D3"/>
    <w:rsid w:val="00EC0C85"/>
    <w:rsid w:val="00EC17DB"/>
    <w:rsid w:val="00EC413F"/>
    <w:rsid w:val="00EC5131"/>
    <w:rsid w:val="00EC7A84"/>
    <w:rsid w:val="00ED093B"/>
    <w:rsid w:val="00ED4E24"/>
    <w:rsid w:val="00EE000E"/>
    <w:rsid w:val="00EE13B4"/>
    <w:rsid w:val="00EE2BAA"/>
    <w:rsid w:val="00EE3555"/>
    <w:rsid w:val="00EF25FA"/>
    <w:rsid w:val="00EF79B6"/>
    <w:rsid w:val="00F03B80"/>
    <w:rsid w:val="00F05C5F"/>
    <w:rsid w:val="00F1011E"/>
    <w:rsid w:val="00F1064B"/>
    <w:rsid w:val="00F12ECC"/>
    <w:rsid w:val="00F14BC4"/>
    <w:rsid w:val="00F200F5"/>
    <w:rsid w:val="00F20EB9"/>
    <w:rsid w:val="00F244C2"/>
    <w:rsid w:val="00F31F60"/>
    <w:rsid w:val="00F35E27"/>
    <w:rsid w:val="00F37082"/>
    <w:rsid w:val="00F37468"/>
    <w:rsid w:val="00F4118C"/>
    <w:rsid w:val="00F41212"/>
    <w:rsid w:val="00F416AF"/>
    <w:rsid w:val="00F41E34"/>
    <w:rsid w:val="00F44017"/>
    <w:rsid w:val="00F44424"/>
    <w:rsid w:val="00F52262"/>
    <w:rsid w:val="00F54219"/>
    <w:rsid w:val="00F575CD"/>
    <w:rsid w:val="00F6430A"/>
    <w:rsid w:val="00F710CC"/>
    <w:rsid w:val="00F74925"/>
    <w:rsid w:val="00F7497D"/>
    <w:rsid w:val="00F821D1"/>
    <w:rsid w:val="00F82D1F"/>
    <w:rsid w:val="00F86ED7"/>
    <w:rsid w:val="00F9046D"/>
    <w:rsid w:val="00F91E43"/>
    <w:rsid w:val="00F932BE"/>
    <w:rsid w:val="00FA2B2F"/>
    <w:rsid w:val="00FA316C"/>
    <w:rsid w:val="00FB1802"/>
    <w:rsid w:val="00FB21B7"/>
    <w:rsid w:val="00FB2E36"/>
    <w:rsid w:val="00FC4EFC"/>
    <w:rsid w:val="00FD3EB5"/>
    <w:rsid w:val="00FD7A29"/>
    <w:rsid w:val="00FE415C"/>
    <w:rsid w:val="00FE417F"/>
    <w:rsid w:val="00FE450F"/>
    <w:rsid w:val="00FE67BA"/>
    <w:rsid w:val="00FE680A"/>
    <w:rsid w:val="00FE7A83"/>
    <w:rsid w:val="00FF645F"/>
    <w:rsid w:val="7595D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5:docId w15:val="{93EE5614-5B4B-4900-949E-416D41C2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CA"/>
    <w:pPr>
      <w:spacing w:after="0" w:line="240" w:lineRule="auto"/>
    </w:pPr>
    <w:rPr>
      <w:rFonts w:ascii="Arial" w:eastAsia="Times New Roman" w:hAnsi="Arial" w:cs="Times New Roman"/>
      <w:lang w:val="en-GB"/>
    </w:rPr>
  </w:style>
  <w:style w:type="paragraph" w:styleId="Heading1">
    <w:name w:val="heading 1"/>
    <w:basedOn w:val="Normal"/>
    <w:next w:val="Normal"/>
    <w:link w:val="Heading1Char"/>
    <w:uiPriority w:val="9"/>
    <w:qFormat/>
    <w:rsid w:val="000334CA"/>
    <w:pPr>
      <w:keepNext/>
      <w:keepLines/>
      <w:spacing w:before="480" w:line="276" w:lineRule="auto"/>
      <w:outlineLvl w:val="0"/>
    </w:pPr>
    <w:rPr>
      <w:rFonts w:ascii="Cambria" w:hAnsi="Cambria"/>
      <w:b/>
      <w:bCs/>
      <w:color w:val="365F91"/>
      <w:sz w:val="28"/>
      <w:szCs w:val="28"/>
    </w:rPr>
  </w:style>
  <w:style w:type="paragraph" w:styleId="Heading4">
    <w:name w:val="heading 4"/>
    <w:basedOn w:val="Normal"/>
    <w:next w:val="Normal"/>
    <w:link w:val="Heading4Char"/>
    <w:uiPriority w:val="9"/>
    <w:semiHidden/>
    <w:unhideWhenUsed/>
    <w:qFormat/>
    <w:rsid w:val="000334CA"/>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34CA"/>
    <w:rPr>
      <w:rFonts w:ascii="Tahoma" w:eastAsia="Calibri" w:hAnsi="Tahoma" w:cs="Tahoma"/>
      <w:sz w:val="16"/>
      <w:szCs w:val="16"/>
    </w:rPr>
  </w:style>
  <w:style w:type="paragraph" w:styleId="Caption">
    <w:name w:val="caption"/>
    <w:basedOn w:val="Normal"/>
    <w:next w:val="Normal"/>
    <w:uiPriority w:val="35"/>
    <w:unhideWhenUsed/>
    <w:qFormat/>
    <w:rsid w:val="000334CA"/>
    <w:pPr>
      <w:spacing w:after="200"/>
    </w:pPr>
    <w:rPr>
      <w:rFonts w:asciiTheme="minorHAnsi" w:eastAsiaTheme="minorHAnsi" w:hAnsiTheme="minorHAnsi" w:cstheme="minorBidi"/>
      <w:i/>
      <w:iCs/>
      <w:color w:val="44546A" w:themeColor="text2"/>
      <w:sz w:val="18"/>
      <w:szCs w:val="18"/>
      <w:lang w:val="en-US"/>
    </w:rPr>
  </w:style>
  <w:style w:type="character" w:styleId="CommentReference">
    <w:name w:val="annotation reference"/>
    <w:unhideWhenUsed/>
    <w:qFormat/>
    <w:rsid w:val="000334CA"/>
    <w:rPr>
      <w:sz w:val="16"/>
      <w:szCs w:val="16"/>
    </w:rPr>
  </w:style>
  <w:style w:type="paragraph" w:styleId="CommentText">
    <w:name w:val="annotation text"/>
    <w:basedOn w:val="Normal"/>
    <w:link w:val="CommentTextChar"/>
    <w:unhideWhenUsed/>
    <w:qFormat/>
    <w:rsid w:val="000334CA"/>
    <w:pPr>
      <w:spacing w:after="200"/>
    </w:pPr>
    <w:rPr>
      <w:rFonts w:ascii="Calibri" w:eastAsia="Calibri" w:hAnsi="Calibri"/>
    </w:rPr>
  </w:style>
  <w:style w:type="paragraph" w:styleId="CommentSubject">
    <w:name w:val="annotation subject"/>
    <w:basedOn w:val="CommentText"/>
    <w:next w:val="CommentText"/>
    <w:link w:val="CommentSubjectChar"/>
    <w:uiPriority w:val="99"/>
    <w:semiHidden/>
    <w:unhideWhenUsed/>
    <w:qFormat/>
    <w:rsid w:val="000334CA"/>
    <w:rPr>
      <w:b/>
      <w:bCs/>
    </w:rPr>
  </w:style>
  <w:style w:type="character" w:styleId="Emphasis">
    <w:name w:val="Emphasis"/>
    <w:basedOn w:val="DefaultParagraphFont"/>
    <w:uiPriority w:val="20"/>
    <w:qFormat/>
    <w:rsid w:val="000334CA"/>
    <w:rPr>
      <w:i/>
      <w:iCs/>
    </w:rPr>
  </w:style>
  <w:style w:type="character" w:styleId="EndnoteReference">
    <w:name w:val="endnote reference"/>
    <w:uiPriority w:val="99"/>
    <w:semiHidden/>
    <w:unhideWhenUsed/>
    <w:qFormat/>
    <w:rsid w:val="000334CA"/>
    <w:rPr>
      <w:vertAlign w:val="superscript"/>
    </w:rPr>
  </w:style>
  <w:style w:type="paragraph" w:styleId="EndnoteText">
    <w:name w:val="endnote text"/>
    <w:basedOn w:val="Normal"/>
    <w:link w:val="EndnoteTextChar"/>
    <w:uiPriority w:val="99"/>
    <w:semiHidden/>
    <w:unhideWhenUsed/>
    <w:qFormat/>
    <w:rsid w:val="000334CA"/>
    <w:rPr>
      <w:rFonts w:ascii="Calibri" w:eastAsia="Calibri" w:hAnsi="Calibri"/>
    </w:rPr>
  </w:style>
  <w:style w:type="character" w:styleId="FollowedHyperlink">
    <w:name w:val="FollowedHyperlink"/>
    <w:basedOn w:val="DefaultParagraphFont"/>
    <w:uiPriority w:val="99"/>
    <w:semiHidden/>
    <w:unhideWhenUsed/>
    <w:qFormat/>
    <w:rsid w:val="000334CA"/>
    <w:rPr>
      <w:color w:val="954F72" w:themeColor="followedHyperlink"/>
      <w:u w:val="single"/>
    </w:rPr>
  </w:style>
  <w:style w:type="paragraph" w:styleId="Footer">
    <w:name w:val="footer"/>
    <w:basedOn w:val="Normal"/>
    <w:link w:val="FooterChar"/>
    <w:uiPriority w:val="99"/>
    <w:unhideWhenUsed/>
    <w:qFormat/>
    <w:rsid w:val="000334CA"/>
    <w:pPr>
      <w:tabs>
        <w:tab w:val="center" w:pos="4680"/>
        <w:tab w:val="right" w:pos="9360"/>
      </w:tabs>
    </w:pPr>
    <w:rPr>
      <w:rFonts w:ascii="Calibri" w:eastAsia="Calibri" w:hAnsi="Calibri"/>
      <w:sz w:val="22"/>
      <w:szCs w:val="22"/>
    </w:rPr>
  </w:style>
  <w:style w:type="character" w:styleId="FootnoteReference">
    <w:name w:val="footnote reference"/>
    <w:uiPriority w:val="99"/>
    <w:unhideWhenUsed/>
    <w:qFormat/>
    <w:rsid w:val="000334CA"/>
    <w:rPr>
      <w:vertAlign w:val="superscript"/>
    </w:rPr>
  </w:style>
  <w:style w:type="paragraph" w:styleId="FootnoteText">
    <w:name w:val="footnote text"/>
    <w:basedOn w:val="Normal"/>
    <w:link w:val="FootnoteTextChar"/>
    <w:uiPriority w:val="99"/>
    <w:unhideWhenUsed/>
    <w:qFormat/>
    <w:rsid w:val="000334CA"/>
    <w:rPr>
      <w:rFonts w:ascii="Calibri" w:eastAsia="Calibri" w:hAnsi="Calibri"/>
    </w:rPr>
  </w:style>
  <w:style w:type="paragraph" w:styleId="Header">
    <w:name w:val="header"/>
    <w:basedOn w:val="Normal"/>
    <w:link w:val="HeaderChar"/>
    <w:uiPriority w:val="99"/>
    <w:unhideWhenUsed/>
    <w:qFormat/>
    <w:rsid w:val="000334CA"/>
    <w:pPr>
      <w:tabs>
        <w:tab w:val="center" w:pos="4680"/>
        <w:tab w:val="right" w:pos="9360"/>
      </w:tabs>
    </w:pPr>
    <w:rPr>
      <w:rFonts w:ascii="Calibri" w:eastAsia="Calibri" w:hAnsi="Calibri"/>
      <w:sz w:val="22"/>
      <w:szCs w:val="22"/>
    </w:rPr>
  </w:style>
  <w:style w:type="character" w:styleId="Hyperlink">
    <w:name w:val="Hyperlink"/>
    <w:qFormat/>
    <w:rsid w:val="000334CA"/>
    <w:rPr>
      <w:color w:val="0000FF"/>
      <w:u w:val="single"/>
    </w:rPr>
  </w:style>
  <w:style w:type="paragraph" w:styleId="NormalWeb">
    <w:name w:val="Normal (Web)"/>
    <w:basedOn w:val="Normal"/>
    <w:uiPriority w:val="99"/>
    <w:qFormat/>
    <w:rsid w:val="000334CA"/>
    <w:pPr>
      <w:spacing w:beforeLines="1" w:afterLines="1"/>
    </w:pPr>
    <w:rPr>
      <w:rFonts w:ascii="Times" w:eastAsia="Calibri" w:hAnsi="Times"/>
      <w:lang w:val="en-US"/>
    </w:rPr>
  </w:style>
  <w:style w:type="paragraph" w:styleId="PlainText">
    <w:name w:val="Plain Text"/>
    <w:basedOn w:val="Normal"/>
    <w:link w:val="PlainTextChar"/>
    <w:uiPriority w:val="99"/>
    <w:unhideWhenUsed/>
    <w:qFormat/>
    <w:rsid w:val="000334CA"/>
    <w:rPr>
      <w:rFonts w:ascii="Calibri" w:eastAsia="Calibri" w:hAnsi="Calibri"/>
      <w:sz w:val="22"/>
      <w:szCs w:val="22"/>
    </w:rPr>
  </w:style>
  <w:style w:type="table" w:styleId="TableGrid">
    <w:name w:val="Table Grid"/>
    <w:basedOn w:val="TableNormal"/>
    <w:uiPriority w:val="59"/>
    <w:qFormat/>
    <w:rsid w:val="00033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0334CA"/>
    <w:rPr>
      <w:rFonts w:ascii="Cambria" w:eastAsia="Times New Roman" w:hAnsi="Cambria" w:cs="Times New Roman"/>
      <w:b/>
      <w:bCs/>
      <w:color w:val="365F91"/>
      <w:sz w:val="28"/>
      <w:szCs w:val="28"/>
    </w:rPr>
  </w:style>
  <w:style w:type="character" w:customStyle="1" w:styleId="PlainTextChar">
    <w:name w:val="Plain Text Char"/>
    <w:basedOn w:val="DefaultParagraphFont"/>
    <w:link w:val="PlainText"/>
    <w:uiPriority w:val="99"/>
    <w:qFormat/>
    <w:rsid w:val="000334CA"/>
    <w:rPr>
      <w:rFonts w:ascii="Calibri" w:eastAsia="Calibri" w:hAnsi="Calibri" w:cs="Times New Roman"/>
    </w:rPr>
  </w:style>
  <w:style w:type="paragraph" w:styleId="ListParagraph">
    <w:name w:val="List Paragraph"/>
    <w:basedOn w:val="Normal"/>
    <w:uiPriority w:val="34"/>
    <w:qFormat/>
    <w:rsid w:val="000334CA"/>
    <w:pPr>
      <w:ind w:left="720"/>
      <w:contextualSpacing/>
    </w:pPr>
    <w:rPr>
      <w:rFonts w:ascii="Calibri" w:eastAsia="Calibri" w:hAnsi="Calibri"/>
      <w:sz w:val="24"/>
      <w:szCs w:val="24"/>
      <w:lang w:val="en-US"/>
    </w:rPr>
  </w:style>
  <w:style w:type="paragraph" w:customStyle="1" w:styleId="Default">
    <w:name w:val="Default"/>
    <w:qFormat/>
    <w:rsid w:val="000334CA"/>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TextChar">
    <w:name w:val="Footnote Text Char"/>
    <w:basedOn w:val="DefaultParagraphFont"/>
    <w:link w:val="FootnoteText"/>
    <w:uiPriority w:val="99"/>
    <w:qFormat/>
    <w:rsid w:val="000334CA"/>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sid w:val="000334CA"/>
    <w:rPr>
      <w:rFonts w:ascii="Tahoma" w:eastAsia="Calibri" w:hAnsi="Tahoma" w:cs="Tahoma"/>
      <w:sz w:val="16"/>
      <w:szCs w:val="16"/>
    </w:rPr>
  </w:style>
  <w:style w:type="character" w:customStyle="1" w:styleId="HeaderChar">
    <w:name w:val="Header Char"/>
    <w:basedOn w:val="DefaultParagraphFont"/>
    <w:link w:val="Header"/>
    <w:uiPriority w:val="99"/>
    <w:qFormat/>
    <w:rsid w:val="000334CA"/>
    <w:rPr>
      <w:rFonts w:ascii="Calibri" w:eastAsia="Calibri" w:hAnsi="Calibri" w:cs="Times New Roman"/>
    </w:rPr>
  </w:style>
  <w:style w:type="character" w:customStyle="1" w:styleId="FooterChar">
    <w:name w:val="Footer Char"/>
    <w:basedOn w:val="DefaultParagraphFont"/>
    <w:link w:val="Footer"/>
    <w:uiPriority w:val="99"/>
    <w:qFormat/>
    <w:rsid w:val="000334CA"/>
    <w:rPr>
      <w:rFonts w:ascii="Calibri" w:eastAsia="Calibri" w:hAnsi="Calibri" w:cs="Times New Roman"/>
    </w:rPr>
  </w:style>
  <w:style w:type="character" w:customStyle="1" w:styleId="EndnoteTextChar">
    <w:name w:val="Endnote Text Char"/>
    <w:basedOn w:val="DefaultParagraphFont"/>
    <w:link w:val="EndnoteText"/>
    <w:uiPriority w:val="99"/>
    <w:semiHidden/>
    <w:qFormat/>
    <w:rsid w:val="000334CA"/>
    <w:rPr>
      <w:rFonts w:ascii="Calibri" w:eastAsia="Calibri" w:hAnsi="Calibri" w:cs="Times New Roman"/>
      <w:sz w:val="20"/>
      <w:szCs w:val="20"/>
    </w:rPr>
  </w:style>
  <w:style w:type="paragraph" w:customStyle="1" w:styleId="CharCharCharChar">
    <w:name w:val="Char Char Char Char"/>
    <w:basedOn w:val="Normal"/>
    <w:qFormat/>
    <w:rsid w:val="000334CA"/>
    <w:pPr>
      <w:spacing w:after="160" w:line="240" w:lineRule="exact"/>
    </w:pPr>
    <w:rPr>
      <w:rFonts w:ascii="Verdana" w:hAnsi="Verdana"/>
      <w:i/>
      <w:lang w:val="en-US"/>
    </w:rPr>
  </w:style>
  <w:style w:type="character" w:customStyle="1" w:styleId="CommentTextChar">
    <w:name w:val="Comment Text Char"/>
    <w:basedOn w:val="DefaultParagraphFont"/>
    <w:link w:val="CommentText"/>
    <w:qFormat/>
    <w:rsid w:val="000334CA"/>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0334CA"/>
    <w:rPr>
      <w:rFonts w:ascii="Calibri" w:eastAsia="Calibri" w:hAnsi="Calibri" w:cs="Times New Roman"/>
      <w:b/>
      <w:bCs/>
      <w:sz w:val="20"/>
      <w:szCs w:val="20"/>
    </w:rPr>
  </w:style>
  <w:style w:type="character" w:customStyle="1" w:styleId="IntenseEmphasis1">
    <w:name w:val="Intense Emphasis1"/>
    <w:uiPriority w:val="21"/>
    <w:qFormat/>
    <w:rsid w:val="000334CA"/>
    <w:rPr>
      <w:i/>
      <w:iCs/>
      <w:color w:val="5B9BD5"/>
    </w:rPr>
  </w:style>
  <w:style w:type="paragraph" w:customStyle="1" w:styleId="CharCharCharChar1">
    <w:name w:val="Char Char Char Char1"/>
    <w:basedOn w:val="Normal"/>
    <w:qFormat/>
    <w:rsid w:val="000334CA"/>
    <w:pPr>
      <w:spacing w:after="160" w:line="240" w:lineRule="exact"/>
    </w:pPr>
    <w:rPr>
      <w:rFonts w:ascii="Verdana" w:hAnsi="Verdana"/>
      <w:i/>
    </w:rPr>
  </w:style>
  <w:style w:type="character" w:customStyle="1" w:styleId="IntenseReference1">
    <w:name w:val="Intense Reference1"/>
    <w:uiPriority w:val="32"/>
    <w:qFormat/>
    <w:rsid w:val="000334CA"/>
    <w:rPr>
      <w:b/>
      <w:bCs/>
      <w:smallCaps/>
      <w:color w:val="5B9BD5"/>
      <w:spacing w:val="5"/>
    </w:rPr>
  </w:style>
  <w:style w:type="paragraph" w:customStyle="1" w:styleId="CharCharCharChar2">
    <w:name w:val="Char Char Char Char2"/>
    <w:basedOn w:val="Normal"/>
    <w:qFormat/>
    <w:rsid w:val="000334CA"/>
    <w:pPr>
      <w:spacing w:after="160" w:line="240" w:lineRule="exact"/>
    </w:pPr>
    <w:rPr>
      <w:rFonts w:ascii="Verdana" w:hAnsi="Verdana"/>
      <w:i/>
    </w:rPr>
  </w:style>
  <w:style w:type="paragraph" w:customStyle="1" w:styleId="CharCharCharChar3">
    <w:name w:val="Char Char Char Char3"/>
    <w:basedOn w:val="Normal"/>
    <w:qFormat/>
    <w:rsid w:val="000334CA"/>
    <w:pPr>
      <w:spacing w:after="160" w:line="240" w:lineRule="exact"/>
    </w:pPr>
    <w:rPr>
      <w:rFonts w:ascii="Verdana" w:hAnsi="Verdana"/>
      <w:i/>
    </w:rPr>
  </w:style>
  <w:style w:type="character" w:customStyle="1" w:styleId="Heading4Char">
    <w:name w:val="Heading 4 Char"/>
    <w:basedOn w:val="DefaultParagraphFont"/>
    <w:link w:val="Heading4"/>
    <w:uiPriority w:val="9"/>
    <w:semiHidden/>
    <w:qFormat/>
    <w:rsid w:val="000334CA"/>
    <w:rPr>
      <w:rFonts w:asciiTheme="majorHAnsi" w:eastAsiaTheme="majorEastAsia" w:hAnsiTheme="majorHAnsi" w:cstheme="majorBidi"/>
      <w:b/>
      <w:bCs/>
      <w:i/>
      <w:iCs/>
      <w:color w:val="5B9BD5"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3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a.stat.gov.rs/Metadata/24_Zarade/Html/240003_ESMS_G0_2021_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kacije.stat.gov.rs/G2024/Xls/G20241053.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kacije.stat.gov.rs/G2017/Pdf/G2017706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rs@stat.gov.r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ARS%202023\SAOP&#352;TENJA\IQ2023%20break\Staro%20pogre&#353;ni%20ponderi\Radno\graf%20za%20tekst%20o%20revizij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831250000000002E-2"/>
          <c:y val="5.1182795698924748E-2"/>
          <c:w val="0.88927829861111107"/>
          <c:h val="0.59045382555400783"/>
        </c:manualLayout>
      </c:layout>
      <c:barChart>
        <c:barDir val="col"/>
        <c:grouping val="clustered"/>
        <c:varyColors val="0"/>
        <c:ser>
          <c:idx val="4"/>
          <c:order val="4"/>
          <c:tx>
            <c:strRef>
              <c:f>'grafikon za saopštenje REV'!$A$8</c:f>
              <c:strCache>
                <c:ptCount val="1"/>
                <c:pt idx="0">
                  <c:v>Стопа незапослености  - ревидирани подаци</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'grafikon za saopštenje REV'!$B$3:$E$3</c:f>
              <c:strCache>
                <c:ptCount val="4"/>
                <c:pt idx="0">
                  <c:v>IQ 2022</c:v>
                </c:pt>
                <c:pt idx="1">
                  <c:v>II Q2022</c:v>
                </c:pt>
                <c:pt idx="2">
                  <c:v>III Q 2022</c:v>
                </c:pt>
                <c:pt idx="3">
                  <c:v>IV Q 2022</c:v>
                </c:pt>
              </c:strCache>
            </c:strRef>
          </c:cat>
          <c:val>
            <c:numRef>
              <c:f>'grafikon za saopštenje REV'!$B$8:$E$8</c:f>
              <c:numCache>
                <c:formatCode>0.0</c:formatCode>
                <c:ptCount val="4"/>
                <c:pt idx="0">
                  <c:v>10.888786427958827</c:v>
                </c:pt>
                <c:pt idx="1">
                  <c:v>8.8862476779558932</c:v>
                </c:pt>
                <c:pt idx="2">
                  <c:v>9.010213539770465</c:v>
                </c:pt>
                <c:pt idx="3">
                  <c:v>9.4125747555530399</c:v>
                </c:pt>
              </c:numCache>
            </c:numRef>
          </c:val>
          <c:extLst>
            <c:ext xmlns:c16="http://schemas.microsoft.com/office/drawing/2014/chart" uri="{C3380CC4-5D6E-409C-BE32-E72D297353CC}">
              <c16:uniqueId val="{00000000-FB1E-4386-909E-D39FBD081168}"/>
            </c:ext>
          </c:extLst>
        </c:ser>
        <c:ser>
          <c:idx val="5"/>
          <c:order val="5"/>
          <c:tx>
            <c:strRef>
              <c:f>'grafikon za saopštenje REV'!$A$9</c:f>
              <c:strCache>
                <c:ptCount val="1"/>
                <c:pt idx="0">
                  <c:v>Стопа незапослености  - претходни подаци</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'grafikon za saopštenje REV'!$B$3:$E$3</c:f>
              <c:strCache>
                <c:ptCount val="4"/>
                <c:pt idx="0">
                  <c:v>IQ 2022</c:v>
                </c:pt>
                <c:pt idx="1">
                  <c:v>II Q2022</c:v>
                </c:pt>
                <c:pt idx="2">
                  <c:v>III Q 2022</c:v>
                </c:pt>
                <c:pt idx="3">
                  <c:v>IV Q 2022</c:v>
                </c:pt>
              </c:strCache>
            </c:strRef>
          </c:cat>
          <c:val>
            <c:numRef>
              <c:f>'grafikon za saopštenje REV'!$B$9:$E$9</c:f>
              <c:numCache>
                <c:formatCode>0.0</c:formatCode>
                <c:ptCount val="4"/>
                <c:pt idx="0">
                  <c:v>10.632926923832709</c:v>
                </c:pt>
                <c:pt idx="1">
                  <c:v>8.9</c:v>
                </c:pt>
                <c:pt idx="2">
                  <c:v>8.9419797334521842</c:v>
                </c:pt>
                <c:pt idx="3">
                  <c:v>9.1544560707879103</c:v>
                </c:pt>
              </c:numCache>
            </c:numRef>
          </c:val>
          <c:extLst>
            <c:ext xmlns:c16="http://schemas.microsoft.com/office/drawing/2014/chart" uri="{C3380CC4-5D6E-409C-BE32-E72D297353CC}">
              <c16:uniqueId val="{00000001-FB1E-4386-909E-D39FBD081168}"/>
            </c:ext>
          </c:extLst>
        </c:ser>
        <c:dLbls>
          <c:showLegendKey val="0"/>
          <c:showVal val="1"/>
          <c:showCatName val="0"/>
          <c:showSerName val="0"/>
          <c:showPercent val="0"/>
          <c:showBubbleSize val="0"/>
        </c:dLbls>
        <c:gapWidth val="100"/>
        <c:axId val="185500416"/>
        <c:axId val="185501952"/>
      </c:barChart>
      <c:lineChart>
        <c:grouping val="standard"/>
        <c:varyColors val="0"/>
        <c:ser>
          <c:idx val="0"/>
          <c:order val="0"/>
          <c:tx>
            <c:strRef>
              <c:f>'grafikon za saopštenje REV'!$A$4</c:f>
              <c:strCache>
                <c:ptCount val="1"/>
                <c:pt idx="0">
                  <c:v>Стопа запослености - ревидирани подаци</c:v>
                </c:pt>
              </c:strCache>
            </c:strRef>
          </c:tx>
          <c:spPr>
            <a:ln w="28575" cap="rnd">
              <a:solidFill>
                <a:srgbClr val="C00000"/>
              </a:solidFill>
              <a:round/>
            </a:ln>
            <a:effectLst/>
          </c:spPr>
          <c:marker>
            <c:symbol val="circle"/>
            <c:size val="5"/>
            <c:spPr>
              <a:solidFill>
                <a:srgbClr val="C0000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'grafikon za saopštenje REV'!$B$3:$E$3</c:f>
              <c:strCache>
                <c:ptCount val="4"/>
                <c:pt idx="0">
                  <c:v>IQ 2022</c:v>
                </c:pt>
                <c:pt idx="1">
                  <c:v>II Q2022</c:v>
                </c:pt>
                <c:pt idx="2">
                  <c:v>III Q 2022</c:v>
                </c:pt>
                <c:pt idx="3">
                  <c:v>IV Q 2022</c:v>
                </c:pt>
              </c:strCache>
            </c:strRef>
          </c:cat>
          <c:val>
            <c:numRef>
              <c:f>'grafikon za saopštenje REV'!$B$4:$E$4</c:f>
              <c:numCache>
                <c:formatCode>0.0</c:formatCode>
                <c:ptCount val="4"/>
                <c:pt idx="0">
                  <c:v>48.478508337100465</c:v>
                </c:pt>
                <c:pt idx="1">
                  <c:v>50</c:v>
                </c:pt>
                <c:pt idx="2">
                  <c:v>50.155390244195111</c:v>
                </c:pt>
                <c:pt idx="3">
                  <c:v>49.2</c:v>
                </c:pt>
              </c:numCache>
            </c:numRef>
          </c:val>
          <c:smooth val="0"/>
          <c:extLst>
            <c:ext xmlns:c16="http://schemas.microsoft.com/office/drawing/2014/chart" uri="{C3380CC4-5D6E-409C-BE32-E72D297353CC}">
              <c16:uniqueId val="{00000002-FB1E-4386-909E-D39FBD081168}"/>
            </c:ext>
          </c:extLst>
        </c:ser>
        <c:ser>
          <c:idx val="1"/>
          <c:order val="1"/>
          <c:tx>
            <c:strRef>
              <c:f>'grafikon za saopštenje REV'!$A$5</c:f>
              <c:strCache>
                <c:ptCount val="1"/>
                <c:pt idx="0">
                  <c:v>Стопа запослености - претходни подаци</c:v>
                </c:pt>
              </c:strCache>
            </c:strRef>
          </c:tx>
          <c:spPr>
            <a:ln w="28575" cap="rnd">
              <a:solidFill>
                <a:srgbClr val="FF9F9F"/>
              </a:solidFill>
              <a:round/>
            </a:ln>
            <a:effectLst/>
          </c:spPr>
          <c:marker>
            <c:symbol val="circle"/>
            <c:size val="5"/>
            <c:spPr>
              <a:solidFill>
                <a:srgbClr val="FF9F9F"/>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'grafikon za saopštenje REV'!$B$3:$E$3</c:f>
              <c:strCache>
                <c:ptCount val="4"/>
                <c:pt idx="0">
                  <c:v>IQ 2022</c:v>
                </c:pt>
                <c:pt idx="1">
                  <c:v>II Q2022</c:v>
                </c:pt>
                <c:pt idx="2">
                  <c:v>III Q 2022</c:v>
                </c:pt>
                <c:pt idx="3">
                  <c:v>IV Q 2022</c:v>
                </c:pt>
              </c:strCache>
            </c:strRef>
          </c:cat>
          <c:val>
            <c:numRef>
              <c:f>'grafikon za saopštenje REV'!$B$5:$E$5</c:f>
              <c:numCache>
                <c:formatCode>0.0</c:formatCode>
                <c:ptCount val="4"/>
                <c:pt idx="0">
                  <c:v>49.297359920346153</c:v>
                </c:pt>
                <c:pt idx="1">
                  <c:v>50.9</c:v>
                </c:pt>
                <c:pt idx="2">
                  <c:v>50.839956397679707</c:v>
                </c:pt>
                <c:pt idx="3">
                  <c:v>50.065522621986382</c:v>
                </c:pt>
              </c:numCache>
            </c:numRef>
          </c:val>
          <c:smooth val="0"/>
          <c:extLst>
            <c:ext xmlns:c16="http://schemas.microsoft.com/office/drawing/2014/chart" uri="{C3380CC4-5D6E-409C-BE32-E72D297353CC}">
              <c16:uniqueId val="{00000003-FB1E-4386-909E-D39FBD081168}"/>
            </c:ext>
          </c:extLst>
        </c:ser>
        <c:ser>
          <c:idx val="2"/>
          <c:order val="2"/>
          <c:tx>
            <c:strRef>
              <c:f>'grafikon za saopštenje REV'!$A$6</c:f>
              <c:strCache>
                <c:ptCount val="1"/>
                <c:pt idx="0">
                  <c:v>Стопа становништва ван радне снаге  - ревидирани подаци</c:v>
                </c:pt>
              </c:strCache>
            </c:strRef>
          </c:tx>
          <c:spPr>
            <a:ln w="28575" cap="rnd">
              <a:solidFill>
                <a:srgbClr val="2E75B6"/>
              </a:solidFill>
              <a:round/>
            </a:ln>
            <a:effectLst/>
          </c:spPr>
          <c:marker>
            <c:symbol val="circle"/>
            <c:size val="5"/>
            <c:spPr>
              <a:solidFill>
                <a:srgbClr val="2E75B6"/>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'grafikon za saopštenje REV'!$B$3:$E$3</c:f>
              <c:strCache>
                <c:ptCount val="4"/>
                <c:pt idx="0">
                  <c:v>IQ 2022</c:v>
                </c:pt>
                <c:pt idx="1">
                  <c:v>II Q2022</c:v>
                </c:pt>
                <c:pt idx="2">
                  <c:v>III Q 2022</c:v>
                </c:pt>
                <c:pt idx="3">
                  <c:v>IV Q 2022</c:v>
                </c:pt>
              </c:strCache>
            </c:strRef>
          </c:cat>
          <c:val>
            <c:numRef>
              <c:f>'grafikon za saopštenje REV'!$B$6:$E$6</c:f>
              <c:numCache>
                <c:formatCode>0.0</c:formatCode>
                <c:ptCount val="4"/>
                <c:pt idx="0">
                  <c:v>45.597746463290569</c:v>
                </c:pt>
                <c:pt idx="1">
                  <c:v>45.19297105533866</c:v>
                </c:pt>
                <c:pt idx="2">
                  <c:v>44.877999833401766</c:v>
                </c:pt>
                <c:pt idx="3">
                  <c:v>45.763670896254318</c:v>
                </c:pt>
              </c:numCache>
            </c:numRef>
          </c:val>
          <c:smooth val="0"/>
          <c:extLst>
            <c:ext xmlns:c16="http://schemas.microsoft.com/office/drawing/2014/chart" uri="{C3380CC4-5D6E-409C-BE32-E72D297353CC}">
              <c16:uniqueId val="{00000004-FB1E-4386-909E-D39FBD081168}"/>
            </c:ext>
          </c:extLst>
        </c:ser>
        <c:ser>
          <c:idx val="3"/>
          <c:order val="3"/>
          <c:tx>
            <c:strRef>
              <c:f>'grafikon za saopštenje REV'!$A$7</c:f>
              <c:strCache>
                <c:ptCount val="1"/>
                <c:pt idx="0">
                  <c:v>Стопа становништва ван радне снаге  - претходни  подаци</c:v>
                </c:pt>
              </c:strCache>
            </c:strRef>
          </c:tx>
          <c:spPr>
            <a:ln w="28575" cap="rnd">
              <a:solidFill>
                <a:srgbClr val="9DC3E6"/>
              </a:solidFill>
              <a:round/>
            </a:ln>
            <a:effectLst/>
          </c:spPr>
          <c:marker>
            <c:symbol val="circle"/>
            <c:size val="5"/>
            <c:spPr>
              <a:solidFill>
                <a:srgbClr val="9DC3E6"/>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'grafikon za saopštenje REV'!$B$3:$E$3</c:f>
              <c:strCache>
                <c:ptCount val="4"/>
                <c:pt idx="0">
                  <c:v>IQ 2022</c:v>
                </c:pt>
                <c:pt idx="1">
                  <c:v>II Q2022</c:v>
                </c:pt>
                <c:pt idx="2">
                  <c:v>III Q 2022</c:v>
                </c:pt>
                <c:pt idx="3">
                  <c:v>IV Q 2022</c:v>
                </c:pt>
              </c:strCache>
            </c:strRef>
          </c:cat>
          <c:val>
            <c:numRef>
              <c:f>'grafikon za saopštenje REV'!$B$7:$E$7</c:f>
              <c:numCache>
                <c:formatCode>0.0</c:formatCode>
                <c:ptCount val="4"/>
                <c:pt idx="0">
                  <c:v>44.837222230238915</c:v>
                </c:pt>
                <c:pt idx="1">
                  <c:v>44.2</c:v>
                </c:pt>
                <c:pt idx="2">
                  <c:v>44.167532998965932</c:v>
                </c:pt>
                <c:pt idx="3">
                  <c:v>44.889382804804981</c:v>
                </c:pt>
              </c:numCache>
            </c:numRef>
          </c:val>
          <c:smooth val="0"/>
          <c:extLst>
            <c:ext xmlns:c16="http://schemas.microsoft.com/office/drawing/2014/chart" uri="{C3380CC4-5D6E-409C-BE32-E72D297353CC}">
              <c16:uniqueId val="{00000005-FB1E-4386-909E-D39FBD081168}"/>
            </c:ext>
          </c:extLst>
        </c:ser>
        <c:dLbls>
          <c:showLegendKey val="0"/>
          <c:showVal val="1"/>
          <c:showCatName val="0"/>
          <c:showSerName val="0"/>
          <c:showPercent val="0"/>
          <c:showBubbleSize val="0"/>
        </c:dLbls>
        <c:marker val="1"/>
        <c:smooth val="0"/>
        <c:axId val="185525760"/>
        <c:axId val="185524224"/>
      </c:lineChart>
      <c:catAx>
        <c:axId val="1855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5501952"/>
        <c:crosses val="autoZero"/>
        <c:auto val="1"/>
        <c:lblAlgn val="ctr"/>
        <c:lblOffset val="100"/>
        <c:noMultiLvlLbl val="0"/>
      </c:catAx>
      <c:valAx>
        <c:axId val="185501952"/>
        <c:scaling>
          <c:orientation val="minMax"/>
          <c:max val="120"/>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crossAx val="185500416"/>
        <c:crosses val="autoZero"/>
        <c:crossBetween val="between"/>
      </c:valAx>
      <c:valAx>
        <c:axId val="18552422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crossAx val="185525760"/>
        <c:crosses val="max"/>
        <c:crossBetween val="between"/>
      </c:valAx>
      <c:catAx>
        <c:axId val="185525760"/>
        <c:scaling>
          <c:orientation val="minMax"/>
        </c:scaling>
        <c:delete val="1"/>
        <c:axPos val="b"/>
        <c:numFmt formatCode="General" sourceLinked="1"/>
        <c:majorTickMark val="out"/>
        <c:minorTickMark val="none"/>
        <c:tickLblPos val="nextTo"/>
        <c:crossAx val="185524224"/>
        <c:crosses val="autoZero"/>
        <c:auto val="1"/>
        <c:lblAlgn val="ctr"/>
        <c:lblOffset val="100"/>
        <c:noMultiLvlLbl val="0"/>
      </c:catAx>
      <c:spPr>
        <a:noFill/>
        <a:ln>
          <a:noFill/>
        </a:ln>
        <a:effectLst/>
      </c:spPr>
    </c:plotArea>
    <c:legend>
      <c:legendPos val="b"/>
      <c:layout>
        <c:manualLayout>
          <c:xMode val="edge"/>
          <c:yMode val="edge"/>
          <c:x val="0.24777176290463696"/>
          <c:y val="0.7449212174635329"/>
          <c:w val="0.53607340463303443"/>
          <c:h val="0.23370010933778596"/>
        </c:manualLayout>
      </c:layout>
      <c:overlay val="0"/>
      <c:spPr>
        <a:noFill/>
        <a:ln>
          <a:noFill/>
        </a:ln>
        <a:effectLst/>
      </c:spPr>
      <c:txPr>
        <a:bodyPr rot="0" spcFirstLastPara="1" vertOverflow="ellipsis" vert="horz" wrap="square" anchor="ctr" anchorCtr="1"/>
        <a:lstStyle/>
        <a:p>
          <a:pPr>
            <a:defRPr sz="6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BBDD5-24AE-460A-AAE3-D2747CFD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Savkovic</dc:creator>
  <cp:lastModifiedBy>Irena Dimic</cp:lastModifiedBy>
  <cp:revision>14</cp:revision>
  <cp:lastPrinted>2021-06-30T09:10:00Z</cp:lastPrinted>
  <dcterms:created xsi:type="dcterms:W3CDTF">2021-11-22T06:55:00Z</dcterms:created>
  <dcterms:modified xsi:type="dcterms:W3CDTF">2024-02-29T06:47:00Z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