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Ind w:w="109" w:type="dxa"/>
        <w:tblLayout w:type="fixed"/>
        <w:tblLook w:val="04A0" w:firstRow="1" w:lastRow="0" w:firstColumn="1" w:lastColumn="0" w:noHBand="0" w:noVBand="1"/>
      </w:tblPr>
      <w:tblGrid>
        <w:gridCol w:w="9468"/>
      </w:tblGrid>
      <w:tr w:rsidR="000C3DAA">
        <w:tc>
          <w:tcPr>
            <w:tcW w:w="9468" w:type="dxa"/>
            <w:tcBorders>
              <w:bottom w:val="single" w:sz="4" w:space="0" w:color="000000"/>
            </w:tcBorders>
            <w:shd w:val="clear" w:color="auto" w:fill="auto"/>
          </w:tcPr>
          <w:p w:rsidR="000C3DAA" w:rsidRDefault="000C3DAA">
            <w:pPr>
              <w:widowControl w:val="0"/>
              <w:jc w:val="right"/>
              <w:rPr>
                <w:rFonts w:ascii="Tahoma" w:hAnsi="Tahoma" w:cs="Tahoma"/>
                <w:sz w:val="22"/>
                <w:szCs w:val="22"/>
              </w:rPr>
            </w:pPr>
            <w:bookmarkStart w:id="0" w:name="_GoBack"/>
            <w:bookmarkEnd w:id="0"/>
          </w:p>
          <w:p w:rsidR="000C3DAA" w:rsidRDefault="001E7893">
            <w:pPr>
              <w:widowControl w:val="0"/>
              <w:jc w:val="right"/>
              <w:rPr>
                <w:rFonts w:ascii="Tahoma" w:hAnsi="Tahoma" w:cs="Tahoma"/>
                <w:sz w:val="22"/>
                <w:szCs w:val="22"/>
              </w:rPr>
            </w:pPr>
            <w:r>
              <w:rPr>
                <w:rFonts w:ascii="Tahoma" w:hAnsi="Tahoma" w:cs="Tahoma"/>
                <w:sz w:val="22"/>
                <w:szCs w:val="22"/>
                <w:lang w:val="en-US"/>
              </w:rPr>
              <w:t>September</w:t>
            </w:r>
            <w:r>
              <w:rPr>
                <w:rFonts w:ascii="Tahoma" w:hAnsi="Tahoma" w:cs="Tahoma"/>
                <w:sz w:val="22"/>
                <w:szCs w:val="22"/>
              </w:rPr>
              <w:t xml:space="preserve"> </w:t>
            </w:r>
            <w:r>
              <w:rPr>
                <w:rFonts w:ascii="Tahoma" w:hAnsi="Tahoma" w:cs="Tahoma"/>
                <w:sz w:val="22"/>
                <w:szCs w:val="22"/>
                <w:lang w:val="en-US"/>
              </w:rPr>
              <w:t>29</w:t>
            </w:r>
            <w:r>
              <w:rPr>
                <w:rFonts w:ascii="Tahoma" w:hAnsi="Tahoma" w:cs="Tahoma"/>
                <w:sz w:val="22"/>
                <w:szCs w:val="22"/>
              </w:rPr>
              <w:t>, 2023</w:t>
            </w:r>
          </w:p>
          <w:tbl>
            <w:tblPr>
              <w:tblW w:w="9252" w:type="dxa"/>
              <w:tblLayout w:type="fixed"/>
              <w:tblLook w:val="04A0" w:firstRow="1" w:lastRow="0" w:firstColumn="1" w:lastColumn="0" w:noHBand="0" w:noVBand="1"/>
            </w:tblPr>
            <w:tblGrid>
              <w:gridCol w:w="9252"/>
            </w:tblGrid>
            <w:tr w:rsidR="000C3DAA">
              <w:tc>
                <w:tcPr>
                  <w:tcW w:w="9252" w:type="dxa"/>
                  <w:shd w:val="clear" w:color="auto" w:fill="auto"/>
                </w:tcPr>
                <w:p w:rsidR="000C3DAA" w:rsidRDefault="000C3DAA">
                  <w:pPr>
                    <w:widowControl w:val="0"/>
                    <w:jc w:val="center"/>
                    <w:rPr>
                      <w:rFonts w:ascii="Tahoma" w:hAnsi="Tahoma" w:cs="Tahoma"/>
                      <w:color w:val="333333"/>
                    </w:rPr>
                  </w:pPr>
                </w:p>
              </w:tc>
            </w:tr>
          </w:tbl>
          <w:p w:rsidR="000C3DAA" w:rsidRDefault="001E7893">
            <w:pPr>
              <w:widowControl w:val="0"/>
              <w:rPr>
                <w:rFonts w:ascii="Tahoma" w:hAnsi="Tahoma" w:cs="Tahoma"/>
                <w:b/>
                <w:bCs/>
                <w:sz w:val="22"/>
                <w:szCs w:val="22"/>
              </w:rPr>
            </w:pPr>
            <w:r>
              <w:rPr>
                <w:rFonts w:ascii="Tahoma" w:hAnsi="Tahoma" w:cs="Tahoma"/>
                <w:b/>
                <w:sz w:val="22"/>
                <w:szCs w:val="22"/>
              </w:rPr>
              <w:t>EXTERNAL TRADE</w:t>
            </w:r>
            <w:r>
              <w:rPr>
                <w:rFonts w:ascii="Tahoma" w:hAnsi="Tahoma" w:cs="Tahoma"/>
                <w:b/>
                <w:bCs/>
                <w:sz w:val="22"/>
                <w:szCs w:val="22"/>
              </w:rPr>
              <w:t xml:space="preserve">, for </w:t>
            </w:r>
            <w:r>
              <w:rPr>
                <w:rFonts w:ascii="Tahoma" w:hAnsi="Tahoma" w:cs="Tahoma"/>
                <w:b/>
                <w:bCs/>
                <w:sz w:val="22"/>
                <w:szCs w:val="22"/>
                <w:lang w:val="en-US"/>
              </w:rPr>
              <w:t>August</w:t>
            </w:r>
            <w:r>
              <w:rPr>
                <w:rFonts w:ascii="Tahoma" w:hAnsi="Tahoma" w:cs="Tahoma"/>
                <w:b/>
                <w:bCs/>
                <w:sz w:val="22"/>
                <w:szCs w:val="22"/>
              </w:rPr>
              <w:t xml:space="preserve"> 2023</w:t>
            </w:r>
          </w:p>
          <w:p w:rsidR="000C3DAA" w:rsidRDefault="000C3DAA">
            <w:pPr>
              <w:pStyle w:val="BodyText3"/>
              <w:widowControl w:val="0"/>
              <w:rPr>
                <w:rFonts w:ascii="Tahoma" w:hAnsi="Tahoma" w:cs="Tahoma"/>
                <w:b/>
                <w:bCs/>
                <w:sz w:val="18"/>
                <w:szCs w:val="18"/>
              </w:rPr>
            </w:pPr>
          </w:p>
          <w:p w:rsidR="000C3DAA" w:rsidRDefault="000C3DAA">
            <w:pPr>
              <w:widowControl w:val="0"/>
              <w:jc w:val="both"/>
              <w:rPr>
                <w:rFonts w:ascii="Tahoma" w:hAnsi="Tahoma" w:cs="Tahoma"/>
                <w:b/>
                <w:color w:val="000000"/>
                <w:sz w:val="18"/>
                <w:szCs w:val="18"/>
              </w:rPr>
            </w:pPr>
          </w:p>
          <w:p w:rsidR="000C3DAA" w:rsidRDefault="001E7893">
            <w:pPr>
              <w:pStyle w:val="BodyText3"/>
              <w:widowControl w:val="0"/>
              <w:rPr>
                <w:rFonts w:ascii="Tahoma" w:hAnsi="Tahoma" w:cs="Tahoma"/>
                <w:b/>
                <w:bCs/>
                <w:color w:val="000000"/>
                <w:sz w:val="18"/>
                <w:szCs w:val="18"/>
              </w:rPr>
            </w:pPr>
            <w:r>
              <w:rPr>
                <w:rFonts w:ascii="Tahoma" w:hAnsi="Tahoma" w:cs="Tahoma"/>
                <w:b/>
                <w:bCs/>
                <w:sz w:val="18"/>
                <w:szCs w:val="18"/>
              </w:rPr>
              <w:t xml:space="preserve">The overall external trade in the Republic of Serbia for the period January- </w:t>
            </w:r>
            <w:r>
              <w:rPr>
                <w:rFonts w:ascii="Tahoma" w:hAnsi="Tahoma" w:cs="Tahoma"/>
                <w:b/>
                <w:bCs/>
                <w:sz w:val="18"/>
                <w:szCs w:val="18"/>
                <w:lang w:val="en-US"/>
              </w:rPr>
              <w:t>August</w:t>
            </w:r>
            <w:r>
              <w:rPr>
                <w:rFonts w:ascii="Tahoma" w:hAnsi="Tahoma" w:cs="Tahoma"/>
                <w:b/>
                <w:bCs/>
                <w:sz w:val="18"/>
                <w:szCs w:val="18"/>
              </w:rPr>
              <w:t xml:space="preserve"> 2023 amounted to:</w:t>
            </w:r>
          </w:p>
          <w:p w:rsidR="000C3DAA" w:rsidRDefault="001E7893">
            <w:pPr>
              <w:widowControl w:val="0"/>
              <w:jc w:val="both"/>
              <w:rPr>
                <w:rFonts w:ascii="Tahoma" w:hAnsi="Tahoma" w:cs="Tahoma"/>
                <w:b/>
                <w:bCs/>
                <w:sz w:val="18"/>
                <w:szCs w:val="18"/>
              </w:rPr>
            </w:pPr>
            <w:r>
              <w:rPr>
                <w:rFonts w:ascii="Tahoma" w:hAnsi="Tahoma" w:cs="Tahoma"/>
                <w:sz w:val="18"/>
                <w:szCs w:val="18"/>
              </w:rPr>
              <w:t xml:space="preserve">      - </w:t>
            </w:r>
            <w:r>
              <w:rPr>
                <w:rFonts w:ascii="Tahoma" w:hAnsi="Tahoma" w:cs="Tahoma"/>
                <w:b/>
                <w:sz w:val="18"/>
                <w:szCs w:val="18"/>
              </w:rPr>
              <w:t xml:space="preserve">USD </w:t>
            </w:r>
            <w:r>
              <w:rPr>
                <w:rFonts w:ascii="Tahoma" w:hAnsi="Tahoma" w:cs="Tahoma"/>
                <w:b/>
                <w:sz w:val="18"/>
                <w:szCs w:val="18"/>
                <w:lang w:val="en-US"/>
              </w:rPr>
              <w:t>46945.6</w:t>
            </w:r>
            <w:r>
              <w:rPr>
                <w:rFonts w:ascii="Tahoma" w:hAnsi="Tahoma" w:cs="Tahoma"/>
                <w:b/>
                <w:sz w:val="18"/>
                <w:szCs w:val="18"/>
              </w:rPr>
              <w:t xml:space="preserve"> million - </w:t>
            </w:r>
            <w:r>
              <w:rPr>
                <w:rFonts w:ascii="Tahoma" w:hAnsi="Tahoma" w:cs="Tahoma"/>
                <w:b/>
                <w:bCs/>
                <w:sz w:val="18"/>
                <w:szCs w:val="18"/>
              </w:rPr>
              <w:t>which was a</w:t>
            </w:r>
            <w:r>
              <w:rPr>
                <w:rFonts w:ascii="Tahoma" w:hAnsi="Tahoma" w:cs="Tahoma"/>
                <w:b/>
                <w:bCs/>
                <w:sz w:val="18"/>
                <w:szCs w:val="18"/>
                <w:lang w:val="en-US"/>
              </w:rPr>
              <w:t>n</w:t>
            </w:r>
            <w:r>
              <w:rPr>
                <w:rFonts w:ascii="Tahoma" w:hAnsi="Tahoma" w:cs="Tahoma"/>
                <w:b/>
                <w:bCs/>
                <w:sz w:val="18"/>
                <w:szCs w:val="18"/>
              </w:rPr>
              <w:t xml:space="preserve"> </w:t>
            </w:r>
            <w:r>
              <w:rPr>
                <w:rFonts w:ascii="Tahoma" w:hAnsi="Tahoma" w:cs="Tahoma"/>
                <w:b/>
                <w:bCs/>
                <w:sz w:val="18"/>
                <w:szCs w:val="18"/>
                <w:lang w:val="en-US"/>
              </w:rPr>
              <w:t>in</w:t>
            </w:r>
            <w:r>
              <w:rPr>
                <w:rFonts w:ascii="Tahoma" w:hAnsi="Tahoma" w:cs="Tahoma"/>
                <w:b/>
                <w:bCs/>
                <w:sz w:val="18"/>
                <w:szCs w:val="18"/>
              </w:rPr>
              <w:t>crease of 0.</w:t>
            </w:r>
            <w:r>
              <w:rPr>
                <w:rFonts w:ascii="Tahoma" w:hAnsi="Tahoma" w:cs="Tahoma"/>
                <w:b/>
                <w:bCs/>
                <w:sz w:val="18"/>
                <w:szCs w:val="18"/>
                <w:lang w:val="en-US"/>
              </w:rPr>
              <w:t>3</w:t>
            </w:r>
            <w:r>
              <w:rPr>
                <w:rFonts w:ascii="Tahoma" w:hAnsi="Tahoma" w:cs="Tahoma"/>
                <w:b/>
                <w:bCs/>
                <w:sz w:val="18"/>
                <w:szCs w:val="18"/>
              </w:rPr>
              <w:t xml:space="preserve">% compared to the same period last </w:t>
            </w:r>
            <w:r>
              <w:rPr>
                <w:rFonts w:ascii="Tahoma" w:hAnsi="Tahoma" w:cs="Tahoma"/>
                <w:b/>
                <w:bCs/>
                <w:sz w:val="18"/>
                <w:szCs w:val="18"/>
              </w:rPr>
              <w:t>year;</w:t>
            </w:r>
          </w:p>
          <w:p w:rsidR="000C3DAA" w:rsidRDefault="001E7893">
            <w:pPr>
              <w:widowControl w:val="0"/>
              <w:jc w:val="both"/>
              <w:rPr>
                <w:rFonts w:ascii="Tahoma" w:hAnsi="Tahoma" w:cs="Tahoma"/>
                <w:b/>
                <w:bCs/>
                <w:sz w:val="18"/>
                <w:szCs w:val="18"/>
              </w:rPr>
            </w:pPr>
            <w:r>
              <w:rPr>
                <w:rFonts w:ascii="Tahoma" w:hAnsi="Tahoma" w:cs="Tahoma"/>
                <w:color w:val="000000"/>
                <w:sz w:val="18"/>
                <w:szCs w:val="18"/>
              </w:rPr>
              <w:t xml:space="preserve">      - </w:t>
            </w:r>
            <w:r>
              <w:rPr>
                <w:rFonts w:ascii="Tahoma" w:hAnsi="Tahoma" w:cs="Tahoma"/>
                <w:b/>
                <w:color w:val="000000"/>
                <w:sz w:val="18"/>
                <w:szCs w:val="18"/>
              </w:rPr>
              <w:t xml:space="preserve">EUR </w:t>
            </w:r>
            <w:r>
              <w:rPr>
                <w:rFonts w:ascii="Tahoma" w:hAnsi="Tahoma" w:cs="Tahoma"/>
                <w:b/>
                <w:color w:val="000000"/>
                <w:sz w:val="18"/>
                <w:szCs w:val="18"/>
                <w:lang w:val="en-US"/>
              </w:rPr>
              <w:t>43288.7</w:t>
            </w:r>
            <w:r>
              <w:rPr>
                <w:rFonts w:ascii="Tahoma" w:hAnsi="Tahoma" w:cs="Tahoma"/>
                <w:b/>
                <w:sz w:val="18"/>
                <w:szCs w:val="18"/>
              </w:rPr>
              <w:t xml:space="preserve"> </w:t>
            </w:r>
            <w:r>
              <w:rPr>
                <w:rFonts w:ascii="Tahoma" w:hAnsi="Tahoma" w:cs="Tahoma"/>
                <w:b/>
                <w:color w:val="000000"/>
                <w:sz w:val="18"/>
                <w:szCs w:val="18"/>
              </w:rPr>
              <w:t xml:space="preserve">million - </w:t>
            </w:r>
            <w:r>
              <w:rPr>
                <w:rFonts w:ascii="Tahoma" w:hAnsi="Tahoma" w:cs="Tahoma"/>
                <w:b/>
                <w:bCs/>
                <w:sz w:val="18"/>
                <w:szCs w:val="18"/>
              </w:rPr>
              <w:t xml:space="preserve">which was a </w:t>
            </w:r>
            <w:r>
              <w:rPr>
                <w:rFonts w:ascii="Tahoma" w:hAnsi="Tahoma" w:cs="Tahoma"/>
                <w:b/>
                <w:bCs/>
                <w:sz w:val="18"/>
                <w:szCs w:val="18"/>
                <w:lang w:val="en-US"/>
              </w:rPr>
              <w:t>de</w:t>
            </w:r>
            <w:r>
              <w:rPr>
                <w:rFonts w:ascii="Tahoma" w:hAnsi="Tahoma" w:cs="Tahoma"/>
                <w:b/>
                <w:bCs/>
                <w:sz w:val="18"/>
                <w:szCs w:val="18"/>
              </w:rPr>
              <w:t xml:space="preserve">crease of </w:t>
            </w:r>
            <w:r>
              <w:rPr>
                <w:rFonts w:ascii="Tahoma" w:hAnsi="Tahoma" w:cs="Tahoma"/>
                <w:b/>
                <w:bCs/>
                <w:sz w:val="18"/>
                <w:szCs w:val="18"/>
                <w:lang w:val="en-US"/>
              </w:rPr>
              <w:t>0.4</w:t>
            </w:r>
            <w:r>
              <w:rPr>
                <w:rFonts w:ascii="Tahoma" w:hAnsi="Tahoma" w:cs="Tahoma"/>
                <w:b/>
                <w:bCs/>
                <w:sz w:val="18"/>
                <w:szCs w:val="18"/>
              </w:rPr>
              <w:t>% compared to the same period last year.</w:t>
            </w:r>
          </w:p>
          <w:p w:rsidR="000C3DAA" w:rsidRDefault="000C3DAA">
            <w:pPr>
              <w:widowControl w:val="0"/>
              <w:ind w:firstLine="360"/>
              <w:jc w:val="both"/>
              <w:rPr>
                <w:rFonts w:ascii="Arial" w:hAnsi="Arial" w:cs="Arial"/>
                <w:b/>
                <w:color w:val="000000"/>
                <w:sz w:val="18"/>
                <w:szCs w:val="18"/>
              </w:rPr>
            </w:pPr>
          </w:p>
          <w:p w:rsidR="000C3DAA" w:rsidRDefault="001E7893">
            <w:pPr>
              <w:widowControl w:val="0"/>
              <w:jc w:val="both"/>
              <w:rPr>
                <w:rFonts w:ascii="Tahoma" w:hAnsi="Tahoma" w:cs="Tahoma"/>
                <w:color w:val="FF0000"/>
                <w:sz w:val="18"/>
                <w:szCs w:val="18"/>
              </w:rPr>
            </w:pPr>
            <w:r>
              <w:rPr>
                <w:rFonts w:ascii="Tahoma" w:hAnsi="Tahoma" w:cs="Tahoma"/>
                <w:sz w:val="18"/>
                <w:szCs w:val="18"/>
              </w:rPr>
              <w:t xml:space="preserve">The value of </w:t>
            </w:r>
            <w:r>
              <w:rPr>
                <w:rFonts w:ascii="Tahoma" w:hAnsi="Tahoma" w:cs="Tahoma"/>
                <w:b/>
                <w:bCs/>
                <w:sz w:val="18"/>
                <w:szCs w:val="18"/>
              </w:rPr>
              <w:t>exports</w:t>
            </w:r>
            <w:r>
              <w:rPr>
                <w:rFonts w:ascii="Tahoma" w:hAnsi="Tahoma" w:cs="Tahoma"/>
                <w:sz w:val="18"/>
                <w:szCs w:val="18"/>
              </w:rPr>
              <w:t xml:space="preserve"> amounted to </w:t>
            </w:r>
            <w:r>
              <w:rPr>
                <w:rFonts w:ascii="Tahoma" w:hAnsi="Tahoma" w:cs="Tahoma"/>
                <w:b/>
                <w:bCs/>
                <w:sz w:val="18"/>
                <w:szCs w:val="18"/>
              </w:rPr>
              <w:t xml:space="preserve">USD </w:t>
            </w:r>
            <w:r>
              <w:rPr>
                <w:rFonts w:ascii="Tahoma" w:hAnsi="Tahoma" w:cs="Tahoma"/>
                <w:b/>
                <w:bCs/>
                <w:sz w:val="18"/>
                <w:szCs w:val="18"/>
                <w:lang w:val="en-US"/>
              </w:rPr>
              <w:t>20675.5</w:t>
            </w:r>
            <w:r>
              <w:rPr>
                <w:rFonts w:ascii="Tahoma" w:hAnsi="Tahoma" w:cs="Tahoma"/>
                <w:b/>
                <w:bCs/>
                <w:sz w:val="18"/>
                <w:szCs w:val="18"/>
              </w:rPr>
              <w:t xml:space="preserve"> million</w:t>
            </w:r>
            <w:r>
              <w:rPr>
                <w:rFonts w:ascii="Tahoma" w:hAnsi="Tahoma" w:cs="Tahoma"/>
                <w:sz w:val="18"/>
                <w:szCs w:val="18"/>
              </w:rPr>
              <w:t xml:space="preserve">, which was </w:t>
            </w:r>
            <w:r>
              <w:rPr>
                <w:rFonts w:ascii="Tahoma" w:hAnsi="Tahoma" w:cs="Tahoma"/>
                <w:sz w:val="18"/>
                <w:szCs w:val="18"/>
                <w:lang w:val="en-US"/>
              </w:rPr>
              <w:t>7.9</w:t>
            </w:r>
            <w:r>
              <w:rPr>
                <w:rFonts w:ascii="Tahoma" w:hAnsi="Tahoma" w:cs="Tahoma"/>
                <w:sz w:val="18"/>
                <w:szCs w:val="18"/>
              </w:rPr>
              <w:t xml:space="preserve">% increase when compared to the same period last year, while the value of </w:t>
            </w:r>
            <w:r>
              <w:rPr>
                <w:rFonts w:ascii="Tahoma" w:hAnsi="Tahoma" w:cs="Tahoma"/>
                <w:b/>
                <w:bCs/>
                <w:sz w:val="18"/>
                <w:szCs w:val="18"/>
              </w:rPr>
              <w:t>imports</w:t>
            </w:r>
            <w:r>
              <w:rPr>
                <w:rFonts w:ascii="Tahoma" w:hAnsi="Tahoma" w:cs="Tahoma"/>
                <w:sz w:val="18"/>
                <w:szCs w:val="18"/>
              </w:rPr>
              <w:t xml:space="preserve"> amounted to </w:t>
            </w:r>
            <w:r>
              <w:rPr>
                <w:rFonts w:ascii="Tahoma" w:hAnsi="Tahoma" w:cs="Tahoma"/>
                <w:b/>
                <w:sz w:val="18"/>
                <w:szCs w:val="18"/>
              </w:rPr>
              <w:t xml:space="preserve">USD </w:t>
            </w:r>
            <w:r>
              <w:rPr>
                <w:rFonts w:ascii="Tahoma" w:hAnsi="Tahoma" w:cs="Tahoma"/>
                <w:b/>
                <w:sz w:val="18"/>
                <w:szCs w:val="18"/>
                <w:lang w:val="en-US"/>
              </w:rPr>
              <w:t>26270.1</w:t>
            </w:r>
            <w:r>
              <w:rPr>
                <w:rFonts w:ascii="Tahoma" w:hAnsi="Tahoma" w:cs="Tahoma"/>
                <w:b/>
                <w:bCs/>
                <w:sz w:val="18"/>
                <w:szCs w:val="18"/>
              </w:rPr>
              <w:t xml:space="preserve"> million</w:t>
            </w:r>
            <w:r>
              <w:rPr>
                <w:rFonts w:ascii="Tahoma" w:hAnsi="Tahoma" w:cs="Tahoma"/>
                <w:sz w:val="18"/>
                <w:szCs w:val="18"/>
              </w:rPr>
              <w:t xml:space="preserve">, which was </w:t>
            </w:r>
            <w:r>
              <w:rPr>
                <w:rFonts w:ascii="Tahoma" w:hAnsi="Tahoma" w:cs="Tahoma"/>
                <w:sz w:val="18"/>
                <w:szCs w:val="18"/>
                <w:lang w:val="en-US"/>
              </w:rPr>
              <w:t>5.0</w:t>
            </w:r>
            <w:r>
              <w:rPr>
                <w:rFonts w:ascii="Tahoma" w:hAnsi="Tahoma" w:cs="Tahoma"/>
                <w:sz w:val="18"/>
                <w:szCs w:val="18"/>
              </w:rPr>
              <w:t>% decrease relative to the same period last year.</w:t>
            </w:r>
          </w:p>
          <w:p w:rsidR="000C3DAA" w:rsidRDefault="000C3DAA">
            <w:pPr>
              <w:widowControl w:val="0"/>
              <w:jc w:val="both"/>
              <w:rPr>
                <w:rFonts w:ascii="Tahoma" w:hAnsi="Tahoma" w:cs="Tahoma"/>
                <w:sz w:val="18"/>
                <w:szCs w:val="18"/>
              </w:rPr>
            </w:pPr>
          </w:p>
          <w:p w:rsidR="000C3DAA" w:rsidRDefault="001E7893">
            <w:pPr>
              <w:widowControl w:val="0"/>
              <w:jc w:val="both"/>
              <w:rPr>
                <w:rFonts w:ascii="Tahoma" w:hAnsi="Tahoma" w:cs="Tahoma"/>
                <w:sz w:val="18"/>
                <w:szCs w:val="18"/>
              </w:rPr>
            </w:pPr>
            <w:r>
              <w:rPr>
                <w:rFonts w:ascii="Tahoma" w:hAnsi="Tahoma" w:cs="Tahoma"/>
                <w:sz w:val="18"/>
                <w:szCs w:val="18"/>
              </w:rPr>
              <w:t xml:space="preserve">Expressed in </w:t>
            </w:r>
            <w:r>
              <w:rPr>
                <w:rFonts w:ascii="Tahoma" w:hAnsi="Tahoma" w:cs="Tahoma"/>
                <w:b/>
                <w:bCs/>
                <w:sz w:val="18"/>
                <w:szCs w:val="18"/>
              </w:rPr>
              <w:t>Euros</w:t>
            </w:r>
            <w:r>
              <w:rPr>
                <w:rFonts w:ascii="Tahoma" w:hAnsi="Tahoma" w:cs="Tahoma"/>
                <w:sz w:val="18"/>
                <w:szCs w:val="18"/>
              </w:rPr>
              <w:t xml:space="preserve">, the value of </w:t>
            </w:r>
            <w:r>
              <w:rPr>
                <w:rFonts w:ascii="Tahoma" w:hAnsi="Tahoma" w:cs="Tahoma"/>
                <w:b/>
                <w:bCs/>
                <w:sz w:val="18"/>
                <w:szCs w:val="18"/>
              </w:rPr>
              <w:t>exports</w:t>
            </w:r>
            <w:r>
              <w:rPr>
                <w:rFonts w:ascii="Tahoma" w:hAnsi="Tahoma" w:cs="Tahoma"/>
                <w:sz w:val="18"/>
                <w:szCs w:val="18"/>
              </w:rPr>
              <w:t xml:space="preserve"> amounted to </w:t>
            </w:r>
            <w:r>
              <w:rPr>
                <w:rFonts w:ascii="Tahoma" w:hAnsi="Tahoma" w:cs="Tahoma"/>
                <w:b/>
                <w:bCs/>
                <w:sz w:val="18"/>
                <w:szCs w:val="18"/>
              </w:rPr>
              <w:t xml:space="preserve">EUR </w:t>
            </w:r>
            <w:r>
              <w:rPr>
                <w:rFonts w:ascii="Tahoma" w:hAnsi="Tahoma" w:cs="Tahoma"/>
                <w:b/>
                <w:bCs/>
                <w:sz w:val="18"/>
                <w:szCs w:val="18"/>
                <w:lang w:val="en-US"/>
              </w:rPr>
              <w:t>19068.4</w:t>
            </w:r>
            <w:r>
              <w:rPr>
                <w:rFonts w:ascii="Tahoma" w:hAnsi="Tahoma" w:cs="Tahoma"/>
                <w:b/>
                <w:bCs/>
                <w:sz w:val="18"/>
                <w:szCs w:val="18"/>
              </w:rPr>
              <w:t xml:space="preserve"> million</w:t>
            </w:r>
            <w:r>
              <w:rPr>
                <w:rFonts w:ascii="Tahoma" w:hAnsi="Tahoma" w:cs="Tahoma"/>
                <w:sz w:val="18"/>
                <w:szCs w:val="18"/>
              </w:rPr>
              <w:t xml:space="preserve">, which was </w:t>
            </w:r>
            <w:r>
              <w:rPr>
                <w:rFonts w:ascii="Tahoma" w:hAnsi="Tahoma" w:cs="Tahoma"/>
                <w:sz w:val="18"/>
                <w:szCs w:val="18"/>
                <w:lang w:val="en-US"/>
              </w:rPr>
              <w:t>7.1</w:t>
            </w:r>
            <w:r>
              <w:rPr>
                <w:rFonts w:ascii="Tahoma" w:hAnsi="Tahoma" w:cs="Tahoma"/>
                <w:sz w:val="18"/>
                <w:szCs w:val="18"/>
              </w:rPr>
              <w:t xml:space="preserve">% increase, compared to the same period last year. The value of </w:t>
            </w:r>
            <w:r>
              <w:rPr>
                <w:rFonts w:ascii="Tahoma" w:hAnsi="Tahoma" w:cs="Tahoma"/>
                <w:b/>
                <w:bCs/>
                <w:sz w:val="18"/>
                <w:szCs w:val="18"/>
              </w:rPr>
              <w:t>imports</w:t>
            </w:r>
            <w:r>
              <w:rPr>
                <w:rFonts w:ascii="Tahoma" w:hAnsi="Tahoma" w:cs="Tahoma"/>
                <w:sz w:val="18"/>
                <w:szCs w:val="18"/>
              </w:rPr>
              <w:t xml:space="preserve"> amounted to </w:t>
            </w:r>
            <w:r>
              <w:rPr>
                <w:rFonts w:ascii="Tahoma" w:hAnsi="Tahoma" w:cs="Tahoma"/>
                <w:b/>
                <w:bCs/>
                <w:sz w:val="18"/>
                <w:szCs w:val="18"/>
              </w:rPr>
              <w:t xml:space="preserve">EUR </w:t>
            </w:r>
            <w:r>
              <w:rPr>
                <w:rFonts w:ascii="Tahoma" w:hAnsi="Tahoma" w:cs="Tahoma"/>
                <w:b/>
                <w:bCs/>
                <w:sz w:val="18"/>
                <w:szCs w:val="18"/>
                <w:lang w:val="en-US"/>
              </w:rPr>
              <w:t>24220.3</w:t>
            </w:r>
            <w:r>
              <w:rPr>
                <w:rFonts w:ascii="Tahoma" w:hAnsi="Tahoma" w:cs="Tahoma"/>
                <w:b/>
                <w:bCs/>
                <w:sz w:val="18"/>
                <w:szCs w:val="18"/>
              </w:rPr>
              <w:t xml:space="preserve"> million</w:t>
            </w:r>
            <w:r>
              <w:rPr>
                <w:rFonts w:ascii="Tahoma" w:hAnsi="Tahoma" w:cs="Tahoma"/>
                <w:sz w:val="18"/>
                <w:szCs w:val="18"/>
              </w:rPr>
              <w:t>, which was 5.</w:t>
            </w:r>
            <w:r>
              <w:rPr>
                <w:rFonts w:ascii="Tahoma" w:hAnsi="Tahoma" w:cs="Tahoma"/>
                <w:sz w:val="18"/>
                <w:szCs w:val="18"/>
                <w:lang w:val="en-US"/>
              </w:rPr>
              <w:t>7</w:t>
            </w:r>
            <w:r>
              <w:rPr>
                <w:rFonts w:ascii="Tahoma" w:hAnsi="Tahoma" w:cs="Tahoma"/>
                <w:sz w:val="18"/>
                <w:szCs w:val="18"/>
              </w:rPr>
              <w:t>% decrease when compared to the same period last year.</w:t>
            </w:r>
          </w:p>
          <w:p w:rsidR="000C3DAA" w:rsidRDefault="000C3DAA">
            <w:pPr>
              <w:widowControl w:val="0"/>
              <w:jc w:val="both"/>
              <w:rPr>
                <w:rFonts w:ascii="Tahoma" w:hAnsi="Tahoma" w:cs="Tahoma"/>
                <w:b/>
                <w:bCs/>
                <w:sz w:val="18"/>
                <w:szCs w:val="18"/>
              </w:rPr>
            </w:pPr>
          </w:p>
          <w:p w:rsidR="000C3DAA" w:rsidRDefault="001E7893">
            <w:pPr>
              <w:widowControl w:val="0"/>
              <w:jc w:val="both"/>
              <w:rPr>
                <w:rFonts w:ascii="Tahoma" w:hAnsi="Tahoma" w:cs="Tahoma"/>
                <w:sz w:val="18"/>
                <w:szCs w:val="18"/>
              </w:rPr>
            </w:pPr>
            <w:r>
              <w:rPr>
                <w:rFonts w:ascii="Tahoma" w:hAnsi="Tahoma" w:cs="Tahoma"/>
                <w:b/>
                <w:bCs/>
                <w:sz w:val="18"/>
                <w:szCs w:val="18"/>
              </w:rPr>
              <w:t xml:space="preserve"> The deficit</w:t>
            </w:r>
            <w:r>
              <w:rPr>
                <w:rFonts w:ascii="Tahoma" w:hAnsi="Tahoma" w:cs="Tahoma"/>
                <w:sz w:val="18"/>
                <w:szCs w:val="18"/>
              </w:rPr>
              <w:t xml:space="preserve"> amounted to </w:t>
            </w:r>
            <w:r>
              <w:rPr>
                <w:rFonts w:ascii="Tahoma" w:hAnsi="Tahoma" w:cs="Tahoma"/>
                <w:b/>
                <w:bCs/>
                <w:sz w:val="18"/>
                <w:szCs w:val="18"/>
              </w:rPr>
              <w:t xml:space="preserve">USD </w:t>
            </w:r>
            <w:r>
              <w:rPr>
                <w:rFonts w:ascii="Tahoma" w:hAnsi="Tahoma" w:cs="Tahoma"/>
                <w:b/>
                <w:bCs/>
                <w:sz w:val="18"/>
                <w:szCs w:val="18"/>
                <w:lang w:val="en-US"/>
              </w:rPr>
              <w:t>5594.6</w:t>
            </w:r>
            <w:r>
              <w:rPr>
                <w:rFonts w:ascii="Tahoma" w:hAnsi="Tahoma" w:cs="Tahoma"/>
                <w:b/>
                <w:bCs/>
                <w:sz w:val="18"/>
                <w:szCs w:val="18"/>
              </w:rPr>
              <w:t xml:space="preserve"> million</w:t>
            </w:r>
            <w:r>
              <w:rPr>
                <w:rFonts w:ascii="Tahoma" w:hAnsi="Tahoma" w:cs="Tahoma"/>
                <w:sz w:val="18"/>
                <w:szCs w:val="18"/>
              </w:rPr>
              <w:t xml:space="preserve">, which was a </w:t>
            </w:r>
            <w:r>
              <w:rPr>
                <w:rFonts w:ascii="Tahoma" w:hAnsi="Tahoma" w:cs="Tahoma"/>
                <w:b/>
                <w:sz w:val="18"/>
                <w:szCs w:val="18"/>
              </w:rPr>
              <w:t>de</w:t>
            </w:r>
            <w:r>
              <w:rPr>
                <w:rFonts w:ascii="Tahoma" w:hAnsi="Tahoma" w:cs="Tahoma"/>
                <w:b/>
                <w:bCs/>
                <w:sz w:val="18"/>
                <w:szCs w:val="18"/>
              </w:rPr>
              <w:t>crease of 3</w:t>
            </w:r>
            <w:r>
              <w:rPr>
                <w:rFonts w:ascii="Tahoma" w:hAnsi="Tahoma" w:cs="Tahoma"/>
                <w:b/>
                <w:bCs/>
                <w:sz w:val="18"/>
                <w:szCs w:val="18"/>
                <w:lang w:val="en-US"/>
              </w:rPr>
              <w:t>4.0</w:t>
            </w:r>
            <w:r>
              <w:rPr>
                <w:rFonts w:ascii="Tahoma" w:hAnsi="Tahoma" w:cs="Tahoma"/>
                <w:b/>
                <w:bCs/>
                <w:sz w:val="18"/>
                <w:szCs w:val="18"/>
              </w:rPr>
              <w:t xml:space="preserve">% </w:t>
            </w:r>
            <w:r>
              <w:rPr>
                <w:rFonts w:ascii="Tahoma" w:hAnsi="Tahoma" w:cs="Tahoma"/>
                <w:sz w:val="18"/>
                <w:szCs w:val="18"/>
              </w:rPr>
              <w:t xml:space="preserve">in relation to the same period last year. The deficit expressed in Euros amounted to </w:t>
            </w:r>
            <w:r>
              <w:rPr>
                <w:rFonts w:ascii="Tahoma" w:hAnsi="Tahoma" w:cs="Tahoma"/>
                <w:b/>
                <w:sz w:val="18"/>
                <w:szCs w:val="18"/>
                <w:lang w:val="en-US"/>
              </w:rPr>
              <w:t>5152.0</w:t>
            </w:r>
            <w:r>
              <w:rPr>
                <w:rFonts w:ascii="Tahoma" w:hAnsi="Tahoma" w:cs="Tahoma"/>
                <w:sz w:val="18"/>
                <w:szCs w:val="18"/>
              </w:rPr>
              <w:t xml:space="preserve"> million, which was a </w:t>
            </w:r>
            <w:r>
              <w:rPr>
                <w:rFonts w:ascii="Tahoma" w:hAnsi="Tahoma" w:cs="Tahoma"/>
                <w:b/>
                <w:sz w:val="18"/>
                <w:szCs w:val="18"/>
              </w:rPr>
              <w:t xml:space="preserve">decrease of </w:t>
            </w:r>
            <w:r>
              <w:rPr>
                <w:rFonts w:ascii="Tahoma" w:hAnsi="Tahoma" w:cs="Tahoma"/>
                <w:b/>
                <w:sz w:val="18"/>
                <w:szCs w:val="18"/>
                <w:lang w:val="en-US"/>
              </w:rPr>
              <w:t>34.3</w:t>
            </w:r>
            <w:r>
              <w:rPr>
                <w:rFonts w:ascii="Tahoma" w:hAnsi="Tahoma" w:cs="Tahoma"/>
                <w:b/>
                <w:sz w:val="18"/>
                <w:szCs w:val="18"/>
              </w:rPr>
              <w:t>%</w:t>
            </w:r>
            <w:r>
              <w:rPr>
                <w:rFonts w:ascii="Tahoma" w:hAnsi="Tahoma" w:cs="Tahoma"/>
                <w:sz w:val="18"/>
                <w:szCs w:val="18"/>
              </w:rPr>
              <w:t xml:space="preserve"> compared to the same period last year.</w:t>
            </w:r>
          </w:p>
          <w:p w:rsidR="000C3DAA" w:rsidRDefault="000C3DAA">
            <w:pPr>
              <w:widowControl w:val="0"/>
              <w:jc w:val="both"/>
              <w:rPr>
                <w:rFonts w:ascii="Tahoma" w:hAnsi="Tahoma" w:cs="Tahoma"/>
                <w:b/>
                <w:bCs/>
                <w:sz w:val="18"/>
                <w:szCs w:val="18"/>
              </w:rPr>
            </w:pPr>
          </w:p>
          <w:p w:rsidR="000C3DAA" w:rsidRDefault="001E7893">
            <w:pPr>
              <w:widowControl w:val="0"/>
              <w:jc w:val="both"/>
              <w:rPr>
                <w:rFonts w:ascii="Arial" w:hAnsi="Arial" w:cs="Arial"/>
                <w:sz w:val="22"/>
                <w:szCs w:val="22"/>
              </w:rPr>
            </w:pPr>
            <w:r>
              <w:rPr>
                <w:rFonts w:ascii="Tahoma" w:hAnsi="Tahoma" w:cs="Tahoma"/>
                <w:b/>
                <w:bCs/>
                <w:sz w:val="18"/>
                <w:szCs w:val="18"/>
              </w:rPr>
              <w:t xml:space="preserve">The export - import ratio </w:t>
            </w:r>
            <w:r>
              <w:rPr>
                <w:rFonts w:ascii="Tahoma" w:hAnsi="Tahoma" w:cs="Tahoma"/>
                <w:sz w:val="18"/>
                <w:szCs w:val="18"/>
              </w:rPr>
              <w:t xml:space="preserve">equalled </w:t>
            </w:r>
            <w:r>
              <w:rPr>
                <w:rFonts w:ascii="Tahoma" w:hAnsi="Tahoma" w:cs="Tahoma"/>
                <w:b/>
                <w:sz w:val="18"/>
                <w:szCs w:val="18"/>
              </w:rPr>
              <w:t>78.</w:t>
            </w:r>
            <w:r>
              <w:rPr>
                <w:rFonts w:ascii="Tahoma" w:hAnsi="Tahoma" w:cs="Tahoma"/>
                <w:b/>
                <w:sz w:val="18"/>
                <w:szCs w:val="18"/>
                <w:lang w:val="en-US"/>
              </w:rPr>
              <w:t>7</w:t>
            </w:r>
            <w:r>
              <w:rPr>
                <w:rFonts w:ascii="Tahoma" w:hAnsi="Tahoma" w:cs="Tahoma"/>
                <w:b/>
                <w:bCs/>
                <w:sz w:val="18"/>
                <w:szCs w:val="18"/>
              </w:rPr>
              <w:t>%</w:t>
            </w:r>
            <w:r>
              <w:rPr>
                <w:rFonts w:ascii="Tahoma" w:hAnsi="Tahoma" w:cs="Tahoma"/>
                <w:sz w:val="18"/>
                <w:szCs w:val="18"/>
              </w:rPr>
              <w:t xml:space="preserve"> and was higher if compared to the same period last year when it was </w:t>
            </w:r>
            <w:r>
              <w:rPr>
                <w:rFonts w:ascii="Tahoma" w:hAnsi="Tahoma" w:cs="Tahoma"/>
                <w:sz w:val="18"/>
                <w:szCs w:val="18"/>
                <w:lang w:val="en-US"/>
              </w:rPr>
              <w:t>69.3</w:t>
            </w:r>
            <w:r>
              <w:rPr>
                <w:rFonts w:ascii="Tahoma" w:hAnsi="Tahoma" w:cs="Tahoma"/>
                <w:sz w:val="18"/>
                <w:szCs w:val="18"/>
              </w:rPr>
              <w:t>%.</w:t>
            </w:r>
          </w:p>
          <w:p w:rsidR="000C3DAA" w:rsidRDefault="000C3DAA">
            <w:pPr>
              <w:widowControl w:val="0"/>
              <w:jc w:val="both"/>
              <w:rPr>
                <w:rFonts w:ascii="Arial" w:hAnsi="Arial" w:cs="Arial"/>
                <w:b/>
                <w:bCs/>
                <w:color w:val="000000"/>
                <w:sz w:val="18"/>
                <w:szCs w:val="18"/>
              </w:rPr>
            </w:pPr>
          </w:p>
          <w:p w:rsidR="000C3DAA" w:rsidRDefault="001E7893">
            <w:pPr>
              <w:pStyle w:val="BodyText2"/>
              <w:widowControl w:val="0"/>
              <w:spacing w:line="240" w:lineRule="auto"/>
              <w:jc w:val="both"/>
              <w:rPr>
                <w:rFonts w:ascii="Tahoma" w:hAnsi="Tahoma" w:cs="Tahoma"/>
                <w:sz w:val="18"/>
                <w:szCs w:val="18"/>
              </w:rPr>
            </w:pPr>
            <w:r>
              <w:rPr>
                <w:rFonts w:ascii="Tahoma" w:hAnsi="Tahoma" w:cs="Tahoma"/>
                <w:sz w:val="18"/>
                <w:szCs w:val="18"/>
              </w:rPr>
              <w:t>Observed by regions, the largest share in export of Serbia was noted in Region Vojvodine (32.</w:t>
            </w:r>
            <w:r>
              <w:rPr>
                <w:rFonts w:ascii="Tahoma" w:hAnsi="Tahoma" w:cs="Tahoma"/>
                <w:sz w:val="18"/>
                <w:szCs w:val="18"/>
                <w:lang w:val="en-US"/>
              </w:rPr>
              <w:t>9</w:t>
            </w:r>
            <w:r>
              <w:rPr>
                <w:rFonts w:ascii="Tahoma" w:hAnsi="Tahoma" w:cs="Tahoma"/>
                <w:sz w:val="18"/>
                <w:szCs w:val="18"/>
              </w:rPr>
              <w:t>%), followed by Beogradski region (24.</w:t>
            </w:r>
            <w:r>
              <w:rPr>
                <w:rFonts w:ascii="Tahoma" w:hAnsi="Tahoma" w:cs="Tahoma"/>
                <w:sz w:val="18"/>
                <w:szCs w:val="18"/>
                <w:lang w:val="en-US"/>
              </w:rPr>
              <w:t>4</w:t>
            </w:r>
            <w:r>
              <w:rPr>
                <w:rFonts w:ascii="Tahoma" w:hAnsi="Tahoma" w:cs="Tahoma"/>
                <w:sz w:val="18"/>
                <w:szCs w:val="18"/>
              </w:rPr>
              <w:t xml:space="preserve">%), Region Šumadije i Zapadne Srbije (20.6%), </w:t>
            </w:r>
            <w:r>
              <w:rPr>
                <w:rFonts w:ascii="Tahoma" w:hAnsi="Tahoma" w:cs="Tahoma"/>
                <w:sz w:val="18"/>
                <w:szCs w:val="18"/>
              </w:rPr>
              <w:t>Region Južne i Istočne Srbije (19.</w:t>
            </w:r>
            <w:r>
              <w:rPr>
                <w:rFonts w:ascii="Tahoma" w:hAnsi="Tahoma" w:cs="Tahoma"/>
                <w:sz w:val="18"/>
                <w:szCs w:val="18"/>
                <w:lang w:val="en-US"/>
              </w:rPr>
              <w:t>6</w:t>
            </w:r>
            <w:r>
              <w:rPr>
                <w:rFonts w:ascii="Tahoma" w:hAnsi="Tahoma" w:cs="Tahoma"/>
                <w:sz w:val="18"/>
                <w:szCs w:val="18"/>
              </w:rPr>
              <w:t xml:space="preserve">%), and approximately </w:t>
            </w:r>
            <w:r>
              <w:rPr>
                <w:rFonts w:ascii="Tahoma" w:hAnsi="Tahoma" w:cs="Tahoma"/>
                <w:sz w:val="18"/>
                <w:szCs w:val="18"/>
                <w:lang w:val="en-US"/>
              </w:rPr>
              <w:t>2.5</w:t>
            </w:r>
            <w:r>
              <w:rPr>
                <w:rFonts w:ascii="Tahoma" w:hAnsi="Tahoma" w:cs="Tahoma"/>
                <w:sz w:val="18"/>
                <w:szCs w:val="18"/>
              </w:rPr>
              <w:t>% of total exports is not classified by territories.</w:t>
            </w:r>
          </w:p>
          <w:p w:rsidR="000C3DAA" w:rsidRDefault="001E7893">
            <w:pPr>
              <w:widowControl w:val="0"/>
              <w:jc w:val="both"/>
              <w:rPr>
                <w:rFonts w:ascii="Tahoma" w:hAnsi="Tahoma" w:cs="Tahoma"/>
                <w:bCs/>
                <w:color w:val="000000"/>
                <w:sz w:val="18"/>
                <w:szCs w:val="18"/>
              </w:rPr>
            </w:pPr>
            <w:r>
              <w:rPr>
                <w:rFonts w:ascii="Tahoma" w:hAnsi="Tahoma" w:cs="Tahoma"/>
                <w:color w:val="000000"/>
                <w:sz w:val="18"/>
                <w:szCs w:val="18"/>
              </w:rPr>
              <w:t xml:space="preserve">The greatest share in import of Serbia was noted in </w:t>
            </w:r>
            <w:r>
              <w:rPr>
                <w:rFonts w:ascii="Tahoma" w:hAnsi="Tahoma" w:cs="Tahoma"/>
                <w:sz w:val="18"/>
                <w:szCs w:val="18"/>
              </w:rPr>
              <w:t xml:space="preserve">Beogradski region </w:t>
            </w:r>
            <w:r>
              <w:rPr>
                <w:rFonts w:ascii="Tahoma" w:hAnsi="Tahoma" w:cs="Tahoma"/>
                <w:color w:val="000000"/>
                <w:sz w:val="18"/>
                <w:szCs w:val="18"/>
              </w:rPr>
              <w:t>(4</w:t>
            </w:r>
            <w:r>
              <w:rPr>
                <w:rFonts w:ascii="Tahoma" w:hAnsi="Tahoma" w:cs="Tahoma"/>
                <w:color w:val="000000"/>
                <w:sz w:val="18"/>
                <w:szCs w:val="18"/>
                <w:lang w:val="en-US"/>
              </w:rPr>
              <w:t>3</w:t>
            </w:r>
            <w:r>
              <w:rPr>
                <w:rFonts w:ascii="Tahoma" w:hAnsi="Tahoma" w:cs="Tahoma"/>
                <w:color w:val="000000"/>
                <w:sz w:val="18"/>
                <w:szCs w:val="18"/>
              </w:rPr>
              <w:t xml:space="preserve">.0%), followed by </w:t>
            </w:r>
            <w:r>
              <w:rPr>
                <w:rFonts w:ascii="Tahoma" w:hAnsi="Tahoma" w:cs="Tahoma"/>
                <w:sz w:val="18"/>
                <w:szCs w:val="18"/>
              </w:rPr>
              <w:t xml:space="preserve">Region Vojvodine </w:t>
            </w:r>
            <w:r>
              <w:rPr>
                <w:rFonts w:ascii="Tahoma" w:hAnsi="Tahoma" w:cs="Tahoma"/>
                <w:color w:val="000000"/>
                <w:sz w:val="18"/>
                <w:szCs w:val="18"/>
              </w:rPr>
              <w:t>(3</w:t>
            </w:r>
            <w:r>
              <w:rPr>
                <w:rFonts w:ascii="Tahoma" w:hAnsi="Tahoma" w:cs="Tahoma"/>
                <w:color w:val="000000"/>
                <w:sz w:val="18"/>
                <w:szCs w:val="18"/>
                <w:lang w:val="en-US"/>
              </w:rPr>
              <w:t>3</w:t>
            </w:r>
            <w:r>
              <w:rPr>
                <w:rFonts w:ascii="Tahoma" w:hAnsi="Tahoma" w:cs="Tahoma"/>
                <w:color w:val="000000"/>
                <w:sz w:val="18"/>
                <w:szCs w:val="18"/>
              </w:rPr>
              <w:t xml:space="preserve">.5%), </w:t>
            </w:r>
            <w:r>
              <w:rPr>
                <w:rFonts w:ascii="Tahoma" w:hAnsi="Tahoma" w:cs="Tahoma"/>
                <w:sz w:val="18"/>
                <w:szCs w:val="18"/>
              </w:rPr>
              <w:t xml:space="preserve">Region Šumadije i Zapadne </w:t>
            </w:r>
            <w:r>
              <w:rPr>
                <w:rFonts w:ascii="Tahoma" w:hAnsi="Tahoma" w:cs="Tahoma"/>
                <w:sz w:val="18"/>
                <w:szCs w:val="18"/>
              </w:rPr>
              <w:t xml:space="preserve">Srbije </w:t>
            </w:r>
            <w:r>
              <w:rPr>
                <w:rFonts w:ascii="Tahoma" w:hAnsi="Tahoma" w:cs="Tahoma"/>
                <w:bCs/>
                <w:color w:val="000000"/>
                <w:sz w:val="18"/>
                <w:szCs w:val="18"/>
              </w:rPr>
              <w:t>(</w:t>
            </w:r>
            <w:r>
              <w:rPr>
                <w:rFonts w:ascii="Tahoma" w:hAnsi="Tahoma" w:cs="Tahoma"/>
                <w:bCs/>
                <w:color w:val="000000"/>
                <w:sz w:val="18"/>
                <w:szCs w:val="18"/>
                <w:lang w:val="en-US"/>
              </w:rPr>
              <w:t>13.0</w:t>
            </w:r>
            <w:r>
              <w:rPr>
                <w:rFonts w:ascii="Tahoma" w:hAnsi="Tahoma" w:cs="Tahoma"/>
                <w:bCs/>
                <w:color w:val="000000"/>
                <w:sz w:val="18"/>
                <w:szCs w:val="18"/>
              </w:rPr>
              <w:t xml:space="preserve">%), </w:t>
            </w:r>
            <w:r>
              <w:rPr>
                <w:rFonts w:ascii="Tahoma" w:hAnsi="Tahoma" w:cs="Tahoma"/>
                <w:sz w:val="18"/>
                <w:szCs w:val="18"/>
              </w:rPr>
              <w:t xml:space="preserve">Region Južne i Istočne Srbije </w:t>
            </w:r>
            <w:r>
              <w:rPr>
                <w:rFonts w:ascii="Tahoma" w:hAnsi="Tahoma" w:cs="Tahoma"/>
                <w:color w:val="000000"/>
                <w:sz w:val="18"/>
                <w:szCs w:val="18"/>
              </w:rPr>
              <w:t>(</w:t>
            </w:r>
            <w:r>
              <w:rPr>
                <w:rFonts w:ascii="Tahoma" w:hAnsi="Tahoma" w:cs="Tahoma"/>
                <w:color w:val="000000"/>
                <w:sz w:val="18"/>
                <w:szCs w:val="18"/>
                <w:lang w:val="en-US"/>
              </w:rPr>
              <w:t>8.5</w:t>
            </w:r>
            <w:r>
              <w:rPr>
                <w:rFonts w:ascii="Tahoma" w:hAnsi="Tahoma" w:cs="Tahoma"/>
                <w:color w:val="000000"/>
                <w:sz w:val="18"/>
                <w:szCs w:val="18"/>
              </w:rPr>
              <w:t xml:space="preserve">%), </w:t>
            </w:r>
            <w:r>
              <w:rPr>
                <w:rFonts w:ascii="Tahoma" w:hAnsi="Tahoma" w:cs="Tahoma"/>
                <w:sz w:val="18"/>
                <w:szCs w:val="18"/>
              </w:rPr>
              <w:t>and approximately 2.</w:t>
            </w:r>
            <w:r>
              <w:rPr>
                <w:rFonts w:ascii="Tahoma" w:hAnsi="Tahoma" w:cs="Tahoma"/>
                <w:sz w:val="18"/>
                <w:szCs w:val="18"/>
                <w:lang w:val="en-US"/>
              </w:rPr>
              <w:t>1</w:t>
            </w:r>
            <w:r>
              <w:rPr>
                <w:rFonts w:ascii="Tahoma" w:hAnsi="Tahoma" w:cs="Tahoma"/>
                <w:sz w:val="18"/>
                <w:szCs w:val="18"/>
              </w:rPr>
              <w:t>% of total imports is not classified by territories</w:t>
            </w:r>
            <w:r>
              <w:rPr>
                <w:rFonts w:ascii="Tahoma" w:hAnsi="Tahoma" w:cs="Tahoma"/>
                <w:bCs/>
                <w:color w:val="000000"/>
                <w:sz w:val="18"/>
                <w:szCs w:val="18"/>
              </w:rPr>
              <w:t xml:space="preserve">. </w:t>
            </w:r>
            <w:r>
              <w:rPr>
                <w:rFonts w:ascii="Tahoma" w:hAnsi="Tahoma" w:cs="Tahoma"/>
                <w:sz w:val="18"/>
                <w:szCs w:val="18"/>
              </w:rPr>
              <w:t>Data on Kosovo and Metohija are not available.</w:t>
            </w:r>
          </w:p>
          <w:p w:rsidR="000C3DAA" w:rsidRDefault="000C3DAA">
            <w:pPr>
              <w:widowControl w:val="0"/>
              <w:jc w:val="both"/>
              <w:rPr>
                <w:rFonts w:ascii="Arial" w:hAnsi="Arial" w:cs="Arial"/>
                <w:color w:val="000000"/>
                <w:sz w:val="18"/>
                <w:szCs w:val="18"/>
              </w:rPr>
            </w:pPr>
          </w:p>
          <w:p w:rsidR="000C3DAA" w:rsidRDefault="001E7893">
            <w:pPr>
              <w:widowControl w:val="0"/>
              <w:jc w:val="both"/>
              <w:rPr>
                <w:rFonts w:ascii="Tahoma" w:hAnsi="Tahoma" w:cs="Tahoma"/>
                <w:color w:val="000000"/>
                <w:sz w:val="18"/>
                <w:szCs w:val="18"/>
              </w:rPr>
            </w:pPr>
            <w:r>
              <w:rPr>
                <w:rFonts w:ascii="Tahoma" w:hAnsi="Tahoma" w:cs="Tahoma"/>
                <w:color w:val="000000"/>
                <w:sz w:val="18"/>
                <w:szCs w:val="18"/>
              </w:rPr>
              <w:t xml:space="preserve">Export and import by regions is presented </w:t>
            </w:r>
            <w:r>
              <w:rPr>
                <w:rFonts w:ascii="Tahoma" w:hAnsi="Tahoma" w:cs="Tahoma"/>
                <w:b/>
                <w:color w:val="000000"/>
                <w:sz w:val="18"/>
                <w:szCs w:val="18"/>
              </w:rPr>
              <w:t>according to the headquarters of goods</w:t>
            </w:r>
            <w:r>
              <w:rPr>
                <w:rFonts w:ascii="Tahoma" w:hAnsi="Tahoma" w:cs="Tahoma"/>
                <w:b/>
                <w:color w:val="000000"/>
                <w:sz w:val="18"/>
                <w:szCs w:val="18"/>
              </w:rPr>
              <w:t xml:space="preserve"> owners at the moment of customs declaration delivery</w:t>
            </w:r>
            <w:r>
              <w:rPr>
                <w:rFonts w:ascii="Tahoma" w:hAnsi="Tahoma" w:cs="Tahoma"/>
                <w:color w:val="000000"/>
                <w:sz w:val="18"/>
                <w:szCs w:val="18"/>
              </w:rPr>
              <w:t>. It means that owners of goods, according to customs law, may be producers, users, exporters, or importers of goods. This fact is to be noted while observing the data by regions. For example, imports of</w:t>
            </w:r>
            <w:r>
              <w:rPr>
                <w:rFonts w:ascii="Tahoma" w:hAnsi="Tahoma" w:cs="Tahoma"/>
                <w:color w:val="000000"/>
                <w:sz w:val="18"/>
                <w:szCs w:val="18"/>
              </w:rPr>
              <w:t xml:space="preserve"> oil and gas mostly refer to the region of Vojvodina and Belgrade and the mentioned are the energy commodities for the whole territory of Serbia.</w:t>
            </w:r>
          </w:p>
          <w:p w:rsidR="000C3DAA" w:rsidRDefault="000C3DAA">
            <w:pPr>
              <w:widowControl w:val="0"/>
              <w:jc w:val="both"/>
              <w:rPr>
                <w:rFonts w:ascii="Tahoma" w:hAnsi="Tahoma" w:cs="Tahoma"/>
                <w:color w:val="000000"/>
                <w:sz w:val="18"/>
                <w:szCs w:val="18"/>
              </w:rPr>
            </w:pPr>
          </w:p>
          <w:p w:rsidR="000C3DAA" w:rsidRDefault="001E7893">
            <w:pPr>
              <w:pStyle w:val="BodyTextIndent"/>
              <w:widowControl w:val="0"/>
              <w:ind w:left="0"/>
              <w:jc w:val="both"/>
              <w:rPr>
                <w:rFonts w:ascii="Tahoma" w:hAnsi="Tahoma" w:cs="Tahoma"/>
                <w:sz w:val="18"/>
                <w:szCs w:val="18"/>
              </w:rPr>
            </w:pPr>
            <w:r>
              <w:rPr>
                <w:rFonts w:ascii="Tahoma" w:hAnsi="Tahoma" w:cs="Tahoma"/>
                <w:sz w:val="18"/>
                <w:szCs w:val="18"/>
              </w:rPr>
              <w:t xml:space="preserve">Regarding </w:t>
            </w:r>
            <w:r>
              <w:rPr>
                <w:rFonts w:ascii="Tahoma" w:hAnsi="Tahoma" w:cs="Tahoma"/>
                <w:b/>
                <w:bCs/>
                <w:sz w:val="18"/>
                <w:szCs w:val="18"/>
              </w:rPr>
              <w:t>the structure of exports according to products’ destination</w:t>
            </w:r>
            <w:r>
              <w:rPr>
                <w:rFonts w:ascii="Tahoma" w:hAnsi="Tahoma" w:cs="Tahoma"/>
                <w:sz w:val="18"/>
                <w:szCs w:val="18"/>
              </w:rPr>
              <w:t xml:space="preserve"> (the principle of prevalence), the most</w:t>
            </w:r>
            <w:r>
              <w:rPr>
                <w:rFonts w:ascii="Tahoma" w:hAnsi="Tahoma" w:cs="Tahoma"/>
                <w:sz w:val="18"/>
                <w:szCs w:val="18"/>
              </w:rPr>
              <w:t xml:space="preserve"> notable were: reproduction products 6</w:t>
            </w:r>
            <w:r>
              <w:rPr>
                <w:rFonts w:ascii="Tahoma" w:hAnsi="Tahoma" w:cs="Tahoma"/>
                <w:sz w:val="18"/>
                <w:szCs w:val="18"/>
                <w:lang w:val="en-US"/>
              </w:rPr>
              <w:t>2.2</w:t>
            </w:r>
            <w:r>
              <w:rPr>
                <w:rFonts w:ascii="Tahoma" w:hAnsi="Tahoma" w:cs="Tahoma"/>
                <w:sz w:val="18"/>
                <w:szCs w:val="18"/>
              </w:rPr>
              <w:t xml:space="preserve">% (USD </w:t>
            </w:r>
            <w:r>
              <w:rPr>
                <w:rFonts w:ascii="Tahoma" w:hAnsi="Tahoma" w:cs="Tahoma"/>
                <w:sz w:val="18"/>
                <w:szCs w:val="18"/>
                <w:lang w:val="en-US"/>
              </w:rPr>
              <w:t>12856.3</w:t>
            </w:r>
            <w:r>
              <w:rPr>
                <w:rFonts w:ascii="Tahoma" w:hAnsi="Tahoma" w:cs="Tahoma"/>
                <w:sz w:val="18"/>
                <w:szCs w:val="18"/>
              </w:rPr>
              <w:t xml:space="preserve"> million), then consumer goods 25.</w:t>
            </w:r>
            <w:r>
              <w:rPr>
                <w:rFonts w:ascii="Tahoma" w:hAnsi="Tahoma" w:cs="Tahoma"/>
                <w:sz w:val="18"/>
                <w:szCs w:val="18"/>
                <w:lang w:val="en-US"/>
              </w:rPr>
              <w:t>9</w:t>
            </w:r>
            <w:r>
              <w:rPr>
                <w:rFonts w:ascii="Tahoma" w:hAnsi="Tahoma" w:cs="Tahoma"/>
                <w:sz w:val="18"/>
                <w:szCs w:val="18"/>
              </w:rPr>
              <w:t xml:space="preserve">% (USD </w:t>
            </w:r>
            <w:r>
              <w:rPr>
                <w:rFonts w:ascii="Tahoma" w:hAnsi="Tahoma" w:cs="Tahoma"/>
                <w:sz w:val="18"/>
                <w:szCs w:val="18"/>
                <w:lang w:val="en-US"/>
              </w:rPr>
              <w:t>5350.7</w:t>
            </w:r>
            <w:r>
              <w:rPr>
                <w:rFonts w:ascii="Tahoma" w:hAnsi="Tahoma" w:cs="Tahoma"/>
                <w:sz w:val="18"/>
                <w:szCs w:val="18"/>
              </w:rPr>
              <w:t xml:space="preserve"> million) and equipment 11.</w:t>
            </w:r>
            <w:r>
              <w:rPr>
                <w:rFonts w:ascii="Tahoma" w:hAnsi="Tahoma" w:cs="Tahoma"/>
                <w:sz w:val="18"/>
                <w:szCs w:val="18"/>
                <w:lang w:val="en-US"/>
              </w:rPr>
              <w:t>9</w:t>
            </w:r>
            <w:r>
              <w:rPr>
                <w:rFonts w:ascii="Tahoma" w:hAnsi="Tahoma" w:cs="Tahoma"/>
                <w:sz w:val="18"/>
                <w:szCs w:val="18"/>
              </w:rPr>
              <w:t xml:space="preserve">% (USD </w:t>
            </w:r>
            <w:r>
              <w:rPr>
                <w:rFonts w:ascii="Tahoma" w:hAnsi="Tahoma" w:cs="Tahoma"/>
                <w:sz w:val="18"/>
                <w:szCs w:val="18"/>
                <w:lang w:val="en-US"/>
              </w:rPr>
              <w:t>2467.7</w:t>
            </w:r>
            <w:r>
              <w:rPr>
                <w:rFonts w:ascii="Tahoma" w:hAnsi="Tahoma" w:cs="Tahoma"/>
                <w:sz w:val="18"/>
                <w:szCs w:val="18"/>
              </w:rPr>
              <w:t xml:space="preserve"> million). Unclassified goods according to destination amounted to 0.0% (USD 0.</w:t>
            </w:r>
            <w:r>
              <w:rPr>
                <w:rFonts w:ascii="Tahoma" w:hAnsi="Tahoma" w:cs="Tahoma"/>
                <w:sz w:val="18"/>
                <w:szCs w:val="18"/>
                <w:lang w:val="en-US"/>
              </w:rPr>
              <w:t>9</w:t>
            </w:r>
            <w:r>
              <w:rPr>
                <w:rFonts w:ascii="Tahoma" w:hAnsi="Tahoma" w:cs="Tahoma"/>
                <w:sz w:val="18"/>
                <w:szCs w:val="18"/>
              </w:rPr>
              <w:t xml:space="preserve"> million).</w:t>
            </w:r>
          </w:p>
          <w:p w:rsidR="000C3DAA" w:rsidRDefault="001E7893">
            <w:pPr>
              <w:pStyle w:val="BodyTextIndent"/>
              <w:widowControl w:val="0"/>
              <w:ind w:left="0"/>
              <w:jc w:val="both"/>
              <w:rPr>
                <w:rFonts w:ascii="Tahoma" w:hAnsi="Tahoma" w:cs="Tahoma"/>
                <w:sz w:val="18"/>
                <w:szCs w:val="18"/>
              </w:rPr>
            </w:pPr>
            <w:r>
              <w:rPr>
                <w:rFonts w:ascii="Tahoma" w:hAnsi="Tahoma" w:cs="Tahoma"/>
                <w:bCs/>
                <w:sz w:val="18"/>
                <w:szCs w:val="18"/>
              </w:rPr>
              <w:t xml:space="preserve">Regarding </w:t>
            </w:r>
            <w:r>
              <w:rPr>
                <w:rFonts w:ascii="Tahoma" w:hAnsi="Tahoma" w:cs="Tahoma"/>
                <w:b/>
                <w:bCs/>
                <w:sz w:val="18"/>
                <w:szCs w:val="18"/>
              </w:rPr>
              <w:t xml:space="preserve">the </w:t>
            </w:r>
            <w:r>
              <w:rPr>
                <w:rFonts w:ascii="Tahoma" w:hAnsi="Tahoma" w:cs="Tahoma"/>
                <w:b/>
                <w:bCs/>
                <w:sz w:val="18"/>
                <w:szCs w:val="18"/>
              </w:rPr>
              <w:t>structure of imports according to products’ destination</w:t>
            </w:r>
            <w:r>
              <w:rPr>
                <w:rFonts w:ascii="Tahoma" w:hAnsi="Tahoma" w:cs="Tahoma"/>
                <w:sz w:val="18"/>
                <w:szCs w:val="18"/>
              </w:rPr>
              <w:t xml:space="preserve">, </w:t>
            </w:r>
            <w:r>
              <w:rPr>
                <w:rFonts w:ascii="Tahoma" w:hAnsi="Tahoma" w:cs="Tahoma"/>
                <w:bCs/>
                <w:sz w:val="18"/>
                <w:szCs w:val="18"/>
              </w:rPr>
              <w:t>the most notable were</w:t>
            </w:r>
            <w:r>
              <w:rPr>
                <w:rFonts w:ascii="Tahoma" w:hAnsi="Tahoma" w:cs="Tahoma"/>
                <w:b/>
                <w:sz w:val="18"/>
                <w:szCs w:val="18"/>
              </w:rPr>
              <w:t xml:space="preserve">: </w:t>
            </w:r>
            <w:r>
              <w:rPr>
                <w:rFonts w:ascii="Tahoma" w:hAnsi="Tahoma" w:cs="Tahoma"/>
                <w:sz w:val="18"/>
                <w:szCs w:val="18"/>
              </w:rPr>
              <w:t>reproduction products 5</w:t>
            </w:r>
            <w:r>
              <w:rPr>
                <w:rFonts w:ascii="Tahoma" w:hAnsi="Tahoma" w:cs="Tahoma"/>
                <w:sz w:val="18"/>
                <w:szCs w:val="18"/>
                <w:lang w:val="en-US"/>
              </w:rPr>
              <w:t>6.5</w:t>
            </w:r>
            <w:r>
              <w:rPr>
                <w:rFonts w:ascii="Tahoma" w:hAnsi="Tahoma" w:cs="Tahoma"/>
                <w:sz w:val="18"/>
                <w:szCs w:val="18"/>
              </w:rPr>
              <w:t xml:space="preserve">% (USD </w:t>
            </w:r>
            <w:r>
              <w:rPr>
                <w:rFonts w:ascii="Tahoma" w:hAnsi="Tahoma" w:cs="Tahoma"/>
                <w:sz w:val="18"/>
                <w:szCs w:val="18"/>
                <w:lang w:val="en-US"/>
              </w:rPr>
              <w:t>14838.6</w:t>
            </w:r>
            <w:r>
              <w:rPr>
                <w:rFonts w:ascii="Tahoma" w:hAnsi="Tahoma" w:cs="Tahoma"/>
                <w:sz w:val="18"/>
                <w:szCs w:val="18"/>
              </w:rPr>
              <w:t xml:space="preserve"> million), then consumer goods 1</w:t>
            </w:r>
            <w:r>
              <w:rPr>
                <w:rFonts w:ascii="Tahoma" w:hAnsi="Tahoma" w:cs="Tahoma"/>
                <w:sz w:val="18"/>
                <w:szCs w:val="18"/>
                <w:lang w:val="en-US"/>
              </w:rPr>
              <w:t>9.3</w:t>
            </w:r>
            <w:r>
              <w:rPr>
                <w:rFonts w:ascii="Tahoma" w:hAnsi="Tahoma" w:cs="Tahoma"/>
                <w:sz w:val="18"/>
                <w:szCs w:val="18"/>
              </w:rPr>
              <w:t xml:space="preserve">% (USD </w:t>
            </w:r>
            <w:r>
              <w:rPr>
                <w:rFonts w:ascii="Tahoma" w:hAnsi="Tahoma" w:cs="Tahoma"/>
                <w:sz w:val="18"/>
                <w:szCs w:val="18"/>
                <w:lang w:val="en-US"/>
              </w:rPr>
              <w:t>5069.5</w:t>
            </w:r>
            <w:r>
              <w:rPr>
                <w:rFonts w:ascii="Tahoma" w:hAnsi="Tahoma" w:cs="Tahoma"/>
                <w:sz w:val="18"/>
                <w:szCs w:val="18"/>
              </w:rPr>
              <w:t xml:space="preserve"> million) and equipment 11.</w:t>
            </w:r>
            <w:r>
              <w:rPr>
                <w:rFonts w:ascii="Tahoma" w:hAnsi="Tahoma" w:cs="Tahoma"/>
                <w:sz w:val="18"/>
                <w:szCs w:val="18"/>
                <w:lang w:val="en-US"/>
              </w:rPr>
              <w:t>5</w:t>
            </w:r>
            <w:r>
              <w:rPr>
                <w:rFonts w:ascii="Tahoma" w:hAnsi="Tahoma" w:cs="Tahoma"/>
                <w:sz w:val="18"/>
                <w:szCs w:val="18"/>
              </w:rPr>
              <w:t xml:space="preserve">% (USD </w:t>
            </w:r>
            <w:r>
              <w:rPr>
                <w:rFonts w:ascii="Tahoma" w:hAnsi="Tahoma" w:cs="Tahoma"/>
                <w:sz w:val="18"/>
                <w:szCs w:val="18"/>
                <w:lang w:val="en-US"/>
              </w:rPr>
              <w:t>3015.6</w:t>
            </w:r>
            <w:r>
              <w:rPr>
                <w:rFonts w:ascii="Tahoma" w:hAnsi="Tahoma" w:cs="Tahoma"/>
                <w:sz w:val="18"/>
                <w:szCs w:val="18"/>
              </w:rPr>
              <w:t xml:space="preserve"> million). Unclassified goods according to dest</w:t>
            </w:r>
            <w:r>
              <w:rPr>
                <w:rFonts w:ascii="Tahoma" w:hAnsi="Tahoma" w:cs="Tahoma"/>
                <w:sz w:val="18"/>
                <w:szCs w:val="18"/>
              </w:rPr>
              <w:t>ination amounted to 12.</w:t>
            </w:r>
            <w:r>
              <w:rPr>
                <w:rFonts w:ascii="Tahoma" w:hAnsi="Tahoma" w:cs="Tahoma"/>
                <w:sz w:val="18"/>
                <w:szCs w:val="18"/>
                <w:lang w:val="en-US"/>
              </w:rPr>
              <w:t>7</w:t>
            </w:r>
            <w:r>
              <w:rPr>
                <w:rFonts w:ascii="Tahoma" w:hAnsi="Tahoma" w:cs="Tahoma"/>
                <w:sz w:val="18"/>
                <w:szCs w:val="18"/>
              </w:rPr>
              <w:t xml:space="preserve">% (USD </w:t>
            </w:r>
            <w:r>
              <w:rPr>
                <w:rFonts w:ascii="Tahoma" w:hAnsi="Tahoma" w:cs="Tahoma"/>
                <w:sz w:val="18"/>
                <w:szCs w:val="18"/>
                <w:lang w:val="en-US"/>
              </w:rPr>
              <w:t>3346.5</w:t>
            </w:r>
            <w:r>
              <w:rPr>
                <w:rFonts w:ascii="Tahoma" w:hAnsi="Tahoma" w:cs="Tahoma"/>
                <w:sz w:val="18"/>
                <w:szCs w:val="18"/>
              </w:rPr>
              <w:t xml:space="preserve"> million).</w:t>
            </w:r>
          </w:p>
          <w:p w:rsidR="000C3DAA" w:rsidRDefault="001E7893">
            <w:pPr>
              <w:widowControl w:val="0"/>
              <w:jc w:val="both"/>
              <w:rPr>
                <w:rFonts w:ascii="Tahoma" w:hAnsi="Tahoma" w:cs="Tahoma"/>
                <w:iCs/>
                <w:sz w:val="18"/>
                <w:szCs w:val="18"/>
              </w:rPr>
            </w:pPr>
            <w:r>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Pr>
                <w:rFonts w:ascii="Tahoma" w:hAnsi="Tahoma" w:cs="Tahoma"/>
                <w:iCs/>
                <w:sz w:val="18"/>
                <w:szCs w:val="18"/>
                <w:lang w:val="en-US"/>
              </w:rPr>
              <w:t>59.6</w:t>
            </w:r>
            <w:r>
              <w:rPr>
                <w:rFonts w:ascii="Tahoma" w:hAnsi="Tahoma" w:cs="Tahoma"/>
                <w:iCs/>
                <w:sz w:val="18"/>
                <w:szCs w:val="18"/>
              </w:rPr>
              <w:t>% of total external tra</w:t>
            </w:r>
            <w:r>
              <w:rPr>
                <w:rFonts w:ascii="Tahoma" w:hAnsi="Tahoma" w:cs="Tahoma"/>
                <w:iCs/>
                <w:sz w:val="18"/>
                <w:szCs w:val="18"/>
              </w:rPr>
              <w:t>de.</w:t>
            </w:r>
          </w:p>
          <w:p w:rsidR="000C3DAA" w:rsidRDefault="000C3DAA">
            <w:pPr>
              <w:widowControl w:val="0"/>
              <w:jc w:val="both"/>
              <w:rPr>
                <w:rFonts w:ascii="Arial" w:hAnsi="Arial" w:cs="Arial"/>
                <w:b/>
                <w:bCs/>
                <w:sz w:val="18"/>
                <w:szCs w:val="18"/>
              </w:rPr>
            </w:pPr>
          </w:p>
          <w:p w:rsidR="000C3DAA" w:rsidRDefault="000C3DAA">
            <w:pPr>
              <w:widowControl w:val="0"/>
              <w:jc w:val="both"/>
              <w:rPr>
                <w:rFonts w:ascii="Arial" w:hAnsi="Arial" w:cs="Arial"/>
                <w:b/>
                <w:bCs/>
                <w:sz w:val="18"/>
                <w:szCs w:val="18"/>
              </w:rPr>
            </w:pPr>
          </w:p>
          <w:p w:rsidR="000C3DAA" w:rsidRDefault="000C3DAA">
            <w:pPr>
              <w:widowControl w:val="0"/>
              <w:jc w:val="both"/>
              <w:rPr>
                <w:rFonts w:ascii="Arial" w:hAnsi="Arial" w:cs="Arial"/>
                <w:iCs/>
                <w:sz w:val="18"/>
                <w:szCs w:val="18"/>
              </w:rPr>
            </w:pPr>
          </w:p>
          <w:p w:rsidR="000C3DAA" w:rsidRDefault="000C3DAA">
            <w:pPr>
              <w:widowControl w:val="0"/>
              <w:jc w:val="both"/>
              <w:rPr>
                <w:rFonts w:ascii="Arial" w:hAnsi="Arial" w:cs="Arial"/>
                <w:b/>
                <w:bCs/>
                <w:sz w:val="18"/>
                <w:szCs w:val="18"/>
              </w:rPr>
            </w:pPr>
          </w:p>
          <w:p w:rsidR="000C3DAA" w:rsidRDefault="000C3DAA">
            <w:pPr>
              <w:widowControl w:val="0"/>
              <w:jc w:val="both"/>
              <w:rPr>
                <w:rFonts w:ascii="Arial" w:hAnsi="Arial" w:cs="Arial"/>
                <w:b/>
                <w:bCs/>
                <w:sz w:val="18"/>
                <w:szCs w:val="18"/>
              </w:rPr>
            </w:pPr>
          </w:p>
          <w:p w:rsidR="000C3DAA" w:rsidRDefault="000C3DAA">
            <w:pPr>
              <w:widowControl w:val="0"/>
              <w:jc w:val="both"/>
              <w:rPr>
                <w:rFonts w:ascii="Arial" w:hAnsi="Arial" w:cs="Arial"/>
                <w:b/>
                <w:bCs/>
                <w:sz w:val="18"/>
                <w:szCs w:val="18"/>
              </w:rPr>
            </w:pPr>
          </w:p>
          <w:p w:rsidR="000C3DAA" w:rsidRDefault="001E7893">
            <w:pPr>
              <w:widowControl w:val="0"/>
              <w:jc w:val="both"/>
              <w:rPr>
                <w:rFonts w:ascii="Arial" w:hAnsi="Arial" w:cs="Arial"/>
                <w:bCs/>
                <w:sz w:val="18"/>
                <w:szCs w:val="18"/>
              </w:rPr>
            </w:pPr>
            <w:r>
              <w:rPr>
                <w:rFonts w:ascii="Arial" w:hAnsi="Arial" w:cs="Arial"/>
                <w:b/>
                <w:bCs/>
                <w:sz w:val="18"/>
                <w:szCs w:val="18"/>
              </w:rPr>
              <w:t xml:space="preserve">The major foreign trade partners were, </w:t>
            </w:r>
            <w:r>
              <w:rPr>
                <w:rFonts w:ascii="Arial" w:hAnsi="Arial" w:cs="Arial"/>
                <w:sz w:val="18"/>
                <w:szCs w:val="18"/>
              </w:rPr>
              <w:t>separately,</w:t>
            </w:r>
            <w:r>
              <w:rPr>
                <w:rFonts w:ascii="Arial" w:hAnsi="Arial" w:cs="Arial"/>
                <w:bCs/>
                <w:sz w:val="18"/>
                <w:szCs w:val="18"/>
              </w:rPr>
              <w:t xml:space="preserve"> as follows:</w:t>
            </w:r>
          </w:p>
          <w:p w:rsidR="000C3DAA" w:rsidRDefault="000C3DAA">
            <w:pPr>
              <w:widowControl w:val="0"/>
              <w:jc w:val="both"/>
              <w:rPr>
                <w:rFonts w:ascii="Arial" w:hAnsi="Arial" w:cs="Arial"/>
                <w:sz w:val="18"/>
                <w:szCs w:val="18"/>
                <w:highlight w:val="yellow"/>
              </w:rPr>
            </w:pPr>
          </w:p>
          <w:tbl>
            <w:tblPr>
              <w:tblW w:w="9242" w:type="dxa"/>
              <w:tblLayout w:type="fixed"/>
              <w:tblLook w:val="04A0" w:firstRow="1" w:lastRow="0" w:firstColumn="1" w:lastColumn="0" w:noHBand="0" w:noVBand="1"/>
            </w:tblPr>
            <w:tblGrid>
              <w:gridCol w:w="2495"/>
              <w:gridCol w:w="1159"/>
              <w:gridCol w:w="1157"/>
              <w:gridCol w:w="2117"/>
              <w:gridCol w:w="1157"/>
              <w:gridCol w:w="1157"/>
            </w:tblGrid>
            <w:tr w:rsidR="000C3DAA">
              <w:trPr>
                <w:trHeight w:val="322"/>
              </w:trPr>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AA" w:rsidRDefault="001E7893">
                  <w:pPr>
                    <w:widowControl w:val="0"/>
                    <w:jc w:val="center"/>
                    <w:rPr>
                      <w:rFonts w:ascii="Tahoma" w:hAnsi="Tahoma" w:cs="Tahoma"/>
                      <w:b/>
                      <w:bCs/>
                      <w:sz w:val="22"/>
                      <w:szCs w:val="22"/>
                      <w:lang w:eastAsia="en-GB"/>
                    </w:rPr>
                  </w:pPr>
                  <w:r>
                    <w:rPr>
                      <w:rFonts w:ascii="Tahoma" w:hAnsi="Tahoma" w:cs="Tahoma"/>
                      <w:b/>
                      <w:bCs/>
                      <w:sz w:val="22"/>
                      <w:szCs w:val="22"/>
                    </w:rPr>
                    <w:t>Exports</w:t>
                  </w:r>
                </w:p>
              </w:tc>
              <w:tc>
                <w:tcPr>
                  <w:tcW w:w="1159" w:type="dxa"/>
                  <w:tcBorders>
                    <w:top w:val="single" w:sz="4" w:space="0" w:color="000000"/>
                    <w:bottom w:val="single" w:sz="4" w:space="0" w:color="000000"/>
                    <w:right w:val="single" w:sz="4" w:space="0" w:color="000000"/>
                  </w:tcBorders>
                  <w:shd w:val="clear" w:color="auto" w:fill="auto"/>
                  <w:vAlign w:val="bottom"/>
                </w:tcPr>
                <w:p w:rsidR="000C3DAA" w:rsidRDefault="001E7893">
                  <w:pPr>
                    <w:widowControl w:val="0"/>
                    <w:rPr>
                      <w:rFonts w:ascii="Tahoma" w:hAnsi="Tahoma" w:cs="Tahoma"/>
                      <w:sz w:val="16"/>
                      <w:szCs w:val="16"/>
                    </w:rPr>
                  </w:pPr>
                  <w:r>
                    <w:rPr>
                      <w:rFonts w:ascii="Tahoma" w:hAnsi="Tahoma" w:cs="Tahoma"/>
                      <w:sz w:val="16"/>
                      <w:szCs w:val="16"/>
                    </w:rPr>
                    <w:t>USD million</w:t>
                  </w:r>
                </w:p>
              </w:tc>
              <w:tc>
                <w:tcPr>
                  <w:tcW w:w="1157" w:type="dxa"/>
                  <w:tcBorders>
                    <w:top w:val="single" w:sz="4" w:space="0" w:color="000000"/>
                    <w:bottom w:val="single" w:sz="4" w:space="0" w:color="000000"/>
                    <w:right w:val="single" w:sz="4" w:space="0" w:color="000000"/>
                  </w:tcBorders>
                  <w:shd w:val="clear" w:color="auto" w:fill="auto"/>
                  <w:vAlign w:val="bottom"/>
                </w:tcPr>
                <w:p w:rsidR="000C3DAA" w:rsidRDefault="001E7893">
                  <w:pPr>
                    <w:widowControl w:val="0"/>
                    <w:rPr>
                      <w:rFonts w:ascii="Tahoma" w:hAnsi="Tahoma" w:cs="Tahoma"/>
                      <w:sz w:val="16"/>
                      <w:szCs w:val="16"/>
                    </w:rPr>
                  </w:pPr>
                  <w:r>
                    <w:rPr>
                      <w:rFonts w:ascii="Tahoma" w:hAnsi="Tahoma" w:cs="Tahoma"/>
                      <w:sz w:val="16"/>
                      <w:szCs w:val="16"/>
                    </w:rPr>
                    <w:t>EUR million</w:t>
                  </w:r>
                </w:p>
              </w:tc>
              <w:tc>
                <w:tcPr>
                  <w:tcW w:w="2117" w:type="dxa"/>
                  <w:tcBorders>
                    <w:top w:val="single" w:sz="4" w:space="0" w:color="000000"/>
                    <w:bottom w:val="single" w:sz="4" w:space="0" w:color="000000"/>
                    <w:right w:val="single" w:sz="4" w:space="0" w:color="000000"/>
                  </w:tcBorders>
                  <w:shd w:val="clear" w:color="auto" w:fill="auto"/>
                  <w:vAlign w:val="bottom"/>
                </w:tcPr>
                <w:p w:rsidR="000C3DAA" w:rsidRDefault="001E7893">
                  <w:pPr>
                    <w:widowControl w:val="0"/>
                    <w:jc w:val="center"/>
                    <w:rPr>
                      <w:rFonts w:ascii="Tahoma" w:hAnsi="Tahoma" w:cs="Tahoma"/>
                      <w:b/>
                      <w:bCs/>
                      <w:sz w:val="22"/>
                      <w:szCs w:val="22"/>
                    </w:rPr>
                  </w:pPr>
                  <w:r>
                    <w:rPr>
                      <w:rFonts w:ascii="Tahoma" w:hAnsi="Tahoma" w:cs="Tahoma"/>
                      <w:b/>
                      <w:bCs/>
                      <w:sz w:val="22"/>
                      <w:szCs w:val="22"/>
                    </w:rPr>
                    <w:t>Imports</w:t>
                  </w:r>
                </w:p>
              </w:tc>
              <w:tc>
                <w:tcPr>
                  <w:tcW w:w="1157" w:type="dxa"/>
                  <w:tcBorders>
                    <w:top w:val="single" w:sz="4" w:space="0" w:color="000000"/>
                    <w:bottom w:val="single" w:sz="4" w:space="0" w:color="000000"/>
                    <w:right w:val="single" w:sz="4" w:space="0" w:color="000000"/>
                  </w:tcBorders>
                  <w:shd w:val="clear" w:color="auto" w:fill="auto"/>
                  <w:vAlign w:val="bottom"/>
                </w:tcPr>
                <w:p w:rsidR="000C3DAA" w:rsidRDefault="001E7893">
                  <w:pPr>
                    <w:widowControl w:val="0"/>
                    <w:rPr>
                      <w:rFonts w:ascii="Tahoma" w:hAnsi="Tahoma" w:cs="Tahoma"/>
                      <w:sz w:val="16"/>
                      <w:szCs w:val="16"/>
                    </w:rPr>
                  </w:pPr>
                  <w:r>
                    <w:rPr>
                      <w:rFonts w:ascii="Tahoma" w:hAnsi="Tahoma" w:cs="Tahoma"/>
                      <w:sz w:val="16"/>
                      <w:szCs w:val="16"/>
                    </w:rPr>
                    <w:t>USD million</w:t>
                  </w:r>
                </w:p>
              </w:tc>
              <w:tc>
                <w:tcPr>
                  <w:tcW w:w="1157" w:type="dxa"/>
                  <w:tcBorders>
                    <w:top w:val="single" w:sz="4" w:space="0" w:color="000000"/>
                    <w:bottom w:val="single" w:sz="4" w:space="0" w:color="000000"/>
                    <w:right w:val="single" w:sz="4" w:space="0" w:color="000000"/>
                  </w:tcBorders>
                  <w:shd w:val="clear" w:color="auto" w:fill="auto"/>
                  <w:vAlign w:val="bottom"/>
                </w:tcPr>
                <w:p w:rsidR="000C3DAA" w:rsidRDefault="001E7893">
                  <w:pPr>
                    <w:widowControl w:val="0"/>
                    <w:rPr>
                      <w:rFonts w:ascii="Tahoma" w:hAnsi="Tahoma" w:cs="Tahoma"/>
                      <w:sz w:val="16"/>
                      <w:szCs w:val="16"/>
                    </w:rPr>
                  </w:pPr>
                  <w:r>
                    <w:rPr>
                      <w:rFonts w:ascii="Tahoma" w:hAnsi="Tahoma" w:cs="Tahoma"/>
                      <w:sz w:val="16"/>
                      <w:szCs w:val="16"/>
                    </w:rPr>
                    <w:t>EUR million</w:t>
                  </w:r>
                </w:p>
              </w:tc>
            </w:tr>
            <w:tr w:rsidR="000C3DAA">
              <w:trPr>
                <w:trHeight w:hRule="exact" w:val="261"/>
              </w:trPr>
              <w:tc>
                <w:tcPr>
                  <w:tcW w:w="2494" w:type="dxa"/>
                  <w:shd w:val="clear" w:color="auto" w:fill="auto"/>
                  <w:vAlign w:val="bottom"/>
                </w:tcPr>
                <w:p w:rsidR="000C3DAA" w:rsidRDefault="000C3DAA">
                  <w:pPr>
                    <w:widowControl w:val="0"/>
                    <w:rPr>
                      <w:rFonts w:ascii="Arial" w:hAnsi="Arial" w:cs="Arial"/>
                      <w:sz w:val="16"/>
                      <w:szCs w:val="16"/>
                    </w:rPr>
                  </w:pPr>
                </w:p>
              </w:tc>
              <w:tc>
                <w:tcPr>
                  <w:tcW w:w="1159" w:type="dxa"/>
                  <w:shd w:val="clear" w:color="auto" w:fill="auto"/>
                  <w:vAlign w:val="bottom"/>
                </w:tcPr>
                <w:p w:rsidR="000C3DAA" w:rsidRDefault="000C3DAA">
                  <w:pPr>
                    <w:widowControl w:val="0"/>
                    <w:rPr>
                      <w:sz w:val="20"/>
                      <w:szCs w:val="20"/>
                    </w:rPr>
                  </w:pPr>
                </w:p>
              </w:tc>
              <w:tc>
                <w:tcPr>
                  <w:tcW w:w="1157" w:type="dxa"/>
                  <w:shd w:val="clear" w:color="auto" w:fill="auto"/>
                  <w:vAlign w:val="bottom"/>
                </w:tcPr>
                <w:p w:rsidR="000C3DAA" w:rsidRDefault="000C3DAA">
                  <w:pPr>
                    <w:widowControl w:val="0"/>
                    <w:jc w:val="right"/>
                    <w:rPr>
                      <w:sz w:val="20"/>
                      <w:szCs w:val="20"/>
                    </w:rPr>
                  </w:pPr>
                </w:p>
              </w:tc>
              <w:tc>
                <w:tcPr>
                  <w:tcW w:w="2117" w:type="dxa"/>
                  <w:shd w:val="clear" w:color="auto" w:fill="auto"/>
                  <w:vAlign w:val="bottom"/>
                </w:tcPr>
                <w:p w:rsidR="000C3DAA" w:rsidRDefault="000C3DAA">
                  <w:pPr>
                    <w:widowControl w:val="0"/>
                    <w:jc w:val="right"/>
                    <w:rPr>
                      <w:sz w:val="20"/>
                      <w:szCs w:val="20"/>
                    </w:rPr>
                  </w:pPr>
                </w:p>
              </w:tc>
              <w:tc>
                <w:tcPr>
                  <w:tcW w:w="1157" w:type="dxa"/>
                  <w:shd w:val="clear" w:color="auto" w:fill="auto"/>
                  <w:vAlign w:val="bottom"/>
                </w:tcPr>
                <w:p w:rsidR="000C3DAA" w:rsidRDefault="000C3DAA">
                  <w:pPr>
                    <w:widowControl w:val="0"/>
                    <w:rPr>
                      <w:sz w:val="20"/>
                      <w:szCs w:val="20"/>
                    </w:rPr>
                  </w:pPr>
                </w:p>
              </w:tc>
              <w:tc>
                <w:tcPr>
                  <w:tcW w:w="1157" w:type="dxa"/>
                  <w:shd w:val="clear" w:color="auto" w:fill="auto"/>
                  <w:vAlign w:val="bottom"/>
                </w:tcPr>
                <w:p w:rsidR="000C3DAA" w:rsidRDefault="000C3DAA">
                  <w:pPr>
                    <w:widowControl w:val="0"/>
                    <w:jc w:val="right"/>
                    <w:rPr>
                      <w:sz w:val="20"/>
                      <w:szCs w:val="20"/>
                    </w:rPr>
                  </w:pPr>
                </w:p>
              </w:tc>
            </w:tr>
            <w:tr w:rsidR="000C3DAA">
              <w:trPr>
                <w:trHeight w:val="142"/>
              </w:trPr>
              <w:tc>
                <w:tcPr>
                  <w:tcW w:w="2494" w:type="dxa"/>
                  <w:tcBorders>
                    <w:left w:val="single" w:sz="4" w:space="0" w:color="000000"/>
                    <w:right w:val="single" w:sz="4" w:space="0" w:color="000000"/>
                  </w:tcBorders>
                  <w:shd w:val="clear" w:color="auto" w:fill="auto"/>
                  <w:vAlign w:val="bottom"/>
                </w:tcPr>
                <w:p w:rsidR="000C3DAA" w:rsidRDefault="001E7893">
                  <w:pPr>
                    <w:widowControl w:val="0"/>
                    <w:rPr>
                      <w:rFonts w:ascii="Arial" w:hAnsi="Arial" w:cs="Arial"/>
                      <w:sz w:val="18"/>
                      <w:szCs w:val="18"/>
                      <w:lang w:eastAsia="en-GB"/>
                    </w:rPr>
                  </w:pPr>
                  <w:r>
                    <w:rPr>
                      <w:rFonts w:ascii="Arial" w:hAnsi="Arial" w:cs="Arial"/>
                      <w:sz w:val="18"/>
                      <w:szCs w:val="18"/>
                    </w:rPr>
                    <w:t>Germany</w:t>
                  </w:r>
                </w:p>
              </w:tc>
              <w:tc>
                <w:tcPr>
                  <w:tcW w:w="1159"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eastAsia="en-GB"/>
                    </w:rPr>
                  </w:pPr>
                  <w:r>
                    <w:rPr>
                      <w:rFonts w:ascii="Arial" w:hAnsi="Arial" w:cs="Arial"/>
                      <w:color w:val="000000"/>
                      <w:sz w:val="18"/>
                      <w:szCs w:val="18"/>
                      <w:lang w:val="en-US"/>
                    </w:rPr>
                    <w:t>3098.6</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eastAsia="en-GB"/>
                    </w:rPr>
                  </w:pPr>
                  <w:r>
                    <w:rPr>
                      <w:rFonts w:ascii="Arial" w:hAnsi="Arial" w:cs="Arial"/>
                      <w:sz w:val="18"/>
                      <w:szCs w:val="18"/>
                      <w:lang w:val="en-US"/>
                    </w:rPr>
                    <w:t>2856.7</w:t>
                  </w:r>
                </w:p>
              </w:tc>
              <w:tc>
                <w:tcPr>
                  <w:tcW w:w="2117" w:type="dxa"/>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Germany</w:t>
                  </w:r>
                </w:p>
              </w:tc>
              <w:tc>
                <w:tcPr>
                  <w:tcW w:w="1157" w:type="dxa"/>
                  <w:tcBorders>
                    <w:left w:val="single" w:sz="4" w:space="0" w:color="000000"/>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eastAsia="en-GB"/>
                    </w:rPr>
                  </w:pPr>
                  <w:r>
                    <w:rPr>
                      <w:rFonts w:ascii="Arial" w:hAnsi="Arial" w:cs="Arial"/>
                      <w:color w:val="000000"/>
                      <w:sz w:val="18"/>
                      <w:szCs w:val="18"/>
                      <w:lang w:val="en-US" w:eastAsia="en-GB"/>
                    </w:rPr>
                    <w:t>3458.4</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eastAsia="en-GB"/>
                    </w:rPr>
                  </w:pPr>
                  <w:r>
                    <w:rPr>
                      <w:rFonts w:ascii="Arial" w:hAnsi="Arial" w:cs="Arial"/>
                      <w:sz w:val="18"/>
                      <w:szCs w:val="18"/>
                      <w:lang w:val="en-US"/>
                    </w:rPr>
                    <w:t>3185.7</w:t>
                  </w:r>
                </w:p>
              </w:tc>
            </w:tr>
            <w:tr w:rsidR="000C3DAA">
              <w:trPr>
                <w:trHeight w:val="261"/>
              </w:trPr>
              <w:tc>
                <w:tcPr>
                  <w:tcW w:w="2494" w:type="dxa"/>
                  <w:tcBorders>
                    <w:left w:val="single" w:sz="4" w:space="0" w:color="000000"/>
                    <w:right w:val="single" w:sz="4" w:space="0" w:color="000000"/>
                  </w:tcBorders>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Bosnia and Herzegovina</w:t>
                  </w:r>
                </w:p>
              </w:tc>
              <w:tc>
                <w:tcPr>
                  <w:tcW w:w="1159"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1438.4</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1325.5</w:t>
                  </w:r>
                </w:p>
              </w:tc>
              <w:tc>
                <w:tcPr>
                  <w:tcW w:w="2117" w:type="dxa"/>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China</w:t>
                  </w:r>
                </w:p>
              </w:tc>
              <w:tc>
                <w:tcPr>
                  <w:tcW w:w="1157" w:type="dxa"/>
                  <w:tcBorders>
                    <w:left w:val="single" w:sz="4" w:space="0" w:color="000000"/>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3224.0</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2971.0</w:t>
                  </w:r>
                </w:p>
              </w:tc>
            </w:tr>
            <w:tr w:rsidR="000C3DAA">
              <w:trPr>
                <w:trHeight w:val="261"/>
              </w:trPr>
              <w:tc>
                <w:tcPr>
                  <w:tcW w:w="2494" w:type="dxa"/>
                  <w:tcBorders>
                    <w:left w:val="single" w:sz="4" w:space="0" w:color="000000"/>
                    <w:right w:val="single" w:sz="4" w:space="0" w:color="000000"/>
                  </w:tcBorders>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Italy</w:t>
                  </w:r>
                </w:p>
              </w:tc>
              <w:tc>
                <w:tcPr>
                  <w:tcW w:w="1159"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1284.5</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1184.8</w:t>
                  </w:r>
                </w:p>
              </w:tc>
              <w:tc>
                <w:tcPr>
                  <w:tcW w:w="2117" w:type="dxa"/>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Italy</w:t>
                  </w:r>
                </w:p>
              </w:tc>
              <w:tc>
                <w:tcPr>
                  <w:tcW w:w="1157" w:type="dxa"/>
                  <w:tcBorders>
                    <w:left w:val="single" w:sz="4" w:space="0" w:color="000000"/>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1884.9</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1736.6</w:t>
                  </w:r>
                </w:p>
              </w:tc>
            </w:tr>
            <w:tr w:rsidR="000C3DAA">
              <w:trPr>
                <w:trHeight w:val="261"/>
              </w:trPr>
              <w:tc>
                <w:tcPr>
                  <w:tcW w:w="2494" w:type="dxa"/>
                  <w:tcBorders>
                    <w:left w:val="single" w:sz="4" w:space="0" w:color="000000"/>
                    <w:right w:val="single" w:sz="4" w:space="0" w:color="000000"/>
                  </w:tcBorders>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Hungary</w:t>
                  </w:r>
                </w:p>
              </w:tc>
              <w:tc>
                <w:tcPr>
                  <w:tcW w:w="1159"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1140.5</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1052.6</w:t>
                  </w:r>
                </w:p>
              </w:tc>
              <w:tc>
                <w:tcPr>
                  <w:tcW w:w="2117" w:type="dxa"/>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Russian Federation</w:t>
                  </w:r>
                </w:p>
              </w:tc>
              <w:tc>
                <w:tcPr>
                  <w:tcW w:w="1157" w:type="dxa"/>
                  <w:tcBorders>
                    <w:left w:val="single" w:sz="4" w:space="0" w:color="000000"/>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1309.3</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1211.7</w:t>
                  </w:r>
                </w:p>
              </w:tc>
            </w:tr>
            <w:tr w:rsidR="000C3DAA">
              <w:trPr>
                <w:trHeight w:val="261"/>
              </w:trPr>
              <w:tc>
                <w:tcPr>
                  <w:tcW w:w="2494" w:type="dxa"/>
                  <w:tcBorders>
                    <w:left w:val="single" w:sz="4" w:space="0" w:color="000000"/>
                    <w:right w:val="single" w:sz="4" w:space="0" w:color="000000"/>
                  </w:tcBorders>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Romania</w:t>
                  </w:r>
                </w:p>
              </w:tc>
              <w:tc>
                <w:tcPr>
                  <w:tcW w:w="1159"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1057.1</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975.7</w:t>
                  </w:r>
                </w:p>
              </w:tc>
              <w:tc>
                <w:tcPr>
                  <w:tcW w:w="2117" w:type="dxa"/>
                  <w:shd w:val="clear" w:color="auto" w:fill="auto"/>
                  <w:vAlign w:val="bottom"/>
                </w:tcPr>
                <w:p w:rsidR="000C3DAA" w:rsidRDefault="001E7893">
                  <w:pPr>
                    <w:widowControl w:val="0"/>
                    <w:rPr>
                      <w:rFonts w:ascii="Arial" w:hAnsi="Arial" w:cs="Arial"/>
                      <w:sz w:val="18"/>
                      <w:szCs w:val="18"/>
                    </w:rPr>
                  </w:pPr>
                  <w:r>
                    <w:rPr>
                      <w:rFonts w:ascii="Arial" w:hAnsi="Arial" w:cs="Arial"/>
                      <w:sz w:val="18"/>
                      <w:szCs w:val="18"/>
                    </w:rPr>
                    <w:t>Turkey</w:t>
                  </w:r>
                </w:p>
              </w:tc>
              <w:tc>
                <w:tcPr>
                  <w:tcW w:w="1157" w:type="dxa"/>
                  <w:tcBorders>
                    <w:left w:val="single" w:sz="4" w:space="0" w:color="000000"/>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1218.4</w:t>
                  </w:r>
                </w:p>
              </w:tc>
              <w:tc>
                <w:tcPr>
                  <w:tcW w:w="1157" w:type="dxa"/>
                  <w:tcBorders>
                    <w:right w:val="single" w:sz="4" w:space="0" w:color="000000"/>
                  </w:tcBorders>
                  <w:shd w:val="clear" w:color="auto" w:fill="auto"/>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1123.7</w:t>
                  </w:r>
                </w:p>
              </w:tc>
            </w:tr>
          </w:tbl>
          <w:p w:rsidR="000C3DAA" w:rsidRDefault="000C3DAA">
            <w:pPr>
              <w:widowControl w:val="0"/>
              <w:jc w:val="both"/>
              <w:rPr>
                <w:rFonts w:ascii="Tahoma" w:hAnsi="Tahoma" w:cs="Tahoma"/>
                <w:sz w:val="18"/>
                <w:szCs w:val="18"/>
              </w:rPr>
            </w:pPr>
          </w:p>
          <w:p w:rsidR="000C3DAA" w:rsidRDefault="001E7893">
            <w:pPr>
              <w:widowControl w:val="0"/>
              <w:jc w:val="both"/>
              <w:rPr>
                <w:rFonts w:ascii="Tahoma" w:hAnsi="Tahoma" w:cs="Tahoma"/>
                <w:sz w:val="18"/>
                <w:szCs w:val="18"/>
              </w:rPr>
            </w:pPr>
            <w:r>
              <w:rPr>
                <w:rFonts w:ascii="Tahoma" w:hAnsi="Tahoma" w:cs="Tahoma"/>
                <w:sz w:val="18"/>
                <w:szCs w:val="18"/>
              </w:rPr>
              <w:t xml:space="preserve">Our second major partner refers to the </w:t>
            </w:r>
            <w:r>
              <w:rPr>
                <w:rFonts w:ascii="Tahoma" w:hAnsi="Tahoma" w:cs="Tahoma"/>
                <w:b/>
                <w:i/>
                <w:sz w:val="18"/>
                <w:szCs w:val="18"/>
              </w:rPr>
              <w:t>CEFTA countries</w:t>
            </w:r>
            <w:r>
              <w:rPr>
                <w:rFonts w:ascii="Tahoma" w:hAnsi="Tahoma" w:cs="Tahoma"/>
                <w:sz w:val="18"/>
                <w:szCs w:val="18"/>
              </w:rPr>
              <w:t xml:space="preserve">, since our gained surplus in external trade amounted to USD </w:t>
            </w:r>
            <w:r>
              <w:rPr>
                <w:rFonts w:ascii="Tahoma" w:hAnsi="Tahoma" w:cs="Tahoma"/>
                <w:sz w:val="18"/>
                <w:szCs w:val="18"/>
                <w:lang w:val="en-US"/>
              </w:rPr>
              <w:t>1983.3</w:t>
            </w:r>
            <w:r>
              <w:rPr>
                <w:rFonts w:ascii="Tahoma" w:hAnsi="Tahoma" w:cs="Tahoma"/>
                <w:sz w:val="18"/>
                <w:szCs w:val="18"/>
              </w:rPr>
              <w:t xml:space="preserve"> million, resulting mainly from the exports of electricity, cereals and produces thereof, beverages, </w:t>
            </w:r>
            <w:r>
              <w:rPr>
                <w:rFonts w:ascii="Tahoma" w:hAnsi="Tahoma" w:cs="Tahoma"/>
                <w:sz w:val="18"/>
                <w:szCs w:val="18"/>
                <w:lang w:val="en-US"/>
              </w:rPr>
              <w:t>oil and oil derivatives and</w:t>
            </w:r>
            <w:r>
              <w:rPr>
                <w:rFonts w:ascii="Tahoma" w:hAnsi="Tahoma" w:cs="Tahoma"/>
                <w:sz w:val="18"/>
                <w:szCs w:val="18"/>
              </w:rPr>
              <w:t xml:space="preserve"> transport vehicles. Our exports in the referent period amounted to USD </w:t>
            </w:r>
            <w:r>
              <w:rPr>
                <w:rFonts w:ascii="Tahoma" w:hAnsi="Tahoma" w:cs="Tahoma"/>
                <w:sz w:val="18"/>
                <w:szCs w:val="18"/>
                <w:lang w:val="en-US"/>
              </w:rPr>
              <w:t>3198.9</w:t>
            </w:r>
            <w:r>
              <w:rPr>
                <w:rFonts w:ascii="Tahoma" w:hAnsi="Tahoma" w:cs="Tahoma"/>
                <w:sz w:val="18"/>
                <w:szCs w:val="18"/>
              </w:rPr>
              <w:t xml:space="preserve"> million, while the imports were USD </w:t>
            </w:r>
            <w:r>
              <w:rPr>
                <w:rFonts w:ascii="Tahoma" w:hAnsi="Tahoma" w:cs="Tahoma"/>
                <w:sz w:val="18"/>
                <w:szCs w:val="18"/>
                <w:lang w:val="en-US"/>
              </w:rPr>
              <w:t>1215.6</w:t>
            </w:r>
            <w:r>
              <w:rPr>
                <w:rFonts w:ascii="Tahoma" w:hAnsi="Tahoma" w:cs="Tahoma"/>
                <w:sz w:val="18"/>
                <w:szCs w:val="18"/>
              </w:rPr>
              <w:t xml:space="preserve"> millio</w:t>
            </w:r>
            <w:r>
              <w:rPr>
                <w:rFonts w:ascii="Tahoma" w:hAnsi="Tahoma" w:cs="Tahoma"/>
                <w:sz w:val="18"/>
                <w:szCs w:val="18"/>
              </w:rPr>
              <w:t>n. The export– import ratio equalled 2</w:t>
            </w:r>
            <w:r>
              <w:rPr>
                <w:rFonts w:ascii="Tahoma" w:hAnsi="Tahoma" w:cs="Tahoma"/>
                <w:sz w:val="18"/>
                <w:szCs w:val="18"/>
                <w:lang w:val="en-US"/>
              </w:rPr>
              <w:t>63.2</w:t>
            </w:r>
            <w:r>
              <w:rPr>
                <w:rFonts w:ascii="Tahoma" w:hAnsi="Tahoma" w:cs="Tahoma"/>
                <w:sz w:val="18"/>
                <w:szCs w:val="18"/>
              </w:rPr>
              <w:t xml:space="preserve"> %. Expressed in </w:t>
            </w:r>
            <w:r>
              <w:rPr>
                <w:rFonts w:ascii="Tahoma" w:hAnsi="Tahoma" w:cs="Tahoma"/>
                <w:b/>
                <w:sz w:val="18"/>
                <w:szCs w:val="18"/>
              </w:rPr>
              <w:t>EUR</w:t>
            </w:r>
            <w:r>
              <w:rPr>
                <w:rFonts w:ascii="Tahoma" w:hAnsi="Tahoma" w:cs="Tahoma"/>
                <w:sz w:val="18"/>
                <w:szCs w:val="18"/>
              </w:rPr>
              <w:t xml:space="preserve">, exports amounted to </w:t>
            </w:r>
            <w:r>
              <w:rPr>
                <w:rFonts w:ascii="Tahoma" w:hAnsi="Tahoma" w:cs="Tahoma"/>
                <w:b/>
                <w:sz w:val="18"/>
                <w:szCs w:val="18"/>
                <w:lang w:val="en-US"/>
              </w:rPr>
              <w:t>2948.1</w:t>
            </w:r>
            <w:r>
              <w:rPr>
                <w:rFonts w:ascii="Tahoma" w:hAnsi="Tahoma" w:cs="Tahoma"/>
                <w:sz w:val="18"/>
                <w:szCs w:val="18"/>
              </w:rPr>
              <w:t xml:space="preserve"> and imports to </w:t>
            </w:r>
            <w:r>
              <w:rPr>
                <w:rFonts w:ascii="Tahoma" w:hAnsi="Tahoma" w:cs="Tahoma"/>
                <w:b/>
                <w:sz w:val="18"/>
                <w:szCs w:val="18"/>
                <w:lang w:val="en-US"/>
              </w:rPr>
              <w:t>1121.9</w:t>
            </w:r>
            <w:r>
              <w:rPr>
                <w:rFonts w:ascii="Tahoma" w:hAnsi="Tahoma" w:cs="Tahoma"/>
                <w:sz w:val="18"/>
                <w:szCs w:val="18"/>
              </w:rPr>
              <w:t xml:space="preserve"> million (surplus amounted to EUR 1</w:t>
            </w:r>
            <w:r>
              <w:rPr>
                <w:rFonts w:ascii="Tahoma" w:hAnsi="Tahoma" w:cs="Tahoma"/>
                <w:sz w:val="18"/>
                <w:szCs w:val="18"/>
                <w:lang w:val="en-US"/>
              </w:rPr>
              <w:t>826.2</w:t>
            </w:r>
            <w:r>
              <w:rPr>
                <w:rFonts w:ascii="Tahoma" w:hAnsi="Tahoma" w:cs="Tahoma"/>
                <w:sz w:val="18"/>
                <w:szCs w:val="18"/>
              </w:rPr>
              <w:t xml:space="preserve"> million and export – import ratio equalled </w:t>
            </w:r>
            <w:r>
              <w:rPr>
                <w:rFonts w:ascii="Tahoma" w:hAnsi="Tahoma" w:cs="Tahoma"/>
                <w:sz w:val="18"/>
                <w:szCs w:val="18"/>
                <w:lang w:val="en-US"/>
              </w:rPr>
              <w:t>262.8</w:t>
            </w:r>
            <w:r>
              <w:rPr>
                <w:rFonts w:ascii="Tahoma" w:hAnsi="Tahoma" w:cs="Tahoma"/>
                <w:sz w:val="18"/>
                <w:szCs w:val="18"/>
              </w:rPr>
              <w:t>%).</w:t>
            </w:r>
          </w:p>
          <w:p w:rsidR="000C3DAA" w:rsidRDefault="000C3DAA">
            <w:pPr>
              <w:widowControl w:val="0"/>
              <w:jc w:val="both"/>
              <w:rPr>
                <w:rFonts w:ascii="Tahoma" w:hAnsi="Tahoma" w:cs="Tahoma"/>
                <w:sz w:val="18"/>
                <w:szCs w:val="18"/>
                <w:shd w:val="clear" w:color="auto" w:fill="FFFFFF"/>
              </w:rPr>
            </w:pPr>
          </w:p>
          <w:p w:rsidR="000C3DAA" w:rsidRDefault="001E7893">
            <w:pPr>
              <w:widowControl w:val="0"/>
              <w:jc w:val="both"/>
              <w:rPr>
                <w:rFonts w:ascii="Tahoma" w:hAnsi="Tahoma" w:cs="Tahoma"/>
                <w:sz w:val="18"/>
                <w:szCs w:val="18"/>
                <w:shd w:val="clear" w:color="auto" w:fill="FFFFFF"/>
              </w:rPr>
            </w:pPr>
            <w:r>
              <w:rPr>
                <w:rFonts w:ascii="Tahoma" w:hAnsi="Tahoma" w:cs="Tahoma"/>
                <w:sz w:val="18"/>
                <w:szCs w:val="18"/>
                <w:shd w:val="clear" w:color="auto" w:fill="FFFFFF"/>
              </w:rPr>
              <w:t>Observed by countries, the largest surplus in the external trade was gained with the surrounding countries – Montenegro (exports of electricity and retail trade medicaments and imported were electricity and dried meat), Bosnia and Herzegovina (exports most</w:t>
            </w:r>
            <w:r>
              <w:rPr>
                <w:rFonts w:ascii="Tahoma" w:hAnsi="Tahoma" w:cs="Tahoma"/>
                <w:sz w:val="18"/>
                <w:szCs w:val="18"/>
                <w:shd w:val="clear" w:color="auto" w:fill="FFFFFF"/>
              </w:rPr>
              <w:t xml:space="preserve">ly related to electricity and gas oils, and the most imported </w:t>
            </w:r>
            <w:r>
              <w:rPr>
                <w:rFonts w:ascii="Tahoma" w:hAnsi="Tahoma" w:cs="Tahoma"/>
                <w:sz w:val="18"/>
                <w:szCs w:val="18"/>
                <w:shd w:val="clear" w:color="auto" w:fill="FFFFFF"/>
                <w:lang w:val="en-US"/>
              </w:rPr>
              <w:t>we</w:t>
            </w:r>
            <w:r>
              <w:rPr>
                <w:rFonts w:ascii="Tahoma" w:hAnsi="Tahoma" w:cs="Tahoma"/>
                <w:sz w:val="18"/>
                <w:szCs w:val="18"/>
                <w:shd w:val="clear" w:color="auto" w:fill="FFFFFF"/>
              </w:rPr>
              <w:t>re electricity and coke and semi-coke of hard coal), and Republic of North Macedonia (exports of electricity and electric conductors; imported were electricity and supported catalysts). Regard</w:t>
            </w:r>
            <w:r>
              <w:rPr>
                <w:rFonts w:ascii="Tahoma" w:hAnsi="Tahoma" w:cs="Tahoma"/>
                <w:sz w:val="18"/>
                <w:szCs w:val="18"/>
                <w:shd w:val="clear" w:color="auto" w:fill="FFFFFF"/>
              </w:rPr>
              <w:t>ing other countries, surplus was also noted in trade with Romania, Slovakia, Croatia, Sweden,</w:t>
            </w:r>
            <w:r>
              <w:rPr>
                <w:rFonts w:ascii="Tahoma" w:hAnsi="Tahoma" w:cs="Tahoma"/>
                <w:sz w:val="18"/>
                <w:szCs w:val="18"/>
                <w:shd w:val="clear" w:color="auto" w:fill="FFFFFF"/>
                <w:lang w:val="en-US"/>
              </w:rPr>
              <w:t xml:space="preserve"> </w:t>
            </w:r>
            <w:r>
              <w:rPr>
                <w:rFonts w:ascii="Tahoma" w:hAnsi="Tahoma" w:cs="Tahoma"/>
                <w:sz w:val="18"/>
                <w:szCs w:val="18"/>
                <w:shd w:val="clear" w:color="auto" w:fill="FFFFFF"/>
              </w:rPr>
              <w:t xml:space="preserve">Czech Republic, </w:t>
            </w:r>
            <w:r>
              <w:rPr>
                <w:rFonts w:ascii="Tahoma" w:hAnsi="Tahoma" w:cs="Tahoma"/>
                <w:sz w:val="18"/>
                <w:szCs w:val="18"/>
                <w:shd w:val="clear" w:color="auto" w:fill="FFFFFF"/>
                <w:lang w:val="en-US"/>
              </w:rPr>
              <w:t xml:space="preserve">United Kingdom, </w:t>
            </w:r>
            <w:r>
              <w:rPr>
                <w:rFonts w:ascii="Tahoma" w:hAnsi="Tahoma" w:cs="Tahoma"/>
                <w:sz w:val="18"/>
                <w:szCs w:val="18"/>
                <w:shd w:val="clear" w:color="auto" w:fill="FFFFFF"/>
              </w:rPr>
              <w:t>Bulgaria, Hungary and Moldova. The greatest deficit marked the trade with China (due to imports of phones for network stations and</w:t>
            </w:r>
            <w:r>
              <w:rPr>
                <w:rFonts w:ascii="Tahoma" w:hAnsi="Tahoma" w:cs="Tahoma"/>
                <w:sz w:val="18"/>
                <w:szCs w:val="18"/>
                <w:shd w:val="clear" w:color="auto" w:fill="FFFFFF"/>
              </w:rPr>
              <w:t xml:space="preserve"> laptops), followed by trade with Turkey, Italy, </w:t>
            </w:r>
            <w:r>
              <w:rPr>
                <w:rFonts w:ascii="Tahoma" w:hAnsi="Tahoma" w:cs="Tahoma"/>
                <w:sz w:val="18"/>
                <w:szCs w:val="18"/>
                <w:shd w:val="clear" w:color="auto" w:fill="FFFFFF"/>
                <w:lang w:val="en-US"/>
              </w:rPr>
              <w:t xml:space="preserve">Iraq, the Russian Federation, </w:t>
            </w:r>
            <w:r>
              <w:rPr>
                <w:rFonts w:ascii="Tahoma" w:hAnsi="Tahoma" w:cs="Tahoma"/>
                <w:sz w:val="18"/>
                <w:szCs w:val="18"/>
                <w:shd w:val="clear" w:color="auto" w:fill="FFFFFF"/>
              </w:rPr>
              <w:t xml:space="preserve">Germany, Belgium, the Netherlands, </w:t>
            </w:r>
            <w:r>
              <w:rPr>
                <w:rFonts w:ascii="Tahoma" w:hAnsi="Tahoma" w:cs="Tahoma"/>
                <w:sz w:val="18"/>
                <w:szCs w:val="18"/>
                <w:shd w:val="clear" w:color="auto" w:fill="FFFFFF"/>
                <w:lang w:val="en-US"/>
              </w:rPr>
              <w:t>Austria</w:t>
            </w:r>
            <w:r>
              <w:rPr>
                <w:rFonts w:ascii="Tahoma" w:hAnsi="Tahoma" w:cs="Tahoma"/>
                <w:sz w:val="18"/>
                <w:szCs w:val="18"/>
                <w:shd w:val="clear" w:color="auto" w:fill="FFFFFF"/>
              </w:rPr>
              <w:t xml:space="preserve">, Poland, </w:t>
            </w:r>
            <w:r>
              <w:rPr>
                <w:rFonts w:ascii="Tahoma" w:hAnsi="Tahoma" w:cs="Tahoma"/>
                <w:sz w:val="18"/>
                <w:szCs w:val="18"/>
                <w:shd w:val="clear" w:color="auto" w:fill="FFFFFF"/>
                <w:lang w:val="en-US"/>
              </w:rPr>
              <w:t xml:space="preserve">Spain, </w:t>
            </w:r>
            <w:r>
              <w:rPr>
                <w:rFonts w:ascii="Tahoma" w:hAnsi="Tahoma" w:cs="Tahoma"/>
                <w:sz w:val="18"/>
                <w:szCs w:val="18"/>
                <w:shd w:val="clear" w:color="auto" w:fill="FFFFFF"/>
              </w:rPr>
              <w:t>Denmark,</w:t>
            </w:r>
            <w:r>
              <w:rPr>
                <w:rFonts w:ascii="Tahoma" w:hAnsi="Tahoma" w:cs="Tahoma"/>
                <w:sz w:val="18"/>
                <w:szCs w:val="18"/>
                <w:shd w:val="clear" w:color="auto" w:fill="FFFFFF"/>
                <w:lang w:val="en-US"/>
              </w:rPr>
              <w:t>Slovenia, Kazakhstan,</w:t>
            </w:r>
            <w:r>
              <w:rPr>
                <w:rFonts w:ascii="Tahoma" w:hAnsi="Tahoma" w:cs="Tahoma"/>
                <w:sz w:val="18"/>
                <w:szCs w:val="18"/>
                <w:shd w:val="clear" w:color="auto" w:fill="FFFFFF"/>
              </w:rPr>
              <w:t xml:space="preserve"> Greece, </w:t>
            </w:r>
            <w:r>
              <w:rPr>
                <w:rFonts w:ascii="Tahoma" w:hAnsi="Tahoma" w:cs="Tahoma"/>
                <w:sz w:val="18"/>
                <w:szCs w:val="18"/>
                <w:shd w:val="clear" w:color="auto" w:fill="FFFFFF"/>
                <w:lang w:val="en-US"/>
              </w:rPr>
              <w:t>France</w:t>
            </w:r>
            <w:r>
              <w:rPr>
                <w:rFonts w:ascii="Tahoma" w:hAnsi="Tahoma" w:cs="Tahoma"/>
                <w:sz w:val="18"/>
                <w:szCs w:val="18"/>
                <w:shd w:val="clear" w:color="auto" w:fill="FFFFFF"/>
              </w:rPr>
              <w:t>, Switzerland….</w:t>
            </w:r>
          </w:p>
          <w:p w:rsidR="000C3DAA" w:rsidRDefault="000C3DAA">
            <w:pPr>
              <w:pStyle w:val="BodyTextIndent2"/>
              <w:widowControl w:val="0"/>
              <w:spacing w:after="0" w:line="240" w:lineRule="auto"/>
              <w:ind w:left="0"/>
              <w:jc w:val="both"/>
              <w:rPr>
                <w:rFonts w:ascii="Tahoma" w:hAnsi="Tahoma" w:cs="Tahoma"/>
                <w:sz w:val="18"/>
                <w:szCs w:val="18"/>
              </w:rPr>
            </w:pPr>
          </w:p>
          <w:p w:rsidR="000C3DAA" w:rsidRDefault="001E7893">
            <w:pPr>
              <w:pStyle w:val="BodyTextIndent2"/>
              <w:widowControl w:val="0"/>
              <w:spacing w:after="0" w:line="240" w:lineRule="auto"/>
              <w:ind w:left="0"/>
              <w:jc w:val="both"/>
              <w:rPr>
                <w:rFonts w:ascii="Tahoma" w:hAnsi="Tahoma" w:cs="Tahoma"/>
                <w:sz w:val="18"/>
                <w:szCs w:val="18"/>
              </w:rPr>
            </w:pPr>
            <w:r>
              <w:rPr>
                <w:rFonts w:ascii="Tahoma" w:hAnsi="Tahoma" w:cs="Tahoma"/>
                <w:sz w:val="18"/>
                <w:szCs w:val="18"/>
              </w:rPr>
              <w:t xml:space="preserve">According to </w:t>
            </w:r>
            <w:r>
              <w:rPr>
                <w:rFonts w:ascii="Tahoma" w:hAnsi="Tahoma" w:cs="Tahoma"/>
                <w:b/>
                <w:bCs/>
                <w:sz w:val="18"/>
                <w:szCs w:val="18"/>
              </w:rPr>
              <w:t xml:space="preserve">the divisions of the Standard International </w:t>
            </w:r>
            <w:r>
              <w:rPr>
                <w:rFonts w:ascii="Tahoma" w:hAnsi="Tahoma" w:cs="Tahoma"/>
                <w:b/>
                <w:bCs/>
                <w:sz w:val="18"/>
                <w:szCs w:val="18"/>
              </w:rPr>
              <w:t>Trade Classification (SITC</w:t>
            </w:r>
            <w:r>
              <w:rPr>
                <w:rFonts w:ascii="Tahoma" w:hAnsi="Tahoma" w:cs="Tahoma"/>
                <w:sz w:val="18"/>
                <w:szCs w:val="18"/>
              </w:rPr>
              <w:t>) the first five sections in exports accounted for 3</w:t>
            </w:r>
            <w:r>
              <w:rPr>
                <w:rFonts w:ascii="Tahoma" w:hAnsi="Tahoma" w:cs="Tahoma"/>
                <w:sz w:val="18"/>
                <w:szCs w:val="18"/>
                <w:lang w:val="en-US"/>
              </w:rPr>
              <w:t>3.2</w:t>
            </w:r>
            <w:r>
              <w:rPr>
                <w:rFonts w:ascii="Tahoma" w:hAnsi="Tahoma" w:cs="Tahoma"/>
                <w:sz w:val="18"/>
                <w:szCs w:val="18"/>
              </w:rPr>
              <w:t>% of the overall exports. Imports of the first five sections accounted for 2</w:t>
            </w:r>
            <w:r>
              <w:rPr>
                <w:rFonts w:ascii="Tahoma" w:hAnsi="Tahoma" w:cs="Tahoma"/>
                <w:sz w:val="18"/>
                <w:szCs w:val="18"/>
                <w:lang w:val="en-US"/>
              </w:rPr>
              <w:t>4.9</w:t>
            </w:r>
            <w:r>
              <w:rPr>
                <w:rFonts w:ascii="Tahoma" w:hAnsi="Tahoma" w:cs="Tahoma"/>
                <w:sz w:val="18"/>
                <w:szCs w:val="18"/>
              </w:rPr>
              <w:t xml:space="preserve">% of total imports. Section of </w:t>
            </w:r>
            <w:r>
              <w:rPr>
                <w:rFonts w:ascii="Tahoma" w:hAnsi="Tahoma" w:cs="Tahoma"/>
                <w:i/>
                <w:sz w:val="18"/>
                <w:szCs w:val="18"/>
              </w:rPr>
              <w:t>unclassified goods</w:t>
            </w:r>
            <w:r>
              <w:rPr>
                <w:rFonts w:ascii="Tahoma" w:hAnsi="Tahoma" w:cs="Tahoma"/>
                <w:sz w:val="18"/>
                <w:szCs w:val="18"/>
              </w:rPr>
              <w:t xml:space="preserve">, now also involving customs storage goods and </w:t>
            </w:r>
            <w:r>
              <w:rPr>
                <w:rFonts w:ascii="Tahoma" w:hAnsi="Tahoma" w:cs="Tahoma"/>
                <w:sz w:val="18"/>
                <w:szCs w:val="18"/>
              </w:rPr>
              <w:t>goods in free zone, has share of 12.</w:t>
            </w:r>
            <w:r>
              <w:rPr>
                <w:rFonts w:ascii="Tahoma" w:hAnsi="Tahoma" w:cs="Tahoma"/>
                <w:sz w:val="18"/>
                <w:szCs w:val="18"/>
                <w:lang w:val="en-US"/>
              </w:rPr>
              <w:t>9</w:t>
            </w:r>
            <w:r>
              <w:rPr>
                <w:rFonts w:ascii="Tahoma" w:hAnsi="Tahoma" w:cs="Tahoma"/>
                <w:sz w:val="18"/>
                <w:szCs w:val="18"/>
              </w:rPr>
              <w:t>% in total imports.</w:t>
            </w:r>
          </w:p>
          <w:p w:rsidR="000C3DAA" w:rsidRDefault="000C3DAA">
            <w:pPr>
              <w:pStyle w:val="BodyTextIndent2"/>
              <w:widowControl w:val="0"/>
              <w:spacing w:after="0" w:line="240" w:lineRule="auto"/>
              <w:ind w:left="0"/>
              <w:jc w:val="both"/>
              <w:rPr>
                <w:rFonts w:ascii="Arial" w:hAnsi="Arial" w:cs="Arial"/>
                <w:b/>
                <w:bCs/>
                <w:sz w:val="18"/>
                <w:szCs w:val="18"/>
              </w:rPr>
            </w:pPr>
          </w:p>
          <w:tbl>
            <w:tblPr>
              <w:tblW w:w="9232" w:type="dxa"/>
              <w:tblLayout w:type="fixed"/>
              <w:tblLook w:val="04A0" w:firstRow="1" w:lastRow="0" w:firstColumn="1" w:lastColumn="0" w:noHBand="0" w:noVBand="1"/>
            </w:tblPr>
            <w:tblGrid>
              <w:gridCol w:w="2826"/>
              <w:gridCol w:w="769"/>
              <w:gridCol w:w="938"/>
              <w:gridCol w:w="2995"/>
              <w:gridCol w:w="937"/>
              <w:gridCol w:w="767"/>
            </w:tblGrid>
            <w:tr w:rsidR="000C3DAA">
              <w:trPr>
                <w:trHeight w:val="435"/>
              </w:trPr>
              <w:tc>
                <w:tcPr>
                  <w:tcW w:w="2825" w:type="dxa"/>
                  <w:tcBorders>
                    <w:top w:val="single" w:sz="8" w:space="0" w:color="000000"/>
                    <w:left w:val="single" w:sz="8" w:space="0" w:color="000000"/>
                    <w:bottom w:val="single" w:sz="8" w:space="0" w:color="000000"/>
                    <w:right w:val="single" w:sz="8" w:space="0" w:color="000000"/>
                  </w:tcBorders>
                  <w:vAlign w:val="center"/>
                </w:tcPr>
                <w:p w:rsidR="000C3DAA" w:rsidRDefault="001E7893">
                  <w:pPr>
                    <w:widowControl w:val="0"/>
                    <w:jc w:val="center"/>
                    <w:rPr>
                      <w:rFonts w:ascii="Tahoma" w:hAnsi="Tahoma" w:cs="Tahoma"/>
                      <w:b/>
                      <w:bCs/>
                      <w:sz w:val="20"/>
                      <w:szCs w:val="20"/>
                    </w:rPr>
                  </w:pPr>
                  <w:r>
                    <w:rPr>
                      <w:rFonts w:ascii="Tahoma" w:hAnsi="Tahoma" w:cs="Tahoma"/>
                      <w:b/>
                      <w:bCs/>
                      <w:sz w:val="20"/>
                      <w:szCs w:val="20"/>
                    </w:rPr>
                    <w:t>Exports</w:t>
                  </w:r>
                </w:p>
              </w:tc>
              <w:tc>
                <w:tcPr>
                  <w:tcW w:w="769" w:type="dxa"/>
                  <w:tcBorders>
                    <w:top w:val="single" w:sz="8" w:space="0" w:color="000000"/>
                    <w:bottom w:val="single" w:sz="8" w:space="0" w:color="000000"/>
                    <w:right w:val="single" w:sz="8" w:space="0" w:color="000000"/>
                  </w:tcBorders>
                  <w:vAlign w:val="center"/>
                </w:tcPr>
                <w:p w:rsidR="000C3DAA" w:rsidRDefault="001E7893">
                  <w:pPr>
                    <w:widowControl w:val="0"/>
                    <w:rPr>
                      <w:rFonts w:ascii="Tahoma" w:hAnsi="Tahoma" w:cs="Tahoma"/>
                      <w:sz w:val="16"/>
                      <w:szCs w:val="16"/>
                    </w:rPr>
                  </w:pPr>
                  <w:r>
                    <w:rPr>
                      <w:rFonts w:ascii="Tahoma" w:hAnsi="Tahoma" w:cs="Tahoma"/>
                      <w:sz w:val="16"/>
                      <w:szCs w:val="16"/>
                    </w:rPr>
                    <w:t>USD million</w:t>
                  </w:r>
                </w:p>
              </w:tc>
              <w:tc>
                <w:tcPr>
                  <w:tcW w:w="938" w:type="dxa"/>
                  <w:tcBorders>
                    <w:top w:val="single" w:sz="8" w:space="0" w:color="000000"/>
                    <w:bottom w:val="single" w:sz="8" w:space="0" w:color="000000"/>
                    <w:right w:val="single" w:sz="8" w:space="0" w:color="000000"/>
                  </w:tcBorders>
                  <w:vAlign w:val="center"/>
                </w:tcPr>
                <w:p w:rsidR="000C3DAA" w:rsidRDefault="001E7893">
                  <w:pPr>
                    <w:widowControl w:val="0"/>
                    <w:rPr>
                      <w:rFonts w:ascii="Tahoma" w:hAnsi="Tahoma" w:cs="Tahoma"/>
                      <w:sz w:val="16"/>
                      <w:szCs w:val="16"/>
                    </w:rPr>
                  </w:pPr>
                  <w:r>
                    <w:rPr>
                      <w:rFonts w:ascii="Tahoma" w:hAnsi="Tahoma" w:cs="Tahoma"/>
                      <w:sz w:val="16"/>
                      <w:szCs w:val="16"/>
                    </w:rPr>
                    <w:t>EUR million</w:t>
                  </w:r>
                </w:p>
              </w:tc>
              <w:tc>
                <w:tcPr>
                  <w:tcW w:w="2995" w:type="dxa"/>
                  <w:tcBorders>
                    <w:top w:val="single" w:sz="8" w:space="0" w:color="000000"/>
                    <w:bottom w:val="single" w:sz="8" w:space="0" w:color="000000"/>
                    <w:right w:val="single" w:sz="8" w:space="0" w:color="000000"/>
                  </w:tcBorders>
                  <w:vAlign w:val="center"/>
                </w:tcPr>
                <w:p w:rsidR="000C3DAA" w:rsidRDefault="001E7893">
                  <w:pPr>
                    <w:widowControl w:val="0"/>
                    <w:jc w:val="center"/>
                    <w:rPr>
                      <w:rFonts w:ascii="Tahoma" w:hAnsi="Tahoma" w:cs="Tahoma"/>
                      <w:b/>
                      <w:bCs/>
                      <w:sz w:val="20"/>
                      <w:szCs w:val="20"/>
                    </w:rPr>
                  </w:pPr>
                  <w:r>
                    <w:rPr>
                      <w:rFonts w:ascii="Tahoma" w:hAnsi="Tahoma" w:cs="Tahoma"/>
                      <w:b/>
                      <w:bCs/>
                      <w:sz w:val="20"/>
                      <w:szCs w:val="20"/>
                    </w:rPr>
                    <w:t>Imports</w:t>
                  </w:r>
                </w:p>
              </w:tc>
              <w:tc>
                <w:tcPr>
                  <w:tcW w:w="937" w:type="dxa"/>
                  <w:tcBorders>
                    <w:top w:val="single" w:sz="8" w:space="0" w:color="000000"/>
                    <w:bottom w:val="single" w:sz="8" w:space="0" w:color="000000"/>
                    <w:right w:val="single" w:sz="8" w:space="0" w:color="000000"/>
                  </w:tcBorders>
                  <w:vAlign w:val="center"/>
                </w:tcPr>
                <w:p w:rsidR="000C3DAA" w:rsidRDefault="001E7893">
                  <w:pPr>
                    <w:widowControl w:val="0"/>
                    <w:rPr>
                      <w:rFonts w:ascii="Tahoma" w:hAnsi="Tahoma" w:cs="Tahoma"/>
                      <w:sz w:val="16"/>
                      <w:szCs w:val="16"/>
                    </w:rPr>
                  </w:pPr>
                  <w:r>
                    <w:rPr>
                      <w:rFonts w:ascii="Tahoma" w:hAnsi="Tahoma" w:cs="Tahoma"/>
                      <w:sz w:val="16"/>
                      <w:szCs w:val="16"/>
                    </w:rPr>
                    <w:t>USD million</w:t>
                  </w:r>
                </w:p>
              </w:tc>
              <w:tc>
                <w:tcPr>
                  <w:tcW w:w="767" w:type="dxa"/>
                  <w:tcBorders>
                    <w:top w:val="single" w:sz="8" w:space="0" w:color="000000"/>
                    <w:bottom w:val="single" w:sz="8" w:space="0" w:color="000000"/>
                    <w:right w:val="single" w:sz="8" w:space="0" w:color="000000"/>
                  </w:tcBorders>
                  <w:vAlign w:val="center"/>
                </w:tcPr>
                <w:p w:rsidR="000C3DAA" w:rsidRDefault="001E7893">
                  <w:pPr>
                    <w:widowControl w:val="0"/>
                    <w:rPr>
                      <w:rFonts w:ascii="Tahoma" w:hAnsi="Tahoma" w:cs="Tahoma"/>
                      <w:sz w:val="16"/>
                      <w:szCs w:val="16"/>
                    </w:rPr>
                  </w:pPr>
                  <w:r>
                    <w:rPr>
                      <w:rFonts w:ascii="Tahoma" w:hAnsi="Tahoma" w:cs="Tahoma"/>
                      <w:sz w:val="16"/>
                      <w:szCs w:val="16"/>
                    </w:rPr>
                    <w:t>EUR million</w:t>
                  </w:r>
                </w:p>
              </w:tc>
            </w:tr>
            <w:tr w:rsidR="000C3DAA">
              <w:trPr>
                <w:trHeight w:hRule="exact" w:val="315"/>
              </w:trPr>
              <w:tc>
                <w:tcPr>
                  <w:tcW w:w="2825" w:type="dxa"/>
                  <w:tcBorders>
                    <w:left w:val="single" w:sz="8" w:space="0" w:color="000000"/>
                  </w:tcBorders>
                  <w:vAlign w:val="center"/>
                </w:tcPr>
                <w:p w:rsidR="000C3DAA" w:rsidRDefault="000C3DAA">
                  <w:pPr>
                    <w:widowControl w:val="0"/>
                    <w:rPr>
                      <w:rFonts w:ascii="Arial" w:hAnsi="Arial" w:cs="Arial"/>
                      <w:sz w:val="18"/>
                      <w:szCs w:val="18"/>
                    </w:rPr>
                  </w:pPr>
                </w:p>
              </w:tc>
              <w:tc>
                <w:tcPr>
                  <w:tcW w:w="769" w:type="dxa"/>
                  <w:tcBorders>
                    <w:left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c>
                <w:tcPr>
                  <w:tcW w:w="938" w:type="dxa"/>
                  <w:tcBorders>
                    <w:right w:val="single" w:sz="8" w:space="0" w:color="000000"/>
                  </w:tcBorders>
                  <w:vAlign w:val="center"/>
                </w:tcPr>
                <w:p w:rsidR="000C3DAA" w:rsidRDefault="000C3DAA">
                  <w:pPr>
                    <w:widowControl w:val="0"/>
                    <w:jc w:val="right"/>
                    <w:rPr>
                      <w:rFonts w:ascii="Arial" w:hAnsi="Arial" w:cs="Arial"/>
                      <w:sz w:val="18"/>
                      <w:szCs w:val="18"/>
                    </w:rPr>
                  </w:pPr>
                </w:p>
              </w:tc>
              <w:tc>
                <w:tcPr>
                  <w:tcW w:w="2995" w:type="dxa"/>
                  <w:vAlign w:val="center"/>
                </w:tcPr>
                <w:p w:rsidR="000C3DAA" w:rsidRDefault="000C3DAA">
                  <w:pPr>
                    <w:widowControl w:val="0"/>
                    <w:rPr>
                      <w:rFonts w:ascii="Arial" w:hAnsi="Arial" w:cs="Arial"/>
                      <w:sz w:val="18"/>
                      <w:szCs w:val="18"/>
                    </w:rPr>
                  </w:pPr>
                </w:p>
              </w:tc>
              <w:tc>
                <w:tcPr>
                  <w:tcW w:w="937" w:type="dxa"/>
                  <w:tcBorders>
                    <w:left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c>
                <w:tcPr>
                  <w:tcW w:w="767" w:type="dxa"/>
                  <w:tcBorders>
                    <w:right w:val="single" w:sz="8" w:space="0" w:color="000000"/>
                  </w:tcBorders>
                  <w:vAlign w:val="center"/>
                </w:tcPr>
                <w:p w:rsidR="000C3DAA" w:rsidRDefault="000C3DAA">
                  <w:pPr>
                    <w:widowControl w:val="0"/>
                    <w:jc w:val="right"/>
                    <w:rPr>
                      <w:rFonts w:ascii="Arial" w:hAnsi="Arial" w:cs="Arial"/>
                      <w:sz w:val="18"/>
                      <w:szCs w:val="18"/>
                    </w:rPr>
                  </w:pPr>
                </w:p>
              </w:tc>
            </w:tr>
            <w:tr w:rsidR="000C3DAA">
              <w:trPr>
                <w:trHeight w:val="240"/>
              </w:trPr>
              <w:tc>
                <w:tcPr>
                  <w:tcW w:w="282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Electrical machines and apparatus</w:t>
                  </w:r>
                </w:p>
              </w:tc>
              <w:tc>
                <w:tcPr>
                  <w:tcW w:w="769" w:type="dxa"/>
                  <w:tcBorders>
                    <w:right w:val="single" w:sz="8" w:space="0" w:color="000000"/>
                  </w:tcBorders>
                  <w:vAlign w:val="bottom"/>
                </w:tcPr>
                <w:p w:rsidR="000C3DAA" w:rsidRDefault="001E7893">
                  <w:pPr>
                    <w:widowControl w:val="0"/>
                    <w:jc w:val="right"/>
                    <w:rPr>
                      <w:rFonts w:ascii="Arial" w:hAnsi="Arial" w:cs="Arial"/>
                      <w:sz w:val="18"/>
                      <w:szCs w:val="18"/>
                      <w:lang w:val="en-US" w:eastAsia="en-GB"/>
                    </w:rPr>
                  </w:pPr>
                  <w:r>
                    <w:rPr>
                      <w:rFonts w:ascii="Arial" w:hAnsi="Arial" w:cs="Arial"/>
                      <w:color w:val="000000"/>
                      <w:sz w:val="18"/>
                      <w:szCs w:val="18"/>
                      <w:lang w:val="en-US" w:eastAsia="en-GB"/>
                    </w:rPr>
                    <w:t>2563.8</w:t>
                  </w:r>
                </w:p>
              </w:tc>
              <w:tc>
                <w:tcPr>
                  <w:tcW w:w="938" w:type="dxa"/>
                  <w:vAlign w:val="bottom"/>
                </w:tcPr>
                <w:p w:rsidR="000C3DAA" w:rsidRDefault="001E7893">
                  <w:pPr>
                    <w:widowControl w:val="0"/>
                    <w:jc w:val="right"/>
                    <w:rPr>
                      <w:rFonts w:ascii="Arial" w:hAnsi="Arial" w:cs="Arial"/>
                      <w:sz w:val="18"/>
                      <w:szCs w:val="18"/>
                      <w:lang w:val="en-US" w:eastAsia="en-GB"/>
                    </w:rPr>
                  </w:pPr>
                  <w:r>
                    <w:rPr>
                      <w:rFonts w:ascii="Arial" w:hAnsi="Arial" w:cs="Arial"/>
                      <w:sz w:val="18"/>
                      <w:szCs w:val="18"/>
                      <w:lang w:val="en-US"/>
                    </w:rPr>
                    <w:t>2364.7</w:t>
                  </w:r>
                </w:p>
              </w:tc>
              <w:tc>
                <w:tcPr>
                  <w:tcW w:w="299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Electrical machines and apparatus</w:t>
                  </w:r>
                </w:p>
              </w:tc>
              <w:tc>
                <w:tcPr>
                  <w:tcW w:w="937" w:type="dxa"/>
                  <w:tcBorders>
                    <w:right w:val="single" w:sz="8" w:space="0" w:color="000000"/>
                  </w:tcBorders>
                  <w:vAlign w:val="bottom"/>
                </w:tcPr>
                <w:p w:rsidR="000C3DAA" w:rsidRDefault="001E7893">
                  <w:pPr>
                    <w:widowControl w:val="0"/>
                    <w:jc w:val="right"/>
                    <w:rPr>
                      <w:rFonts w:ascii="Arial" w:hAnsi="Arial" w:cs="Arial"/>
                      <w:sz w:val="18"/>
                      <w:szCs w:val="18"/>
                      <w:lang w:val="en-US" w:eastAsia="en-GB"/>
                    </w:rPr>
                  </w:pPr>
                  <w:r>
                    <w:rPr>
                      <w:rFonts w:ascii="Arial" w:hAnsi="Arial" w:cs="Arial"/>
                      <w:color w:val="000000"/>
                      <w:sz w:val="18"/>
                      <w:szCs w:val="18"/>
                      <w:lang w:val="en-US" w:eastAsia="en-GB"/>
                    </w:rPr>
                    <w:t>1709.1</w:t>
                  </w:r>
                </w:p>
              </w:tc>
              <w:tc>
                <w:tcPr>
                  <w:tcW w:w="767" w:type="dxa"/>
                  <w:tcBorders>
                    <w:right w:val="single" w:sz="8" w:space="0" w:color="000000"/>
                  </w:tcBorders>
                  <w:vAlign w:val="bottom"/>
                </w:tcPr>
                <w:p w:rsidR="000C3DAA" w:rsidRDefault="001E7893">
                  <w:pPr>
                    <w:widowControl w:val="0"/>
                    <w:jc w:val="right"/>
                    <w:rPr>
                      <w:rFonts w:ascii="Arial" w:hAnsi="Arial" w:cs="Arial"/>
                      <w:sz w:val="18"/>
                      <w:szCs w:val="18"/>
                      <w:lang w:val="en-US" w:eastAsia="en-GB"/>
                    </w:rPr>
                  </w:pPr>
                  <w:r>
                    <w:rPr>
                      <w:rFonts w:ascii="Arial" w:hAnsi="Arial" w:cs="Arial"/>
                      <w:sz w:val="18"/>
                      <w:szCs w:val="18"/>
                      <w:lang w:val="en-US" w:eastAsia="en-GB"/>
                    </w:rPr>
                    <w:t>1575.6</w:t>
                  </w:r>
                </w:p>
              </w:tc>
            </w:tr>
            <w:tr w:rsidR="000C3DAA">
              <w:trPr>
                <w:trHeight w:val="240"/>
              </w:trPr>
              <w:tc>
                <w:tcPr>
                  <w:tcW w:w="282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Metal ores and residues</w:t>
                  </w:r>
                </w:p>
              </w:tc>
              <w:tc>
                <w:tcPr>
                  <w:tcW w:w="769"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1199.1</w:t>
                  </w:r>
                </w:p>
              </w:tc>
              <w:tc>
                <w:tcPr>
                  <w:tcW w:w="938" w:type="dxa"/>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1107.9</w:t>
                  </w:r>
                </w:p>
              </w:tc>
              <w:tc>
                <w:tcPr>
                  <w:tcW w:w="299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Oil and oil derivatives</w:t>
                  </w:r>
                </w:p>
              </w:tc>
              <w:tc>
                <w:tcPr>
                  <w:tcW w:w="93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1591.8</w:t>
                  </w:r>
                </w:p>
              </w:tc>
              <w:tc>
                <w:tcPr>
                  <w:tcW w:w="76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1466.7</w:t>
                  </w:r>
                </w:p>
              </w:tc>
            </w:tr>
            <w:tr w:rsidR="000C3DAA">
              <w:trPr>
                <w:trHeight w:val="240"/>
              </w:trPr>
              <w:tc>
                <w:tcPr>
                  <w:tcW w:w="2825" w:type="dxa"/>
                  <w:tcBorders>
                    <w:left w:val="single" w:sz="8" w:space="0" w:color="000000"/>
                    <w:right w:val="single" w:sz="8" w:space="0" w:color="000000"/>
                  </w:tcBorders>
                  <w:vAlign w:val="center"/>
                </w:tcPr>
                <w:p w:rsidR="000C3DAA" w:rsidRDefault="001E7893">
                  <w:pPr>
                    <w:widowControl w:val="0"/>
                    <w:jc w:val="both"/>
                    <w:rPr>
                      <w:rFonts w:ascii="Arial" w:hAnsi="Arial" w:cs="Arial"/>
                      <w:sz w:val="18"/>
                      <w:szCs w:val="18"/>
                      <w:lang w:val="en-US"/>
                    </w:rPr>
                  </w:pPr>
                  <w:r>
                    <w:rPr>
                      <w:rFonts w:ascii="Arial" w:hAnsi="Arial" w:cs="Arial"/>
                      <w:sz w:val="18"/>
                      <w:szCs w:val="18"/>
                      <w:lang w:val="en-US"/>
                    </w:rPr>
                    <w:t>Power engines and motors</w:t>
                  </w:r>
                </w:p>
              </w:tc>
              <w:tc>
                <w:tcPr>
                  <w:tcW w:w="769"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1168.9</w:t>
                  </w:r>
                </w:p>
              </w:tc>
              <w:tc>
                <w:tcPr>
                  <w:tcW w:w="938" w:type="dxa"/>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1077.8</w:t>
                  </w:r>
                </w:p>
              </w:tc>
              <w:tc>
                <w:tcPr>
                  <w:tcW w:w="299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lang w:val="en-US"/>
                    </w:rPr>
                  </w:pPr>
                  <w:r>
                    <w:rPr>
                      <w:rFonts w:ascii="Arial" w:hAnsi="Arial" w:cs="Arial"/>
                      <w:sz w:val="18"/>
                      <w:szCs w:val="18"/>
                      <w:lang w:val="en-US"/>
                    </w:rPr>
                    <w:t>Road vehicles</w:t>
                  </w:r>
                </w:p>
              </w:tc>
              <w:tc>
                <w:tcPr>
                  <w:tcW w:w="93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1155.9</w:t>
                  </w:r>
                </w:p>
              </w:tc>
              <w:tc>
                <w:tcPr>
                  <w:tcW w:w="76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1064.4</w:t>
                  </w:r>
                </w:p>
              </w:tc>
            </w:tr>
            <w:tr w:rsidR="000C3DAA">
              <w:trPr>
                <w:trHeight w:val="240"/>
              </w:trPr>
              <w:tc>
                <w:tcPr>
                  <w:tcW w:w="282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lang w:val="en-US"/>
                    </w:rPr>
                  </w:pPr>
                  <w:r>
                    <w:rPr>
                      <w:rFonts w:ascii="Arial" w:hAnsi="Arial" w:cs="Arial"/>
                      <w:sz w:val="18"/>
                      <w:szCs w:val="18"/>
                      <w:lang w:val="en-US"/>
                    </w:rPr>
                    <w:t>Electricity</w:t>
                  </w:r>
                </w:p>
              </w:tc>
              <w:tc>
                <w:tcPr>
                  <w:tcW w:w="769"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1051.2</w:t>
                  </w:r>
                </w:p>
              </w:tc>
              <w:tc>
                <w:tcPr>
                  <w:tcW w:w="938" w:type="dxa"/>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973.5</w:t>
                  </w:r>
                </w:p>
              </w:tc>
              <w:tc>
                <w:tcPr>
                  <w:tcW w:w="299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lang w:val="en-US"/>
                    </w:rPr>
                  </w:pPr>
                  <w:r>
                    <w:rPr>
                      <w:rFonts w:ascii="Arial" w:hAnsi="Arial" w:cs="Arial"/>
                      <w:sz w:val="18"/>
                      <w:szCs w:val="18"/>
                      <w:lang w:val="en-US"/>
                    </w:rPr>
                    <w:t>Natural gas</w:t>
                  </w:r>
                </w:p>
              </w:tc>
              <w:tc>
                <w:tcPr>
                  <w:tcW w:w="93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1059.1</w:t>
                  </w:r>
                </w:p>
              </w:tc>
              <w:tc>
                <w:tcPr>
                  <w:tcW w:w="76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979.6</w:t>
                  </w:r>
                </w:p>
              </w:tc>
            </w:tr>
            <w:tr w:rsidR="000C3DAA">
              <w:trPr>
                <w:trHeight w:val="240"/>
              </w:trPr>
              <w:tc>
                <w:tcPr>
                  <w:tcW w:w="282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Rubber products, n.e.c.</w:t>
                  </w:r>
                </w:p>
              </w:tc>
              <w:tc>
                <w:tcPr>
                  <w:tcW w:w="769"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885.9</w:t>
                  </w:r>
                </w:p>
              </w:tc>
              <w:tc>
                <w:tcPr>
                  <w:tcW w:w="938" w:type="dxa"/>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817.7</w:t>
                  </w:r>
                </w:p>
              </w:tc>
              <w:tc>
                <w:tcPr>
                  <w:tcW w:w="2995" w:type="dxa"/>
                  <w:tcBorders>
                    <w:left w:val="single" w:sz="8" w:space="0" w:color="000000"/>
                    <w:right w:val="single" w:sz="8" w:space="0" w:color="000000"/>
                  </w:tcBorders>
                  <w:vAlign w:val="center"/>
                </w:tcPr>
                <w:p w:rsidR="000C3DAA" w:rsidRDefault="001E7893">
                  <w:pPr>
                    <w:widowControl w:val="0"/>
                    <w:rPr>
                      <w:rFonts w:ascii="Arial" w:hAnsi="Arial" w:cs="Arial"/>
                      <w:sz w:val="18"/>
                      <w:szCs w:val="18"/>
                    </w:rPr>
                  </w:pPr>
                  <w:r>
                    <w:rPr>
                      <w:rFonts w:ascii="Arial" w:hAnsi="Arial" w:cs="Arial"/>
                      <w:sz w:val="18"/>
                      <w:szCs w:val="18"/>
                    </w:rPr>
                    <w:t>Medical and pharmaceutical products</w:t>
                  </w:r>
                </w:p>
              </w:tc>
              <w:tc>
                <w:tcPr>
                  <w:tcW w:w="93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color w:val="000000"/>
                      <w:sz w:val="18"/>
                      <w:szCs w:val="18"/>
                      <w:lang w:val="en-US"/>
                    </w:rPr>
                    <w:t>1029.7</w:t>
                  </w:r>
                </w:p>
              </w:tc>
              <w:tc>
                <w:tcPr>
                  <w:tcW w:w="767" w:type="dxa"/>
                  <w:tcBorders>
                    <w:right w:val="single" w:sz="8" w:space="0" w:color="000000"/>
                  </w:tcBorders>
                  <w:vAlign w:val="bottom"/>
                </w:tcPr>
                <w:p w:rsidR="000C3DAA" w:rsidRDefault="001E7893">
                  <w:pPr>
                    <w:widowControl w:val="0"/>
                    <w:jc w:val="right"/>
                    <w:rPr>
                      <w:rFonts w:ascii="Arial" w:hAnsi="Arial" w:cs="Arial"/>
                      <w:sz w:val="18"/>
                      <w:szCs w:val="18"/>
                      <w:lang w:val="en-US"/>
                    </w:rPr>
                  </w:pPr>
                  <w:r>
                    <w:rPr>
                      <w:rFonts w:ascii="Arial" w:hAnsi="Arial" w:cs="Arial"/>
                      <w:sz w:val="18"/>
                      <w:szCs w:val="18"/>
                      <w:lang w:val="en-US"/>
                    </w:rPr>
                    <w:t>948.8</w:t>
                  </w:r>
                </w:p>
              </w:tc>
            </w:tr>
            <w:tr w:rsidR="000C3DAA">
              <w:trPr>
                <w:trHeight w:hRule="exact" w:val="330"/>
              </w:trPr>
              <w:tc>
                <w:tcPr>
                  <w:tcW w:w="2825" w:type="dxa"/>
                  <w:tcBorders>
                    <w:left w:val="single" w:sz="8" w:space="0" w:color="000000"/>
                    <w:bottom w:val="single" w:sz="8" w:space="0" w:color="000000"/>
                  </w:tcBorders>
                  <w:vAlign w:val="center"/>
                </w:tcPr>
                <w:p w:rsidR="000C3DAA" w:rsidRDefault="000C3DAA">
                  <w:pPr>
                    <w:widowControl w:val="0"/>
                    <w:rPr>
                      <w:rFonts w:ascii="Arial" w:hAnsi="Arial" w:cs="Arial"/>
                      <w:sz w:val="18"/>
                      <w:szCs w:val="18"/>
                    </w:rPr>
                  </w:pPr>
                </w:p>
              </w:tc>
              <w:tc>
                <w:tcPr>
                  <w:tcW w:w="769" w:type="dxa"/>
                  <w:tcBorders>
                    <w:left w:val="single" w:sz="8" w:space="0" w:color="000000"/>
                    <w:bottom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c>
                <w:tcPr>
                  <w:tcW w:w="938" w:type="dxa"/>
                  <w:tcBorders>
                    <w:bottom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c>
                <w:tcPr>
                  <w:tcW w:w="2995" w:type="dxa"/>
                  <w:tcBorders>
                    <w:bottom w:val="single" w:sz="8" w:space="0" w:color="000000"/>
                  </w:tcBorders>
                  <w:vAlign w:val="center"/>
                </w:tcPr>
                <w:p w:rsidR="000C3DAA" w:rsidRDefault="000C3DAA">
                  <w:pPr>
                    <w:widowControl w:val="0"/>
                  </w:pPr>
                </w:p>
              </w:tc>
              <w:tc>
                <w:tcPr>
                  <w:tcW w:w="937" w:type="dxa"/>
                  <w:tcBorders>
                    <w:left w:val="single" w:sz="8" w:space="0" w:color="000000"/>
                    <w:bottom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c>
                <w:tcPr>
                  <w:tcW w:w="767" w:type="dxa"/>
                  <w:tcBorders>
                    <w:bottom w:val="single" w:sz="8" w:space="0" w:color="000000"/>
                    <w:right w:val="single" w:sz="8" w:space="0" w:color="000000"/>
                  </w:tcBorders>
                  <w:vAlign w:val="center"/>
                </w:tcPr>
                <w:p w:rsidR="000C3DAA" w:rsidRDefault="000C3DAA">
                  <w:pPr>
                    <w:widowControl w:val="0"/>
                    <w:jc w:val="right"/>
                    <w:rPr>
                      <w:rFonts w:ascii="Arial" w:hAnsi="Arial" w:cs="Arial"/>
                      <w:sz w:val="18"/>
                      <w:szCs w:val="18"/>
                    </w:rPr>
                  </w:pPr>
                </w:p>
              </w:tc>
            </w:tr>
          </w:tbl>
          <w:p w:rsidR="000C3DAA" w:rsidRDefault="000C3DAA">
            <w:pPr>
              <w:widowControl w:val="0"/>
              <w:shd w:val="clear" w:color="auto" w:fill="FFFFFF"/>
              <w:spacing w:line="210" w:lineRule="atLeast"/>
              <w:jc w:val="both"/>
              <w:rPr>
                <w:rFonts w:ascii="Tahoma" w:hAnsi="Tahoma" w:cs="Tahoma"/>
                <w:color w:val="242424"/>
                <w:sz w:val="18"/>
                <w:szCs w:val="18"/>
              </w:rPr>
            </w:pPr>
          </w:p>
          <w:p w:rsidR="000C3DAA" w:rsidRDefault="000C3DAA">
            <w:pPr>
              <w:widowControl w:val="0"/>
              <w:shd w:val="clear" w:color="auto" w:fill="FFFFFF"/>
              <w:spacing w:line="210" w:lineRule="atLeast"/>
              <w:jc w:val="both"/>
              <w:rPr>
                <w:rFonts w:ascii="Tahoma" w:hAnsi="Tahoma" w:cs="Tahoma"/>
                <w:color w:val="242424"/>
                <w:sz w:val="18"/>
                <w:szCs w:val="18"/>
              </w:rPr>
            </w:pPr>
          </w:p>
          <w:p w:rsidR="000C3DAA" w:rsidRDefault="001E7893">
            <w:pPr>
              <w:widowControl w:val="0"/>
              <w:jc w:val="both"/>
              <w:rPr>
                <w:rFonts w:ascii="Arial" w:hAnsi="Arial" w:cs="Arial"/>
                <w:bCs/>
                <w:sz w:val="18"/>
                <w:szCs w:val="18"/>
              </w:rPr>
            </w:pPr>
            <w:r>
              <w:rPr>
                <w:rFonts w:ascii="Arial" w:hAnsi="Arial" w:cs="Arial"/>
                <w:bCs/>
                <w:sz w:val="18"/>
                <w:szCs w:val="18"/>
              </w:rPr>
              <w:t xml:space="preserve">In </w:t>
            </w:r>
            <w:r>
              <w:rPr>
                <w:rFonts w:ascii="Arial" w:hAnsi="Arial" w:cs="Arial"/>
                <w:b/>
                <w:bCs/>
                <w:sz w:val="18"/>
                <w:szCs w:val="18"/>
                <w:lang w:val="en-US"/>
              </w:rPr>
              <w:t>August</w:t>
            </w:r>
            <w:r>
              <w:rPr>
                <w:rFonts w:ascii="Arial" w:hAnsi="Arial" w:cs="Arial"/>
                <w:b/>
                <w:bCs/>
                <w:sz w:val="18"/>
                <w:szCs w:val="18"/>
              </w:rPr>
              <w:t xml:space="preserve"> </w:t>
            </w:r>
            <w:r>
              <w:rPr>
                <w:rFonts w:ascii="Arial" w:hAnsi="Arial" w:cs="Arial"/>
                <w:bCs/>
                <w:sz w:val="18"/>
                <w:szCs w:val="18"/>
              </w:rPr>
              <w:t xml:space="preserve">2023, value of exported goods amounted to </w:t>
            </w:r>
            <w:r>
              <w:rPr>
                <w:rFonts w:ascii="Arial" w:hAnsi="Arial" w:cs="Arial"/>
                <w:b/>
                <w:bCs/>
                <w:sz w:val="18"/>
                <w:szCs w:val="18"/>
              </w:rPr>
              <w:t xml:space="preserve">USD </w:t>
            </w:r>
            <w:r>
              <w:rPr>
                <w:rFonts w:ascii="Arial" w:hAnsi="Arial" w:cs="Arial"/>
                <w:b/>
                <w:bCs/>
                <w:sz w:val="18"/>
                <w:szCs w:val="18"/>
                <w:lang w:val="en-US"/>
              </w:rPr>
              <w:t>2376.1</w:t>
            </w:r>
            <w:r>
              <w:rPr>
                <w:rFonts w:ascii="Arial" w:hAnsi="Arial" w:cs="Arial"/>
                <w:b/>
                <w:bCs/>
                <w:sz w:val="18"/>
                <w:szCs w:val="18"/>
              </w:rPr>
              <w:t xml:space="preserve"> million</w:t>
            </w:r>
            <w:r>
              <w:rPr>
                <w:rFonts w:ascii="Arial" w:hAnsi="Arial" w:cs="Arial"/>
                <w:bCs/>
                <w:sz w:val="18"/>
                <w:szCs w:val="18"/>
              </w:rPr>
              <w:t xml:space="preserve">, being the increase of </w:t>
            </w:r>
            <w:r>
              <w:rPr>
                <w:rFonts w:ascii="Arial" w:hAnsi="Arial" w:cs="Arial"/>
                <w:bCs/>
                <w:sz w:val="18"/>
                <w:szCs w:val="18"/>
                <w:lang w:val="en-US"/>
              </w:rPr>
              <w:t>5.5</w:t>
            </w:r>
            <w:r>
              <w:rPr>
                <w:rFonts w:ascii="Arial" w:hAnsi="Arial" w:cs="Arial"/>
                <w:bCs/>
                <w:sz w:val="18"/>
                <w:szCs w:val="18"/>
              </w:rPr>
              <w:t xml:space="preserve">% relative to the same month last year. Value of imports was </w:t>
            </w:r>
            <w:r>
              <w:rPr>
                <w:rFonts w:ascii="Arial" w:hAnsi="Arial" w:cs="Arial"/>
                <w:b/>
                <w:bCs/>
                <w:sz w:val="18"/>
                <w:szCs w:val="18"/>
              </w:rPr>
              <w:t>USD 3</w:t>
            </w:r>
            <w:r>
              <w:rPr>
                <w:rFonts w:ascii="Arial" w:hAnsi="Arial" w:cs="Arial"/>
                <w:b/>
                <w:bCs/>
                <w:sz w:val="18"/>
                <w:szCs w:val="18"/>
                <w:lang w:val="en-US"/>
              </w:rPr>
              <w:t>010.7</w:t>
            </w:r>
            <w:r>
              <w:rPr>
                <w:rFonts w:ascii="Arial" w:hAnsi="Arial" w:cs="Arial"/>
                <w:b/>
                <w:bCs/>
                <w:sz w:val="18"/>
                <w:szCs w:val="18"/>
              </w:rPr>
              <w:t xml:space="preserve"> million</w:t>
            </w:r>
            <w:r>
              <w:rPr>
                <w:rFonts w:ascii="Arial" w:hAnsi="Arial" w:cs="Arial"/>
                <w:bCs/>
                <w:sz w:val="18"/>
                <w:szCs w:val="18"/>
              </w:rPr>
              <w:t>, presenting the decrease of</w:t>
            </w:r>
            <w:r>
              <w:rPr>
                <w:rFonts w:ascii="Arial" w:hAnsi="Arial" w:cs="Arial"/>
                <w:bCs/>
                <w:sz w:val="18"/>
                <w:szCs w:val="18"/>
                <w:lang w:val="en-US"/>
              </w:rPr>
              <w:t>3.3</w:t>
            </w:r>
            <w:r>
              <w:rPr>
                <w:rFonts w:ascii="Arial" w:hAnsi="Arial" w:cs="Arial"/>
                <w:bCs/>
                <w:sz w:val="18"/>
                <w:szCs w:val="18"/>
              </w:rPr>
              <w:t xml:space="preserve">% compared to the same month last </w:t>
            </w:r>
            <w:r>
              <w:rPr>
                <w:rFonts w:ascii="Arial" w:hAnsi="Arial" w:cs="Arial"/>
                <w:bCs/>
                <w:sz w:val="18"/>
                <w:szCs w:val="18"/>
              </w:rPr>
              <w:t>year.</w:t>
            </w:r>
          </w:p>
          <w:p w:rsidR="000C3DAA" w:rsidRDefault="000C3DAA">
            <w:pPr>
              <w:widowControl w:val="0"/>
              <w:jc w:val="both"/>
              <w:rPr>
                <w:rFonts w:ascii="Arial" w:hAnsi="Arial" w:cs="Arial"/>
                <w:bCs/>
                <w:sz w:val="18"/>
                <w:szCs w:val="18"/>
              </w:rPr>
            </w:pPr>
          </w:p>
          <w:p w:rsidR="000C3DAA" w:rsidRDefault="001E7893">
            <w:pPr>
              <w:widowControl w:val="0"/>
              <w:jc w:val="both"/>
              <w:rPr>
                <w:rFonts w:ascii="Arial" w:hAnsi="Arial" w:cs="Arial"/>
                <w:sz w:val="18"/>
                <w:szCs w:val="18"/>
              </w:rPr>
            </w:pPr>
            <w:r>
              <w:rPr>
                <w:rFonts w:ascii="Arial" w:hAnsi="Arial" w:cs="Arial"/>
                <w:sz w:val="18"/>
                <w:szCs w:val="18"/>
              </w:rPr>
              <w:t xml:space="preserve">Expressed in EUR, value of exported goods was </w:t>
            </w:r>
            <w:r>
              <w:rPr>
                <w:rFonts w:ascii="Arial" w:hAnsi="Arial" w:cs="Arial"/>
                <w:b/>
                <w:sz w:val="18"/>
                <w:szCs w:val="18"/>
                <w:lang w:val="en-US"/>
              </w:rPr>
              <w:t>2176.4</w:t>
            </w:r>
            <w:r>
              <w:rPr>
                <w:rFonts w:ascii="Arial" w:hAnsi="Arial" w:cs="Arial"/>
                <w:sz w:val="18"/>
                <w:szCs w:val="18"/>
              </w:rPr>
              <w:t xml:space="preserve"> </w:t>
            </w:r>
            <w:r>
              <w:rPr>
                <w:rFonts w:ascii="Arial" w:hAnsi="Arial" w:cs="Arial"/>
                <w:b/>
                <w:sz w:val="18"/>
                <w:szCs w:val="18"/>
              </w:rPr>
              <w:t>million</w:t>
            </w:r>
            <w:r>
              <w:rPr>
                <w:rFonts w:ascii="Arial" w:hAnsi="Arial" w:cs="Arial"/>
                <w:sz w:val="18"/>
                <w:szCs w:val="18"/>
              </w:rPr>
              <w:t>, being the</w:t>
            </w:r>
            <w:r>
              <w:rPr>
                <w:rFonts w:ascii="Arial" w:hAnsi="Arial" w:cs="Arial"/>
                <w:sz w:val="18"/>
                <w:szCs w:val="18"/>
                <w:lang w:val="en-US"/>
              </w:rPr>
              <w:t xml:space="preserve"> de</w:t>
            </w:r>
            <w:r>
              <w:rPr>
                <w:rFonts w:ascii="Arial" w:hAnsi="Arial" w:cs="Arial"/>
                <w:sz w:val="18"/>
                <w:szCs w:val="18"/>
              </w:rPr>
              <w:t xml:space="preserve">crease of </w:t>
            </w:r>
            <w:r>
              <w:rPr>
                <w:rFonts w:ascii="Arial" w:hAnsi="Arial" w:cs="Arial"/>
                <w:sz w:val="18"/>
                <w:szCs w:val="18"/>
                <w:lang w:val="en-US"/>
              </w:rPr>
              <w:t>1.6</w:t>
            </w:r>
            <w:r>
              <w:rPr>
                <w:rFonts w:ascii="Arial" w:hAnsi="Arial" w:cs="Arial"/>
                <w:sz w:val="18"/>
                <w:szCs w:val="18"/>
              </w:rPr>
              <w:t xml:space="preserve">% compared with the same month last year. Import amounted to </w:t>
            </w:r>
            <w:r>
              <w:rPr>
                <w:rFonts w:ascii="Arial" w:hAnsi="Arial" w:cs="Arial"/>
                <w:b/>
                <w:sz w:val="18"/>
                <w:szCs w:val="18"/>
              </w:rPr>
              <w:t xml:space="preserve">EUR </w:t>
            </w:r>
            <w:r>
              <w:rPr>
                <w:rFonts w:ascii="Arial" w:hAnsi="Arial" w:cs="Arial"/>
                <w:b/>
                <w:sz w:val="18"/>
                <w:szCs w:val="18"/>
                <w:lang w:val="en-US"/>
              </w:rPr>
              <w:t>2757.2</w:t>
            </w:r>
            <w:r>
              <w:rPr>
                <w:rFonts w:ascii="Arial" w:hAnsi="Arial" w:cs="Arial"/>
                <w:b/>
                <w:sz w:val="18"/>
                <w:szCs w:val="18"/>
              </w:rPr>
              <w:t xml:space="preserve"> million</w:t>
            </w:r>
            <w:r>
              <w:rPr>
                <w:rFonts w:ascii="Arial" w:hAnsi="Arial" w:cs="Arial"/>
                <w:sz w:val="18"/>
                <w:szCs w:val="18"/>
              </w:rPr>
              <w:t xml:space="preserve">, presenting the decrease of </w:t>
            </w:r>
            <w:r>
              <w:rPr>
                <w:rFonts w:ascii="Arial" w:hAnsi="Arial" w:cs="Arial"/>
                <w:sz w:val="18"/>
                <w:szCs w:val="18"/>
                <w:lang w:val="en-US"/>
              </w:rPr>
              <w:t>9.9</w:t>
            </w:r>
            <w:r>
              <w:rPr>
                <w:rFonts w:ascii="Arial" w:hAnsi="Arial" w:cs="Arial"/>
                <w:sz w:val="18"/>
                <w:szCs w:val="18"/>
              </w:rPr>
              <w:t>% relative to the same month last year.</w:t>
            </w:r>
          </w:p>
          <w:p w:rsidR="000C3DAA" w:rsidRDefault="000C3DAA">
            <w:pPr>
              <w:widowControl w:val="0"/>
              <w:jc w:val="both"/>
              <w:rPr>
                <w:rFonts w:ascii="Arial" w:hAnsi="Arial" w:cs="Arial"/>
                <w:sz w:val="18"/>
                <w:szCs w:val="18"/>
              </w:rPr>
            </w:pPr>
          </w:p>
          <w:p w:rsidR="000C3DAA" w:rsidRDefault="001E7893">
            <w:pPr>
              <w:widowControl w:val="0"/>
              <w:shd w:val="clear" w:color="auto" w:fill="FFFFFF"/>
              <w:spacing w:line="210" w:lineRule="atLeast"/>
              <w:jc w:val="both"/>
              <w:rPr>
                <w:rFonts w:ascii="Tahoma" w:hAnsi="Tahoma" w:cs="Tahoma"/>
                <w:sz w:val="18"/>
                <w:szCs w:val="18"/>
              </w:rPr>
            </w:pPr>
            <w:r>
              <w:rPr>
                <w:rFonts w:ascii="Tahoma" w:hAnsi="Tahoma" w:cs="Tahoma"/>
                <w:sz w:val="18"/>
                <w:szCs w:val="18"/>
              </w:rPr>
              <w:t>The season</w:t>
            </w:r>
            <w:r>
              <w:rPr>
                <w:rFonts w:ascii="Tahoma" w:hAnsi="Tahoma" w:cs="Tahoma"/>
                <w:sz w:val="18"/>
                <w:szCs w:val="18"/>
              </w:rPr>
              <w:t xml:space="preserve">ally adjusted index </w:t>
            </w:r>
            <w:r>
              <w:rPr>
                <w:rFonts w:ascii="Tahoma" w:hAnsi="Tahoma" w:cs="Tahoma"/>
                <w:sz w:val="18"/>
                <w:szCs w:val="18"/>
                <w:lang w:val="en-US"/>
              </w:rPr>
              <w:t>August</w:t>
            </w:r>
            <w:r>
              <w:rPr>
                <w:rFonts w:ascii="Tahoma" w:hAnsi="Tahoma" w:cs="Tahoma"/>
                <w:sz w:val="18"/>
                <w:szCs w:val="18"/>
              </w:rPr>
              <w:t xml:space="preserve"> 2023/ </w:t>
            </w:r>
            <w:r>
              <w:rPr>
                <w:rFonts w:ascii="Tahoma" w:hAnsi="Tahoma" w:cs="Tahoma"/>
                <w:sz w:val="18"/>
                <w:szCs w:val="18"/>
                <w:lang w:val="en-US"/>
              </w:rPr>
              <w:t>July</w:t>
            </w:r>
            <w:r>
              <w:rPr>
                <w:rFonts w:ascii="Tahoma" w:hAnsi="Tahoma" w:cs="Tahoma"/>
                <w:sz w:val="18"/>
                <w:szCs w:val="18"/>
              </w:rPr>
              <w:t xml:space="preserve"> 2023 shows that exports decrease by 0.</w:t>
            </w:r>
            <w:r>
              <w:rPr>
                <w:rFonts w:ascii="Tahoma" w:hAnsi="Tahoma" w:cs="Tahoma"/>
                <w:sz w:val="18"/>
                <w:szCs w:val="18"/>
                <w:lang w:val="en-US"/>
              </w:rPr>
              <w:t>4</w:t>
            </w:r>
            <w:r>
              <w:rPr>
                <w:rFonts w:ascii="Tahoma" w:hAnsi="Tahoma" w:cs="Tahoma"/>
                <w:sz w:val="18"/>
                <w:szCs w:val="18"/>
              </w:rPr>
              <w:t xml:space="preserve">% and imports increase by </w:t>
            </w:r>
            <w:r>
              <w:rPr>
                <w:rFonts w:ascii="Tahoma" w:hAnsi="Tahoma" w:cs="Tahoma"/>
                <w:sz w:val="18"/>
                <w:szCs w:val="18"/>
                <w:lang w:val="en-US"/>
              </w:rPr>
              <w:t>0.8</w:t>
            </w:r>
            <w:r>
              <w:rPr>
                <w:rFonts w:ascii="Tahoma" w:hAnsi="Tahoma" w:cs="Tahoma"/>
                <w:sz w:val="18"/>
                <w:szCs w:val="18"/>
              </w:rPr>
              <w:t xml:space="preserve">%, calculated/ expressed in USD. Seasonally adjusted index </w:t>
            </w:r>
            <w:r>
              <w:rPr>
                <w:rFonts w:ascii="Tahoma" w:hAnsi="Tahoma" w:cs="Tahoma"/>
                <w:sz w:val="18"/>
                <w:szCs w:val="18"/>
                <w:lang w:val="en-US"/>
              </w:rPr>
              <w:t>August</w:t>
            </w:r>
            <w:r>
              <w:rPr>
                <w:rFonts w:ascii="Tahoma" w:hAnsi="Tahoma" w:cs="Tahoma"/>
                <w:sz w:val="18"/>
                <w:szCs w:val="18"/>
              </w:rPr>
              <w:t xml:space="preserve"> 2023/ </w:t>
            </w:r>
            <w:r>
              <w:rPr>
                <w:rFonts w:ascii="Tahoma" w:hAnsi="Tahoma" w:cs="Tahoma"/>
                <w:sz w:val="18"/>
                <w:szCs w:val="18"/>
                <w:lang w:val="en-US"/>
              </w:rPr>
              <w:t>July</w:t>
            </w:r>
            <w:r>
              <w:rPr>
                <w:rFonts w:ascii="Tahoma" w:hAnsi="Tahoma" w:cs="Tahoma"/>
                <w:sz w:val="18"/>
                <w:szCs w:val="18"/>
              </w:rPr>
              <w:t xml:space="preserve"> 2023, expressed in EUR, shows that exports </w:t>
            </w:r>
            <w:r>
              <w:rPr>
                <w:rFonts w:ascii="Tahoma" w:hAnsi="Tahoma" w:cs="Tahoma"/>
                <w:sz w:val="18"/>
                <w:szCs w:val="18"/>
                <w:lang w:val="en-US"/>
              </w:rPr>
              <w:t>in</w:t>
            </w:r>
            <w:r>
              <w:rPr>
                <w:rFonts w:ascii="Tahoma" w:hAnsi="Tahoma" w:cs="Tahoma"/>
                <w:sz w:val="18"/>
                <w:szCs w:val="18"/>
              </w:rPr>
              <w:t xml:space="preserve">crease by </w:t>
            </w:r>
            <w:r>
              <w:rPr>
                <w:rFonts w:ascii="Tahoma" w:hAnsi="Tahoma" w:cs="Tahoma"/>
                <w:sz w:val="18"/>
                <w:szCs w:val="18"/>
                <w:lang w:val="en-US"/>
              </w:rPr>
              <w:t>0.9</w:t>
            </w:r>
            <w:r>
              <w:rPr>
                <w:rFonts w:ascii="Tahoma" w:hAnsi="Tahoma" w:cs="Tahoma"/>
                <w:sz w:val="18"/>
                <w:szCs w:val="18"/>
              </w:rPr>
              <w:t xml:space="preserve">% and imports </w:t>
            </w:r>
            <w:r>
              <w:rPr>
                <w:rFonts w:ascii="Tahoma" w:hAnsi="Tahoma" w:cs="Tahoma"/>
                <w:sz w:val="18"/>
                <w:szCs w:val="18"/>
              </w:rPr>
              <w:t>increase by 1.</w:t>
            </w:r>
            <w:r>
              <w:rPr>
                <w:rFonts w:ascii="Tahoma" w:hAnsi="Tahoma" w:cs="Tahoma"/>
                <w:sz w:val="18"/>
                <w:szCs w:val="18"/>
                <w:lang w:val="en-US"/>
              </w:rPr>
              <w:t>9</w:t>
            </w:r>
            <w:r>
              <w:rPr>
                <w:rFonts w:ascii="Tahoma" w:hAnsi="Tahoma" w:cs="Tahoma"/>
                <w:sz w:val="18"/>
                <w:szCs w:val="18"/>
              </w:rPr>
              <w:t xml:space="preserve"> %.</w:t>
            </w:r>
          </w:p>
          <w:p w:rsidR="000C3DAA" w:rsidRDefault="000C3DAA">
            <w:pPr>
              <w:widowControl w:val="0"/>
              <w:tabs>
                <w:tab w:val="center" w:pos="7797"/>
              </w:tabs>
              <w:jc w:val="both"/>
              <w:rPr>
                <w:rFonts w:ascii="Tahoma" w:hAnsi="Tahoma" w:cs="Tahoma"/>
                <w:sz w:val="18"/>
                <w:szCs w:val="18"/>
              </w:rPr>
            </w:pPr>
          </w:p>
          <w:p w:rsidR="000C3DAA" w:rsidRDefault="001E7893">
            <w:pPr>
              <w:widowControl w:val="0"/>
              <w:tabs>
                <w:tab w:val="center" w:pos="7797"/>
              </w:tabs>
              <w:jc w:val="both"/>
              <w:rPr>
                <w:rFonts w:ascii="Tahoma" w:hAnsi="Tahoma" w:cs="Tahoma"/>
                <w:sz w:val="18"/>
                <w:szCs w:val="18"/>
              </w:rPr>
            </w:pPr>
            <w:r>
              <w:rPr>
                <w:rFonts w:ascii="Tahoma" w:hAnsi="Tahoma" w:cs="Tahoma"/>
                <w:sz w:val="18"/>
                <w:szCs w:val="18"/>
              </w:rPr>
              <w:t xml:space="preserve">According to the Nomenclature of the External Trade Statistics (NETS), </w:t>
            </w:r>
            <w:r>
              <w:rPr>
                <w:rFonts w:ascii="Tahoma" w:hAnsi="Tahoma" w:cs="Tahoma"/>
                <w:b/>
                <w:sz w:val="18"/>
                <w:szCs w:val="18"/>
                <w:lang w:val="en-US"/>
              </w:rPr>
              <w:t>August</w:t>
            </w:r>
            <w:r>
              <w:rPr>
                <w:rFonts w:ascii="Tahoma" w:hAnsi="Tahoma" w:cs="Tahoma"/>
                <w:b/>
                <w:sz w:val="18"/>
                <w:szCs w:val="18"/>
              </w:rPr>
              <w:t xml:space="preserve"> </w:t>
            </w:r>
            <w:r>
              <w:rPr>
                <w:rFonts w:ascii="Tahoma" w:hAnsi="Tahoma" w:cs="Tahoma"/>
                <w:sz w:val="18"/>
                <w:szCs w:val="18"/>
              </w:rPr>
              <w:t>list is as follows:</w:t>
            </w:r>
          </w:p>
          <w:p w:rsidR="000C3DAA" w:rsidRDefault="000C3DAA">
            <w:pPr>
              <w:widowControl w:val="0"/>
              <w:tabs>
                <w:tab w:val="center" w:pos="7797"/>
              </w:tabs>
              <w:jc w:val="both"/>
              <w:rPr>
                <w:rFonts w:ascii="Tahoma" w:hAnsi="Tahoma" w:cs="Tahoma"/>
                <w:sz w:val="18"/>
                <w:szCs w:val="18"/>
              </w:rPr>
            </w:pPr>
          </w:p>
          <w:p w:rsidR="000C3DAA" w:rsidRDefault="001E7893">
            <w:pPr>
              <w:widowControl w:val="0"/>
              <w:tabs>
                <w:tab w:val="center" w:pos="0"/>
              </w:tabs>
              <w:jc w:val="both"/>
              <w:rPr>
                <w:rFonts w:ascii="Tahoma" w:hAnsi="Tahoma" w:cs="Tahoma"/>
                <w:sz w:val="18"/>
                <w:szCs w:val="18"/>
              </w:rPr>
            </w:pPr>
            <w:r>
              <w:rPr>
                <w:rFonts w:ascii="Tahoma" w:hAnsi="Tahoma" w:cs="Tahoma"/>
                <w:sz w:val="18"/>
                <w:szCs w:val="18"/>
              </w:rPr>
              <w:t xml:space="preserve">On the list of the first 5 products in </w:t>
            </w:r>
            <w:r>
              <w:rPr>
                <w:rFonts w:ascii="Tahoma" w:hAnsi="Tahoma" w:cs="Tahoma"/>
                <w:b/>
                <w:sz w:val="18"/>
                <w:szCs w:val="18"/>
              </w:rPr>
              <w:t>exports</w:t>
            </w:r>
            <w:r>
              <w:rPr>
                <w:rFonts w:ascii="Tahoma" w:hAnsi="Tahoma" w:cs="Tahoma"/>
                <w:sz w:val="18"/>
                <w:szCs w:val="18"/>
              </w:rPr>
              <w:t xml:space="preserve">, the first item refers to </w:t>
            </w:r>
            <w:r>
              <w:rPr>
                <w:rFonts w:ascii="Tahoma" w:hAnsi="Tahoma" w:cs="Tahoma"/>
                <w:i/>
                <w:iCs/>
                <w:sz w:val="18"/>
                <w:szCs w:val="18"/>
              </w:rPr>
              <w:t xml:space="preserve">ignition sets for aircrafts, vehicles and ships </w:t>
            </w:r>
            <w:r>
              <w:rPr>
                <w:rFonts w:ascii="Tahoma" w:hAnsi="Tahoma" w:cs="Tahoma"/>
                <w:iCs/>
                <w:sz w:val="18"/>
                <w:szCs w:val="18"/>
              </w:rPr>
              <w:t xml:space="preserve">(USD </w:t>
            </w:r>
            <w:r>
              <w:rPr>
                <w:rFonts w:ascii="Tahoma" w:hAnsi="Tahoma" w:cs="Tahoma"/>
                <w:iCs/>
                <w:sz w:val="18"/>
                <w:szCs w:val="18"/>
                <w:lang w:val="en-US"/>
              </w:rPr>
              <w:t>126</w:t>
            </w:r>
            <w:r>
              <w:rPr>
                <w:rFonts w:ascii="Tahoma" w:hAnsi="Tahoma" w:cs="Tahoma"/>
                <w:iCs/>
                <w:sz w:val="18"/>
                <w:szCs w:val="18"/>
              </w:rPr>
              <w:t xml:space="preserve"> million), followed by </w:t>
            </w:r>
            <w:r>
              <w:rPr>
                <w:rFonts w:ascii="Tahoma" w:hAnsi="Tahoma" w:cs="Tahoma"/>
                <w:i/>
                <w:sz w:val="18"/>
                <w:szCs w:val="18"/>
              </w:rPr>
              <w:t xml:space="preserve">copper ore and concentrates </w:t>
            </w:r>
            <w:r>
              <w:rPr>
                <w:rFonts w:ascii="Tahoma" w:hAnsi="Tahoma" w:cs="Tahoma"/>
                <w:sz w:val="18"/>
                <w:szCs w:val="18"/>
              </w:rPr>
              <w:t xml:space="preserve">(USD </w:t>
            </w:r>
            <w:r>
              <w:rPr>
                <w:rFonts w:ascii="Tahoma" w:hAnsi="Tahoma" w:cs="Tahoma"/>
                <w:sz w:val="18"/>
                <w:szCs w:val="18"/>
                <w:lang w:val="en-US"/>
              </w:rPr>
              <w:t>95</w:t>
            </w:r>
            <w:r>
              <w:rPr>
                <w:rFonts w:ascii="Tahoma" w:hAnsi="Tahoma" w:cs="Tahoma"/>
                <w:sz w:val="18"/>
                <w:szCs w:val="18"/>
              </w:rPr>
              <w:t xml:space="preserve"> million);  </w:t>
            </w:r>
            <w:r>
              <w:rPr>
                <w:rFonts w:ascii="Tahoma" w:hAnsi="Tahoma" w:cs="Tahoma"/>
                <w:i/>
                <w:iCs/>
                <w:sz w:val="18"/>
                <w:szCs w:val="18"/>
                <w:lang w:val="en-US"/>
              </w:rPr>
              <w:t xml:space="preserve">electricity </w:t>
            </w:r>
            <w:r>
              <w:rPr>
                <w:rFonts w:ascii="Tahoma" w:hAnsi="Tahoma" w:cs="Tahoma"/>
                <w:sz w:val="18"/>
                <w:szCs w:val="18"/>
              </w:rPr>
              <w:t>(USD 8</w:t>
            </w:r>
            <w:r>
              <w:rPr>
                <w:rFonts w:ascii="Tahoma" w:hAnsi="Tahoma" w:cs="Tahoma"/>
                <w:sz w:val="18"/>
                <w:szCs w:val="18"/>
                <w:lang w:val="en-US"/>
              </w:rPr>
              <w:t>1</w:t>
            </w:r>
            <w:r>
              <w:rPr>
                <w:rFonts w:ascii="Tahoma" w:hAnsi="Tahoma" w:cs="Tahoma"/>
                <w:sz w:val="18"/>
                <w:szCs w:val="18"/>
              </w:rPr>
              <w:t xml:space="preserve"> million) w</w:t>
            </w:r>
            <w:r>
              <w:rPr>
                <w:rFonts w:ascii="Tahoma" w:hAnsi="Tahoma" w:cs="Tahoma"/>
                <w:sz w:val="18"/>
                <w:szCs w:val="18"/>
                <w:lang w:val="en-US"/>
              </w:rPr>
              <w:t>as</w:t>
            </w:r>
            <w:r>
              <w:rPr>
                <w:rFonts w:ascii="Tahoma" w:hAnsi="Tahoma" w:cs="Tahoma"/>
                <w:sz w:val="18"/>
                <w:szCs w:val="18"/>
              </w:rPr>
              <w:t xml:space="preserve"> on the third place, followed by </w:t>
            </w:r>
            <w:r>
              <w:rPr>
                <w:rFonts w:ascii="Tahoma" w:hAnsi="Tahoma" w:cs="Tahoma"/>
                <w:i/>
                <w:iCs/>
                <w:sz w:val="18"/>
                <w:szCs w:val="18"/>
                <w:lang w:val="en-US"/>
              </w:rPr>
              <w:t xml:space="preserve">refined cooper </w:t>
            </w:r>
            <w:r>
              <w:rPr>
                <w:rFonts w:ascii="Tahoma" w:hAnsi="Tahoma" w:cs="Tahoma"/>
                <w:sz w:val="18"/>
                <w:szCs w:val="18"/>
              </w:rPr>
              <w:t>(USD</w:t>
            </w:r>
            <w:r>
              <w:rPr>
                <w:rFonts w:ascii="Tahoma" w:hAnsi="Tahoma" w:cs="Tahoma"/>
                <w:sz w:val="18"/>
                <w:szCs w:val="18"/>
                <w:lang w:val="en-US"/>
              </w:rPr>
              <w:t>72</w:t>
            </w:r>
            <w:r>
              <w:rPr>
                <w:rFonts w:ascii="Tahoma" w:hAnsi="Tahoma" w:cs="Tahoma"/>
                <w:sz w:val="18"/>
                <w:szCs w:val="18"/>
              </w:rPr>
              <w:t xml:space="preserve"> million).</w:t>
            </w:r>
            <w:r>
              <w:rPr>
                <w:rFonts w:ascii="Tahoma" w:hAnsi="Tahoma" w:cs="Tahoma"/>
                <w:i/>
                <w:iCs/>
                <w:sz w:val="18"/>
                <w:szCs w:val="18"/>
              </w:rPr>
              <w:t xml:space="preserve"> </w:t>
            </w:r>
            <w:r>
              <w:rPr>
                <w:rFonts w:ascii="Tahoma" w:hAnsi="Tahoma" w:cs="Tahoma"/>
                <w:i/>
                <w:iCs/>
                <w:sz w:val="18"/>
                <w:szCs w:val="18"/>
                <w:lang w:val="en-US"/>
              </w:rPr>
              <w:t>Parts and accessories of motor vehicles</w:t>
            </w:r>
            <w:r>
              <w:rPr>
                <w:rFonts w:ascii="Tahoma" w:hAnsi="Tahoma" w:cs="Tahoma"/>
                <w:i/>
                <w:iCs/>
                <w:sz w:val="18"/>
                <w:szCs w:val="18"/>
              </w:rPr>
              <w:t xml:space="preserve"> </w:t>
            </w:r>
            <w:r>
              <w:rPr>
                <w:rFonts w:ascii="Tahoma" w:hAnsi="Tahoma" w:cs="Tahoma"/>
                <w:sz w:val="18"/>
                <w:szCs w:val="18"/>
              </w:rPr>
              <w:t xml:space="preserve">were the last items on the list, with the value of USD </w:t>
            </w:r>
            <w:r>
              <w:rPr>
                <w:rFonts w:ascii="Tahoma" w:hAnsi="Tahoma" w:cs="Tahoma"/>
                <w:sz w:val="18"/>
                <w:szCs w:val="18"/>
                <w:lang w:val="en-US"/>
              </w:rPr>
              <w:t>44</w:t>
            </w:r>
            <w:r>
              <w:rPr>
                <w:rFonts w:ascii="Tahoma" w:hAnsi="Tahoma" w:cs="Tahoma"/>
                <w:sz w:val="18"/>
                <w:szCs w:val="18"/>
              </w:rPr>
              <w:t xml:space="preserve"> million.</w:t>
            </w:r>
          </w:p>
          <w:p w:rsidR="000C3DAA" w:rsidRDefault="000C3DAA">
            <w:pPr>
              <w:widowControl w:val="0"/>
              <w:tabs>
                <w:tab w:val="center" w:pos="0"/>
              </w:tabs>
              <w:jc w:val="both"/>
              <w:rPr>
                <w:rFonts w:ascii="Tahoma" w:hAnsi="Tahoma" w:cs="Tahoma"/>
                <w:b/>
                <w:sz w:val="18"/>
                <w:szCs w:val="18"/>
              </w:rPr>
            </w:pPr>
          </w:p>
          <w:p w:rsidR="000C3DAA" w:rsidRDefault="001E7893">
            <w:pPr>
              <w:widowControl w:val="0"/>
              <w:tabs>
                <w:tab w:val="center" w:pos="0"/>
              </w:tabs>
              <w:jc w:val="both"/>
              <w:rPr>
                <w:rFonts w:ascii="Tahoma" w:hAnsi="Tahoma" w:cs="Tahoma"/>
                <w:i/>
                <w:sz w:val="18"/>
                <w:szCs w:val="18"/>
              </w:rPr>
            </w:pPr>
            <w:r>
              <w:rPr>
                <w:rFonts w:ascii="Tahoma" w:hAnsi="Tahoma" w:cs="Tahoma"/>
                <w:b/>
                <w:sz w:val="18"/>
                <w:szCs w:val="18"/>
                <w:lang w:val="en-US"/>
              </w:rPr>
              <w:t>August</w:t>
            </w:r>
            <w:r>
              <w:rPr>
                <w:rFonts w:ascii="Tahoma" w:hAnsi="Tahoma" w:cs="Tahoma"/>
                <w:b/>
                <w:sz w:val="18"/>
                <w:szCs w:val="18"/>
              </w:rPr>
              <w:t xml:space="preserve"> </w:t>
            </w:r>
            <w:r>
              <w:rPr>
                <w:rFonts w:ascii="Tahoma" w:hAnsi="Tahoma" w:cs="Tahoma"/>
                <w:sz w:val="18"/>
                <w:szCs w:val="18"/>
              </w:rPr>
              <w:t xml:space="preserve">list of the first 5 </w:t>
            </w:r>
            <w:r>
              <w:rPr>
                <w:rFonts w:ascii="Tahoma" w:hAnsi="Tahoma" w:cs="Tahoma"/>
                <w:b/>
                <w:sz w:val="18"/>
                <w:szCs w:val="18"/>
              </w:rPr>
              <w:t>imported</w:t>
            </w:r>
            <w:r>
              <w:rPr>
                <w:rFonts w:ascii="Tahoma" w:hAnsi="Tahoma" w:cs="Tahoma"/>
                <w:sz w:val="18"/>
                <w:szCs w:val="18"/>
              </w:rPr>
              <w:t xml:space="preserve"> products shows that </w:t>
            </w:r>
            <w:r>
              <w:rPr>
                <w:rFonts w:ascii="Tahoma" w:hAnsi="Tahoma" w:cs="Tahoma"/>
                <w:i/>
                <w:iCs/>
                <w:sz w:val="18"/>
                <w:szCs w:val="18"/>
              </w:rPr>
              <w:t>crude oil</w:t>
            </w:r>
            <w:r>
              <w:rPr>
                <w:rFonts w:ascii="Tahoma" w:hAnsi="Tahoma" w:cs="Tahoma"/>
                <w:i/>
                <w:sz w:val="18"/>
                <w:szCs w:val="18"/>
              </w:rPr>
              <w:t xml:space="preserve"> </w:t>
            </w:r>
            <w:r>
              <w:rPr>
                <w:rFonts w:ascii="Tahoma" w:hAnsi="Tahoma" w:cs="Tahoma"/>
                <w:sz w:val="18"/>
                <w:szCs w:val="18"/>
              </w:rPr>
              <w:t xml:space="preserve">with the value of USD </w:t>
            </w:r>
            <w:r>
              <w:rPr>
                <w:rFonts w:ascii="Tahoma" w:hAnsi="Tahoma" w:cs="Tahoma"/>
                <w:sz w:val="18"/>
                <w:szCs w:val="18"/>
                <w:lang w:val="en-US"/>
              </w:rPr>
              <w:t>161</w:t>
            </w:r>
            <w:r>
              <w:rPr>
                <w:rFonts w:ascii="Tahoma" w:hAnsi="Tahoma" w:cs="Tahoma"/>
                <w:sz w:val="18"/>
                <w:szCs w:val="18"/>
              </w:rPr>
              <w:t xml:space="preserve"> million is the first imported product, followed by </w:t>
            </w:r>
            <w:r>
              <w:rPr>
                <w:rFonts w:ascii="Tahoma" w:hAnsi="Tahoma" w:cs="Tahoma"/>
                <w:i/>
                <w:sz w:val="18"/>
                <w:szCs w:val="18"/>
                <w:lang w:val="en-US"/>
              </w:rPr>
              <w:t>retail trade medicaments</w:t>
            </w:r>
            <w:r>
              <w:rPr>
                <w:rFonts w:ascii="Tahoma" w:hAnsi="Tahoma" w:cs="Tahoma"/>
                <w:i/>
                <w:sz w:val="18"/>
                <w:szCs w:val="18"/>
              </w:rPr>
              <w:t xml:space="preserve"> </w:t>
            </w:r>
            <w:r>
              <w:rPr>
                <w:rFonts w:ascii="Tahoma" w:hAnsi="Tahoma" w:cs="Tahoma"/>
                <w:sz w:val="18"/>
                <w:szCs w:val="18"/>
              </w:rPr>
              <w:t>(USD 10</w:t>
            </w:r>
            <w:r>
              <w:rPr>
                <w:rFonts w:ascii="Tahoma" w:hAnsi="Tahoma" w:cs="Tahoma"/>
                <w:sz w:val="18"/>
                <w:szCs w:val="18"/>
                <w:lang w:val="en-US"/>
              </w:rPr>
              <w:t>0</w:t>
            </w:r>
            <w:r>
              <w:rPr>
                <w:rFonts w:ascii="Tahoma" w:hAnsi="Tahoma" w:cs="Tahoma"/>
                <w:sz w:val="18"/>
                <w:szCs w:val="18"/>
              </w:rPr>
              <w:t xml:space="preserve"> million); </w:t>
            </w:r>
            <w:r>
              <w:rPr>
                <w:rFonts w:ascii="Tahoma" w:hAnsi="Tahoma" w:cs="Tahoma"/>
                <w:i/>
                <w:iCs/>
                <w:sz w:val="18"/>
                <w:szCs w:val="18"/>
                <w:lang w:val="en-US"/>
              </w:rPr>
              <w:t>e</w:t>
            </w:r>
            <w:r>
              <w:rPr>
                <w:rFonts w:ascii="Tahoma" w:hAnsi="Tahoma" w:cs="Tahoma"/>
                <w:i/>
                <w:iCs/>
                <w:sz w:val="18"/>
                <w:szCs w:val="18"/>
                <w:lang w:val="en-US"/>
              </w:rPr>
              <w:t>lectricity</w:t>
            </w:r>
            <w:r>
              <w:rPr>
                <w:rFonts w:ascii="Tahoma" w:hAnsi="Tahoma" w:cs="Tahoma"/>
                <w:sz w:val="18"/>
                <w:szCs w:val="18"/>
              </w:rPr>
              <w:t xml:space="preserve"> (USD </w:t>
            </w:r>
            <w:r>
              <w:rPr>
                <w:rFonts w:ascii="Tahoma" w:hAnsi="Tahoma" w:cs="Tahoma"/>
                <w:sz w:val="18"/>
                <w:szCs w:val="18"/>
                <w:lang w:val="en-US"/>
              </w:rPr>
              <w:t>4</w:t>
            </w:r>
            <w:r>
              <w:rPr>
                <w:rFonts w:ascii="Tahoma" w:hAnsi="Tahoma" w:cs="Tahoma"/>
                <w:sz w:val="18"/>
                <w:szCs w:val="18"/>
              </w:rPr>
              <w:t xml:space="preserve">9 million) was on the third place, followed by </w:t>
            </w:r>
            <w:r>
              <w:rPr>
                <w:rFonts w:ascii="Tahoma" w:hAnsi="Tahoma" w:cs="Tahoma"/>
                <w:i/>
                <w:sz w:val="18"/>
                <w:szCs w:val="18"/>
                <w:lang w:val="en-US"/>
              </w:rPr>
              <w:t>natural gas</w:t>
            </w:r>
            <w:r>
              <w:rPr>
                <w:rFonts w:ascii="Tahoma" w:hAnsi="Tahoma" w:cs="Tahoma"/>
                <w:sz w:val="18"/>
                <w:szCs w:val="18"/>
              </w:rPr>
              <w:t xml:space="preserve"> (USD </w:t>
            </w:r>
            <w:r>
              <w:rPr>
                <w:rFonts w:ascii="Tahoma" w:hAnsi="Tahoma" w:cs="Tahoma"/>
                <w:sz w:val="18"/>
                <w:szCs w:val="18"/>
                <w:lang w:val="en-US"/>
              </w:rPr>
              <w:t xml:space="preserve">46 </w:t>
            </w:r>
            <w:r>
              <w:rPr>
                <w:rFonts w:ascii="Tahoma" w:hAnsi="Tahoma" w:cs="Tahoma"/>
                <w:sz w:val="18"/>
                <w:szCs w:val="18"/>
              </w:rPr>
              <w:t>million). The last item on the list related to import of</w:t>
            </w:r>
            <w:r>
              <w:rPr>
                <w:rFonts w:ascii="Tahoma" w:hAnsi="Tahoma" w:cs="Tahoma"/>
                <w:i/>
                <w:iCs/>
                <w:sz w:val="18"/>
                <w:szCs w:val="18"/>
              </w:rPr>
              <w:t xml:space="preserve"> </w:t>
            </w:r>
            <w:r>
              <w:rPr>
                <w:rFonts w:ascii="Tahoma" w:hAnsi="Tahoma" w:cs="Tahoma"/>
                <w:i/>
                <w:iCs/>
                <w:sz w:val="18"/>
                <w:szCs w:val="18"/>
                <w:lang w:val="en-US"/>
              </w:rPr>
              <w:t xml:space="preserve">other conductors, for a voltage </w:t>
            </w:r>
            <w:r>
              <w:rPr>
                <w:rFonts w:ascii="Arial" w:hAnsi="Arial" w:cs="Arial"/>
                <w:i/>
                <w:iCs/>
                <w:sz w:val="18"/>
                <w:szCs w:val="18"/>
                <w:lang w:val="en-US"/>
              </w:rPr>
              <w:t>≤</w:t>
            </w:r>
            <w:r>
              <w:rPr>
                <w:rFonts w:ascii="Tahoma" w:hAnsi="Tahoma" w:cs="Tahoma"/>
                <w:i/>
                <w:iCs/>
                <w:sz w:val="18"/>
                <w:szCs w:val="18"/>
                <w:lang w:val="en-US"/>
              </w:rPr>
              <w:t>1000 V</w:t>
            </w:r>
            <w:r>
              <w:rPr>
                <w:rFonts w:ascii="Tahoma" w:hAnsi="Tahoma" w:cs="Tahoma"/>
                <w:i/>
                <w:iCs/>
                <w:sz w:val="18"/>
                <w:szCs w:val="18"/>
              </w:rPr>
              <w:t xml:space="preserve"> </w:t>
            </w:r>
            <w:r>
              <w:rPr>
                <w:rFonts w:ascii="Tahoma" w:hAnsi="Tahoma" w:cs="Tahoma"/>
                <w:sz w:val="18"/>
                <w:szCs w:val="18"/>
              </w:rPr>
              <w:t xml:space="preserve">(USD </w:t>
            </w:r>
            <w:r>
              <w:rPr>
                <w:rFonts w:ascii="Tahoma" w:hAnsi="Tahoma" w:cs="Tahoma"/>
                <w:sz w:val="18"/>
                <w:szCs w:val="18"/>
                <w:lang w:val="en-US"/>
              </w:rPr>
              <w:t>29</w:t>
            </w:r>
            <w:r>
              <w:rPr>
                <w:rFonts w:ascii="Tahoma" w:hAnsi="Tahoma" w:cs="Tahoma"/>
                <w:sz w:val="18"/>
                <w:szCs w:val="18"/>
              </w:rPr>
              <w:t xml:space="preserve"> million).</w:t>
            </w:r>
          </w:p>
          <w:p w:rsidR="000C3DAA" w:rsidRDefault="000C3DAA">
            <w:pPr>
              <w:widowControl w:val="0"/>
              <w:tabs>
                <w:tab w:val="center" w:pos="0"/>
              </w:tabs>
              <w:jc w:val="both"/>
              <w:rPr>
                <w:rFonts w:ascii="Arial" w:hAnsi="Arial" w:cs="Arial"/>
                <w:sz w:val="18"/>
                <w:szCs w:val="18"/>
              </w:rPr>
            </w:pPr>
          </w:p>
          <w:p w:rsidR="000C3DAA" w:rsidRDefault="001E7893">
            <w:pPr>
              <w:widowControl w:val="0"/>
              <w:tabs>
                <w:tab w:val="center" w:pos="0"/>
              </w:tabs>
              <w:jc w:val="both"/>
              <w:rPr>
                <w:rFonts w:ascii="Tahoma" w:hAnsi="Tahoma" w:cs="Tahoma"/>
                <w:sz w:val="18"/>
                <w:szCs w:val="18"/>
              </w:rPr>
            </w:pPr>
            <w:r>
              <w:rPr>
                <w:rFonts w:ascii="Tahoma" w:hAnsi="Tahoma" w:cs="Tahoma"/>
                <w:sz w:val="18"/>
                <w:szCs w:val="18"/>
              </w:rPr>
              <w:t xml:space="preserve">Starting from 1999 the Statistical Office of the </w:t>
            </w:r>
            <w:r>
              <w:rPr>
                <w:rFonts w:ascii="Tahoma" w:hAnsi="Tahoma" w:cs="Tahoma"/>
                <w:sz w:val="18"/>
                <w:szCs w:val="18"/>
              </w:rPr>
              <w:t>Republic of Serbia has not at disposal and may not provide available certain data relative to AP Kosovo and Metohija, and therefore these data are not included in the coverage for the Republic of Serbia (total).</w:t>
            </w:r>
          </w:p>
          <w:p w:rsidR="000C3DAA" w:rsidRDefault="000C3DAA">
            <w:pPr>
              <w:widowControl w:val="0"/>
              <w:tabs>
                <w:tab w:val="center" w:pos="0"/>
              </w:tabs>
              <w:jc w:val="both"/>
              <w:rPr>
                <w:rFonts w:ascii="Tahoma" w:hAnsi="Tahoma" w:cs="Tahoma"/>
                <w:i/>
                <w:sz w:val="18"/>
                <w:szCs w:val="18"/>
              </w:rPr>
            </w:pPr>
          </w:p>
          <w:p w:rsidR="000C3DAA" w:rsidRDefault="000C3DAA">
            <w:pPr>
              <w:widowControl w:val="0"/>
              <w:tabs>
                <w:tab w:val="center" w:pos="0"/>
              </w:tabs>
              <w:jc w:val="both"/>
              <w:rPr>
                <w:rFonts w:ascii="Tahoma" w:hAnsi="Tahoma" w:cs="Tahoma"/>
                <w:i/>
                <w:color w:val="FF0000"/>
                <w:sz w:val="18"/>
                <w:szCs w:val="18"/>
              </w:rPr>
            </w:pPr>
          </w:p>
          <w:p w:rsidR="000C3DAA" w:rsidRDefault="000C3DAA">
            <w:pPr>
              <w:widowControl w:val="0"/>
              <w:tabs>
                <w:tab w:val="center" w:pos="0"/>
              </w:tabs>
              <w:jc w:val="both"/>
              <w:rPr>
                <w:rFonts w:ascii="Arial" w:hAnsi="Arial" w:cs="Arial"/>
                <w:i/>
                <w:color w:val="FF0000"/>
                <w:sz w:val="18"/>
                <w:szCs w:val="18"/>
              </w:rPr>
            </w:pPr>
          </w:p>
          <w:p w:rsidR="000C3DAA" w:rsidRDefault="000C3DAA">
            <w:pPr>
              <w:widowControl w:val="0"/>
              <w:tabs>
                <w:tab w:val="center" w:pos="0"/>
              </w:tabs>
              <w:jc w:val="both"/>
              <w:rPr>
                <w:rFonts w:ascii="Tahoma" w:hAnsi="Tahoma" w:cs="Tahoma"/>
                <w:sz w:val="18"/>
                <w:szCs w:val="18"/>
              </w:rPr>
            </w:pPr>
          </w:p>
          <w:tbl>
            <w:tblPr>
              <w:tblW w:w="11268" w:type="dxa"/>
              <w:tblLayout w:type="fixed"/>
              <w:tblLook w:val="04A0" w:firstRow="1" w:lastRow="0" w:firstColumn="1" w:lastColumn="0" w:noHBand="0" w:noVBand="1"/>
            </w:tblPr>
            <w:tblGrid>
              <w:gridCol w:w="5869"/>
              <w:gridCol w:w="5399"/>
            </w:tblGrid>
            <w:tr w:rsidR="000C3DAA">
              <w:tc>
                <w:tcPr>
                  <w:tcW w:w="5868" w:type="dxa"/>
                  <w:shd w:val="clear" w:color="auto" w:fill="auto"/>
                </w:tcPr>
                <w:p w:rsidR="000C3DAA" w:rsidRDefault="001E7893">
                  <w:pPr>
                    <w:widowControl w:val="0"/>
                    <w:jc w:val="both"/>
                    <w:rPr>
                      <w:rFonts w:ascii="Tahoma" w:hAnsi="Tahoma" w:cs="Tahoma"/>
                      <w:color w:val="808080"/>
                      <w:sz w:val="20"/>
                      <w:szCs w:val="20"/>
                    </w:rPr>
                  </w:pPr>
                  <w:r>
                    <w:rPr>
                      <w:rFonts w:ascii="Tahoma" w:hAnsi="Tahoma" w:cs="Tahoma"/>
                      <w:color w:val="808080"/>
                      <w:sz w:val="20"/>
                      <w:szCs w:val="20"/>
                    </w:rPr>
                    <w:t>Contact person:</w:t>
                  </w:r>
                </w:p>
                <w:p w:rsidR="000C3DAA" w:rsidRDefault="001E7893">
                  <w:pPr>
                    <w:widowControl w:val="0"/>
                    <w:rPr>
                      <w:rFonts w:ascii="Tahoma" w:hAnsi="Tahoma" w:cs="Tahoma"/>
                      <w:sz w:val="20"/>
                      <w:szCs w:val="20"/>
                    </w:rPr>
                  </w:pPr>
                  <w:r>
                    <w:rPr>
                      <w:rFonts w:ascii="Tahoma" w:hAnsi="Tahoma" w:cs="Tahoma"/>
                      <w:sz w:val="20"/>
                      <w:szCs w:val="20"/>
                    </w:rPr>
                    <w:t>Jasmina Crnomarković</w:t>
                  </w:r>
                </w:p>
                <w:p w:rsidR="000C3DAA" w:rsidRDefault="001E7893">
                  <w:pPr>
                    <w:widowControl w:val="0"/>
                    <w:rPr>
                      <w:rFonts w:ascii="Tahoma" w:hAnsi="Tahoma" w:cs="Tahoma"/>
                      <w:sz w:val="20"/>
                      <w:szCs w:val="20"/>
                    </w:rPr>
                  </w:pPr>
                  <w:r>
                    <w:rPr>
                      <w:rFonts w:ascii="Tahoma" w:hAnsi="Tahoma" w:cs="Tahoma"/>
                      <w:sz w:val="20"/>
                      <w:szCs w:val="20"/>
                    </w:rPr>
                    <w:t>Sec</w:t>
                  </w:r>
                  <w:r>
                    <w:rPr>
                      <w:rFonts w:ascii="Tahoma" w:hAnsi="Tahoma" w:cs="Tahoma"/>
                      <w:sz w:val="20"/>
                      <w:szCs w:val="20"/>
                    </w:rPr>
                    <w:t>tion of external trade statistics</w:t>
                  </w:r>
                </w:p>
                <w:p w:rsidR="000C3DAA" w:rsidRDefault="001E7893">
                  <w:pPr>
                    <w:widowControl w:val="0"/>
                    <w:rPr>
                      <w:rFonts w:ascii="Tahoma" w:hAnsi="Tahoma" w:cs="Tahoma"/>
                      <w:sz w:val="20"/>
                      <w:szCs w:val="20"/>
                    </w:rPr>
                  </w:pPr>
                  <w:r>
                    <w:rPr>
                      <w:rFonts w:ascii="Tahoma" w:hAnsi="Tahoma" w:cs="Tahoma"/>
                      <w:sz w:val="20"/>
                      <w:szCs w:val="20"/>
                    </w:rPr>
                    <w:t>Phone: 2412 922, Ext. 353</w:t>
                  </w:r>
                </w:p>
                <w:p w:rsidR="000C3DAA" w:rsidRDefault="000C3DAA">
                  <w:pPr>
                    <w:widowControl w:val="0"/>
                    <w:jc w:val="both"/>
                    <w:rPr>
                      <w:rFonts w:ascii="Tahoma" w:hAnsi="Tahoma" w:cs="Tahoma"/>
                      <w:color w:val="808080"/>
                      <w:sz w:val="20"/>
                      <w:szCs w:val="20"/>
                    </w:rPr>
                  </w:pPr>
                </w:p>
                <w:p w:rsidR="000C3DAA" w:rsidRDefault="001E7893">
                  <w:pPr>
                    <w:widowControl w:val="0"/>
                    <w:jc w:val="both"/>
                    <w:rPr>
                      <w:rFonts w:ascii="Tahoma" w:hAnsi="Tahoma" w:cs="Tahoma"/>
                      <w:color w:val="808080"/>
                      <w:sz w:val="20"/>
                      <w:szCs w:val="20"/>
                    </w:rPr>
                  </w:pPr>
                  <w:r>
                    <w:rPr>
                      <w:rFonts w:ascii="Tahoma" w:hAnsi="Tahoma" w:cs="Tahoma"/>
                      <w:color w:val="808080"/>
                      <w:sz w:val="20"/>
                      <w:szCs w:val="20"/>
                    </w:rPr>
                    <w:t>Information and Dissemination Unit</w:t>
                  </w:r>
                </w:p>
                <w:p w:rsidR="000C3DAA" w:rsidRDefault="001E7893">
                  <w:pPr>
                    <w:widowControl w:val="0"/>
                    <w:jc w:val="both"/>
                    <w:rPr>
                      <w:rFonts w:ascii="Tahoma" w:hAnsi="Tahoma" w:cs="Tahoma"/>
                      <w:color w:val="808080"/>
                      <w:sz w:val="20"/>
                      <w:szCs w:val="20"/>
                    </w:rPr>
                  </w:pPr>
                  <w:r>
                    <w:rPr>
                      <w:rFonts w:ascii="Tahoma" w:hAnsi="Tahoma" w:cs="Tahoma"/>
                      <w:color w:val="808080"/>
                      <w:sz w:val="20"/>
                      <w:szCs w:val="20"/>
                    </w:rPr>
                    <w:t>Phone: +381 11 2401-284</w:t>
                  </w:r>
                </w:p>
                <w:p w:rsidR="000C3DAA" w:rsidRDefault="001E7893">
                  <w:pPr>
                    <w:widowControl w:val="0"/>
                    <w:jc w:val="both"/>
                    <w:rPr>
                      <w:rFonts w:ascii="Tahoma" w:hAnsi="Tahoma" w:cs="Tahoma"/>
                      <w:sz w:val="20"/>
                      <w:szCs w:val="20"/>
                    </w:rPr>
                  </w:pPr>
                  <w:r>
                    <w:rPr>
                      <w:rFonts w:ascii="Tahoma" w:hAnsi="Tahoma" w:cs="Tahoma"/>
                      <w:color w:val="808080"/>
                      <w:sz w:val="20"/>
                      <w:szCs w:val="20"/>
                    </w:rPr>
                    <w:t>stat@stat.gov.rs</w:t>
                  </w:r>
                </w:p>
                <w:p w:rsidR="000C3DAA" w:rsidRDefault="000C3DAA">
                  <w:pPr>
                    <w:widowControl w:val="0"/>
                    <w:jc w:val="both"/>
                    <w:rPr>
                      <w:rFonts w:ascii="Tahoma" w:hAnsi="Tahoma" w:cs="Tahoma"/>
                      <w:sz w:val="22"/>
                      <w:szCs w:val="22"/>
                    </w:rPr>
                  </w:pPr>
                </w:p>
              </w:tc>
              <w:tc>
                <w:tcPr>
                  <w:tcW w:w="5399" w:type="dxa"/>
                  <w:shd w:val="clear" w:color="auto" w:fill="auto"/>
                </w:tcPr>
                <w:p w:rsidR="000C3DAA" w:rsidRDefault="001E7893">
                  <w:pPr>
                    <w:widowControl w:val="0"/>
                    <w:rPr>
                      <w:rFonts w:ascii="Tahoma" w:hAnsi="Tahoma" w:cs="Tahoma"/>
                      <w:sz w:val="20"/>
                      <w:szCs w:val="20"/>
                    </w:rPr>
                  </w:pPr>
                  <w:r>
                    <w:rPr>
                      <w:rFonts w:ascii="Tahoma" w:hAnsi="Tahoma" w:cs="Tahoma"/>
                      <w:sz w:val="20"/>
                      <w:szCs w:val="20"/>
                    </w:rPr>
                    <w:t>Director,</w:t>
                  </w:r>
                </w:p>
                <w:p w:rsidR="000C3DAA" w:rsidRDefault="001E7893">
                  <w:pPr>
                    <w:widowControl w:val="0"/>
                    <w:jc w:val="both"/>
                    <w:rPr>
                      <w:rFonts w:ascii="Tahoma" w:hAnsi="Tahoma" w:cs="Tahoma"/>
                      <w:color w:val="808080"/>
                      <w:sz w:val="20"/>
                      <w:szCs w:val="20"/>
                    </w:rPr>
                  </w:pPr>
                  <w:r>
                    <w:rPr>
                      <w:rFonts w:ascii="Tahoma" w:hAnsi="Tahoma" w:cs="Tahoma"/>
                      <w:sz w:val="20"/>
                      <w:szCs w:val="20"/>
                    </w:rPr>
                    <w:t>Dr Miladin Kovačević</w:t>
                  </w:r>
                </w:p>
                <w:p w:rsidR="000C3DAA" w:rsidRDefault="000C3DAA">
                  <w:pPr>
                    <w:widowControl w:val="0"/>
                    <w:jc w:val="both"/>
                    <w:rPr>
                      <w:rFonts w:ascii="Tahoma" w:hAnsi="Tahoma" w:cs="Tahoma"/>
                      <w:sz w:val="20"/>
                      <w:szCs w:val="20"/>
                    </w:rPr>
                  </w:pPr>
                </w:p>
              </w:tc>
            </w:tr>
          </w:tbl>
          <w:p w:rsidR="000C3DAA" w:rsidRDefault="000C3DAA">
            <w:pPr>
              <w:widowControl w:val="0"/>
              <w:tabs>
                <w:tab w:val="center" w:pos="0"/>
              </w:tabs>
              <w:jc w:val="both"/>
              <w:rPr>
                <w:rFonts w:ascii="Tahoma" w:hAnsi="Tahoma" w:cs="Tahoma"/>
                <w:color w:val="000000"/>
                <w:sz w:val="20"/>
                <w:szCs w:val="20"/>
              </w:rPr>
            </w:pPr>
          </w:p>
        </w:tc>
      </w:tr>
      <w:tr w:rsidR="000C3DAA">
        <w:tc>
          <w:tcPr>
            <w:tcW w:w="9468" w:type="dxa"/>
            <w:tcBorders>
              <w:top w:val="single" w:sz="4" w:space="0" w:color="000000"/>
            </w:tcBorders>
            <w:shd w:val="clear" w:color="auto" w:fill="auto"/>
          </w:tcPr>
          <w:p w:rsidR="000C3DAA" w:rsidRDefault="000C3DAA">
            <w:pPr>
              <w:widowControl w:val="0"/>
              <w:jc w:val="right"/>
              <w:rPr>
                <w:rFonts w:ascii="Tahoma" w:hAnsi="Tahoma" w:cs="Tahoma"/>
                <w:sz w:val="22"/>
                <w:szCs w:val="22"/>
              </w:rPr>
            </w:pPr>
          </w:p>
        </w:tc>
      </w:tr>
    </w:tbl>
    <w:p w:rsidR="000C3DAA" w:rsidRDefault="000C3DAA"/>
    <w:p w:rsidR="000C3DAA" w:rsidRDefault="000C3DAA"/>
    <w:sectPr w:rsidR="000C3DAA">
      <w:headerReference w:type="default" r:id="rId6"/>
      <w:footerReference w:type="default" r:id="rId7"/>
      <w:headerReference w:type="first" r:id="rId8"/>
      <w:pgSz w:w="12240" w:h="15840"/>
      <w:pgMar w:top="1440" w:right="1440" w:bottom="1440" w:left="1440" w:header="432" w:footer="432" w:gutter="0"/>
      <w:cols w:space="720"/>
      <w:formProt w:val="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7893">
      <w:r>
        <w:separator/>
      </w:r>
    </w:p>
  </w:endnote>
  <w:endnote w:type="continuationSeparator" w:id="0">
    <w:p w:rsidR="00000000" w:rsidRDefault="001E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charset w:val="00"/>
    <w:family w:val="auto"/>
    <w:pitch w:val="default"/>
    <w:sig w:usb0="E4839EFF" w:usb1="4600FDFF" w:usb2="000030A0" w:usb3="00000584" w:csb0="600001BF" w:csb1="DFF70000"/>
  </w:font>
  <w:font w:name="Liberation Sans">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Arial">
    <w:panose1 w:val="020B0604020202020204"/>
    <w:charset w:val="00"/>
    <w:family w:val="swiss"/>
    <w:pitch w:val="variable"/>
    <w:sig w:usb0="E0002EFF" w:usb1="C000785B" w:usb2="00000009" w:usb3="00000000" w:csb0="000001FF" w:csb1="00000000"/>
  </w:font>
  <w:font w:name="Verdana">
    <w:altName w:val="Libre Franklin ExtraLight"/>
    <w:panose1 w:val="020B0604030504040204"/>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Layout w:type="fixed"/>
      <w:tblLook w:val="04A0" w:firstRow="1" w:lastRow="0" w:firstColumn="1" w:lastColumn="0" w:noHBand="0" w:noVBand="1"/>
    </w:tblPr>
    <w:tblGrid>
      <w:gridCol w:w="4500"/>
      <w:gridCol w:w="5076"/>
    </w:tblGrid>
    <w:tr w:rsidR="000C3DAA">
      <w:tc>
        <w:tcPr>
          <w:tcW w:w="4500" w:type="dxa"/>
          <w:shd w:val="clear" w:color="auto" w:fill="auto"/>
        </w:tcPr>
        <w:p w:rsidR="000C3DAA" w:rsidRDefault="000C3DAA">
          <w:pPr>
            <w:widowControl w:val="0"/>
            <w:rPr>
              <w:rFonts w:ascii="Tahoma" w:hAnsi="Tahoma" w:cs="Tahoma"/>
              <w:color w:val="333333"/>
              <w:sz w:val="22"/>
              <w:szCs w:val="22"/>
            </w:rPr>
          </w:pPr>
        </w:p>
      </w:tc>
      <w:tc>
        <w:tcPr>
          <w:tcW w:w="5075" w:type="dxa"/>
          <w:shd w:val="clear" w:color="auto" w:fill="auto"/>
        </w:tcPr>
        <w:p w:rsidR="000C3DAA" w:rsidRDefault="000C3DAA">
          <w:pPr>
            <w:widowControl w:val="0"/>
            <w:rPr>
              <w:rFonts w:ascii="Tahoma" w:hAnsi="Tahoma" w:cs="Tahoma"/>
              <w:color w:val="333333"/>
              <w:sz w:val="22"/>
              <w:szCs w:val="22"/>
              <w:lang w:val="zh-CN"/>
            </w:rPr>
          </w:pPr>
        </w:p>
      </w:tc>
    </w:tr>
    <w:tr w:rsidR="000C3DAA">
      <w:tc>
        <w:tcPr>
          <w:tcW w:w="4500" w:type="dxa"/>
          <w:shd w:val="clear" w:color="auto" w:fill="auto"/>
        </w:tcPr>
        <w:p w:rsidR="000C3DAA" w:rsidRDefault="000C3DAA">
          <w:pPr>
            <w:widowControl w:val="0"/>
            <w:jc w:val="both"/>
            <w:rPr>
              <w:rFonts w:ascii="Tahoma" w:hAnsi="Tahoma" w:cs="Tahoma"/>
              <w:sz w:val="22"/>
              <w:szCs w:val="22"/>
            </w:rPr>
          </w:pPr>
        </w:p>
      </w:tc>
      <w:tc>
        <w:tcPr>
          <w:tcW w:w="5075" w:type="dxa"/>
          <w:shd w:val="clear" w:color="auto" w:fill="auto"/>
        </w:tcPr>
        <w:p w:rsidR="000C3DAA" w:rsidRDefault="000C3DAA">
          <w:pPr>
            <w:widowControl w:val="0"/>
            <w:ind w:left="972"/>
            <w:jc w:val="both"/>
            <w:rPr>
              <w:rFonts w:ascii="Tahoma" w:hAnsi="Tahoma" w:cs="Tahoma"/>
              <w:sz w:val="20"/>
              <w:szCs w:val="20"/>
            </w:rPr>
          </w:pPr>
        </w:p>
      </w:tc>
    </w:tr>
  </w:tbl>
  <w:p w:rsidR="000C3DAA" w:rsidRDefault="000C3DAA">
    <w:pPr>
      <w:pStyle w:val="Footer"/>
      <w:rPr>
        <w:lang w:val="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AA" w:rsidRDefault="001E7893">
      <w:r>
        <w:separator/>
      </w:r>
    </w:p>
  </w:footnote>
  <w:footnote w:type="continuationSeparator" w:id="0">
    <w:p w:rsidR="000C3DAA" w:rsidRDefault="001E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6" w:type="dxa"/>
      <w:tblLayout w:type="fixed"/>
      <w:tblLook w:val="04A0" w:firstRow="1" w:lastRow="0" w:firstColumn="1" w:lastColumn="0" w:noHBand="0" w:noVBand="1"/>
    </w:tblPr>
    <w:tblGrid>
      <w:gridCol w:w="3707"/>
      <w:gridCol w:w="6589"/>
    </w:tblGrid>
    <w:tr w:rsidR="000C3DAA">
      <w:tc>
        <w:tcPr>
          <w:tcW w:w="3707" w:type="dxa"/>
          <w:shd w:val="clear" w:color="auto" w:fill="auto"/>
        </w:tcPr>
        <w:p w:rsidR="000C3DAA" w:rsidRDefault="000C3DAA">
          <w:pPr>
            <w:pStyle w:val="Header"/>
            <w:widowControl w:val="0"/>
            <w:rPr>
              <w:rFonts w:ascii="Tahoma" w:hAnsi="Tahoma" w:cs="Tahoma"/>
              <w:sz w:val="20"/>
              <w:szCs w:val="20"/>
              <w:lang w:val="zh-CN"/>
            </w:rPr>
          </w:pPr>
        </w:p>
      </w:tc>
      <w:tc>
        <w:tcPr>
          <w:tcW w:w="6588" w:type="dxa"/>
          <w:shd w:val="clear" w:color="auto" w:fill="auto"/>
        </w:tcPr>
        <w:p w:rsidR="000C3DAA" w:rsidRDefault="000C3DAA">
          <w:pPr>
            <w:pStyle w:val="Header"/>
            <w:widowControl w:val="0"/>
            <w:jc w:val="right"/>
            <w:rPr>
              <w:rFonts w:ascii="Tahoma" w:hAnsi="Tahoma" w:cs="Tahoma"/>
              <w:sz w:val="20"/>
              <w:szCs w:val="20"/>
              <w:lang w:val="zh-CN"/>
            </w:rPr>
          </w:pPr>
        </w:p>
      </w:tc>
    </w:tr>
  </w:tbl>
  <w:p w:rsidR="000C3DAA" w:rsidRDefault="000C3DAA">
    <w:pPr>
      <w:pStyle w:val="Header"/>
      <w:rPr>
        <w:lang w:val="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Layout w:type="fixed"/>
      <w:tblLook w:val="04A0" w:firstRow="1" w:lastRow="0" w:firstColumn="1" w:lastColumn="0" w:noHBand="0" w:noVBand="1"/>
    </w:tblPr>
    <w:tblGrid>
      <w:gridCol w:w="3887"/>
      <w:gridCol w:w="6589"/>
    </w:tblGrid>
    <w:tr w:rsidR="000C3DAA">
      <w:tc>
        <w:tcPr>
          <w:tcW w:w="3887" w:type="dxa"/>
          <w:shd w:val="clear" w:color="auto" w:fill="auto"/>
        </w:tcPr>
        <w:p w:rsidR="000C3DAA" w:rsidRDefault="001E7893">
          <w:pPr>
            <w:pStyle w:val="Header"/>
            <w:widowControl w:val="0"/>
            <w:ind w:right="972"/>
            <w:rPr>
              <w:rFonts w:ascii="Tahoma" w:hAnsi="Tahoma" w:cs="Tahoma"/>
              <w:sz w:val="20"/>
              <w:szCs w:val="20"/>
            </w:rPr>
          </w:pPr>
          <w:r>
            <w:rPr>
              <w:noProof/>
              <w:lang w:val="en-US"/>
            </w:rPr>
            <w:drawing>
              <wp:inline distT="0" distB="0" distL="0" distR="0">
                <wp:extent cx="1569720" cy="708660"/>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ZS"/>
                        <pic:cNvPicPr>
                          <a:picLocks noChangeAspect="1" noChangeArrowheads="1"/>
                        </pic:cNvPicPr>
                      </pic:nvPicPr>
                      <pic:blipFill>
                        <a:blip r:embed="rId1"/>
                        <a:stretch>
                          <a:fillRect/>
                        </a:stretch>
                      </pic:blipFill>
                      <pic:spPr>
                        <a:xfrm>
                          <a:off x="0" y="0"/>
                          <a:ext cx="1569720" cy="708660"/>
                        </a:xfrm>
                        <a:prstGeom prst="rect">
                          <a:avLst/>
                        </a:prstGeom>
                      </pic:spPr>
                    </pic:pic>
                  </a:graphicData>
                </a:graphic>
              </wp:inline>
            </w:drawing>
          </w:r>
          <w:r>
            <w:rPr>
              <w:rFonts w:ascii="Tahoma" w:hAnsi="Tahoma" w:cs="Tahoma"/>
              <w:sz w:val="20"/>
              <w:szCs w:val="20"/>
            </w:rPr>
            <w:t>Republic</w:t>
          </w:r>
          <w:r>
            <w:rPr>
              <w:rFonts w:ascii="Tahoma" w:hAnsi="Tahoma" w:cs="Tahoma"/>
              <w:sz w:val="20"/>
              <w:szCs w:val="20"/>
            </w:rPr>
            <w:t xml:space="preserve"> of Serbia</w:t>
          </w:r>
        </w:p>
        <w:p w:rsidR="000C3DAA" w:rsidRDefault="001E7893">
          <w:pPr>
            <w:pStyle w:val="Header"/>
            <w:widowControl w:val="0"/>
            <w:rPr>
              <w:rFonts w:ascii="Tahoma" w:hAnsi="Tahoma" w:cs="Tahoma"/>
              <w:sz w:val="20"/>
              <w:szCs w:val="20"/>
              <w:lang w:val="zh-CN"/>
            </w:rPr>
          </w:pPr>
          <w:r>
            <w:rPr>
              <w:rFonts w:ascii="Tahoma" w:hAnsi="Tahoma" w:cs="Tahoma"/>
              <w:sz w:val="20"/>
              <w:szCs w:val="20"/>
            </w:rPr>
            <w:t>Statistical Office of the Republic of Serbia</w:t>
          </w:r>
        </w:p>
      </w:tc>
      <w:tc>
        <w:tcPr>
          <w:tcW w:w="6588" w:type="dxa"/>
          <w:shd w:val="clear" w:color="auto" w:fill="auto"/>
        </w:tcPr>
        <w:p w:rsidR="000C3DAA" w:rsidRDefault="001E7893">
          <w:pPr>
            <w:pStyle w:val="Header"/>
            <w:widowControl w:val="0"/>
            <w:jc w:val="right"/>
            <w:rPr>
              <w:rFonts w:ascii="Tahoma" w:hAnsi="Tahoma" w:cs="Tahoma"/>
              <w:sz w:val="32"/>
              <w:szCs w:val="32"/>
            </w:rPr>
          </w:pPr>
          <w:r>
            <w:rPr>
              <w:rFonts w:ascii="Tahoma" w:hAnsi="Tahoma" w:cs="Tahoma"/>
              <w:sz w:val="32"/>
              <w:szCs w:val="32"/>
            </w:rPr>
            <w:t>Press Release</w:t>
          </w:r>
        </w:p>
        <w:p w:rsidR="000C3DAA" w:rsidRDefault="000C3DAA">
          <w:pPr>
            <w:pStyle w:val="Header"/>
            <w:widowControl w:val="0"/>
            <w:jc w:val="right"/>
            <w:rPr>
              <w:rFonts w:ascii="Tahoma" w:hAnsi="Tahoma" w:cs="Tahoma"/>
              <w:lang w:val="zh-CN"/>
            </w:rPr>
          </w:pPr>
        </w:p>
        <w:p w:rsidR="000C3DAA" w:rsidRDefault="001E7893">
          <w:pPr>
            <w:pStyle w:val="Header"/>
            <w:widowControl w:val="0"/>
            <w:jc w:val="right"/>
            <w:rPr>
              <w:rFonts w:ascii="Tahoma" w:hAnsi="Tahoma" w:cs="Tahoma"/>
              <w:sz w:val="20"/>
              <w:szCs w:val="20"/>
              <w:lang w:val="zh-CN"/>
            </w:rPr>
          </w:pPr>
          <w:r>
            <w:rPr>
              <w:rFonts w:ascii="Tahoma" w:hAnsi="Tahoma" w:cs="Tahoma"/>
              <w:sz w:val="20"/>
              <w:szCs w:val="20"/>
            </w:rPr>
            <w:t>Belgrade</w:t>
          </w:r>
          <w:r>
            <w:rPr>
              <w:rFonts w:ascii="Tahoma" w:hAnsi="Tahoma" w:cs="Tahoma"/>
              <w:sz w:val="20"/>
              <w:szCs w:val="20"/>
              <w:lang w:val="zh-CN"/>
            </w:rPr>
            <w:t xml:space="preserve">, </w:t>
          </w:r>
          <w:r>
            <w:rPr>
              <w:rFonts w:ascii="Tahoma" w:hAnsi="Tahoma" w:cs="Tahoma"/>
              <w:sz w:val="20"/>
              <w:szCs w:val="20"/>
            </w:rPr>
            <w:t>Milana Rakica</w:t>
          </w:r>
          <w:r>
            <w:rPr>
              <w:rFonts w:ascii="Tahoma" w:hAnsi="Tahoma" w:cs="Tahoma"/>
              <w:sz w:val="20"/>
              <w:szCs w:val="20"/>
              <w:lang w:val="zh-CN"/>
            </w:rPr>
            <w:t xml:space="preserve"> 5</w:t>
          </w:r>
        </w:p>
        <w:p w:rsidR="000C3DAA" w:rsidRDefault="001E7893">
          <w:pPr>
            <w:pStyle w:val="Header"/>
            <w:widowControl w:val="0"/>
            <w:jc w:val="right"/>
            <w:rPr>
              <w:rFonts w:ascii="Tahoma" w:hAnsi="Tahoma" w:cs="Tahoma"/>
              <w:sz w:val="20"/>
              <w:szCs w:val="20"/>
              <w:lang w:val="zh-CN"/>
            </w:rPr>
          </w:pPr>
          <w:r>
            <w:rPr>
              <w:rFonts w:ascii="Tahoma" w:hAnsi="Tahoma" w:cs="Tahoma"/>
              <w:sz w:val="20"/>
              <w:szCs w:val="20"/>
            </w:rPr>
            <w:t xml:space="preserve">Phone+381 11 </w:t>
          </w:r>
          <w:r>
            <w:rPr>
              <w:rFonts w:ascii="Tahoma" w:hAnsi="Tahoma" w:cs="Tahoma"/>
              <w:sz w:val="20"/>
              <w:szCs w:val="20"/>
              <w:lang w:val="zh-CN"/>
            </w:rPr>
            <w:t>2412-922</w:t>
          </w:r>
        </w:p>
        <w:p w:rsidR="000C3DAA" w:rsidRDefault="001E7893">
          <w:pPr>
            <w:pStyle w:val="Header"/>
            <w:widowControl w:val="0"/>
            <w:jc w:val="right"/>
            <w:rPr>
              <w:rFonts w:ascii="Tahoma" w:hAnsi="Tahoma" w:cs="Tahoma"/>
              <w:sz w:val="20"/>
              <w:szCs w:val="20"/>
              <w:lang w:val="zh-CN"/>
            </w:rPr>
          </w:pPr>
          <w:r>
            <w:rPr>
              <w:rFonts w:ascii="Tahoma" w:hAnsi="Tahoma" w:cs="Tahoma"/>
              <w:sz w:val="20"/>
              <w:szCs w:val="20"/>
            </w:rPr>
            <w:t>www</w:t>
          </w:r>
          <w:r>
            <w:rPr>
              <w:rFonts w:ascii="Tahoma" w:hAnsi="Tahoma" w:cs="Tahoma"/>
              <w:sz w:val="20"/>
              <w:szCs w:val="20"/>
              <w:lang w:val="zh-CN"/>
            </w:rPr>
            <w:t>.</w:t>
          </w:r>
          <w:r>
            <w:rPr>
              <w:rFonts w:ascii="Tahoma" w:hAnsi="Tahoma" w:cs="Tahoma"/>
              <w:sz w:val="20"/>
              <w:szCs w:val="20"/>
            </w:rPr>
            <w:t>stat</w:t>
          </w:r>
          <w:r>
            <w:rPr>
              <w:rFonts w:ascii="Tahoma" w:hAnsi="Tahoma" w:cs="Tahoma"/>
              <w:sz w:val="20"/>
              <w:szCs w:val="20"/>
              <w:lang w:val="zh-CN"/>
            </w:rPr>
            <w:t>.</w:t>
          </w:r>
          <w:r>
            <w:rPr>
              <w:rFonts w:ascii="Tahoma" w:hAnsi="Tahoma" w:cs="Tahoma"/>
              <w:sz w:val="20"/>
              <w:szCs w:val="20"/>
            </w:rPr>
            <w:t>gov</w:t>
          </w:r>
          <w:r>
            <w:rPr>
              <w:rFonts w:ascii="Tahoma" w:hAnsi="Tahoma" w:cs="Tahoma"/>
              <w:sz w:val="20"/>
              <w:szCs w:val="20"/>
              <w:lang w:val="zh-CN"/>
            </w:rPr>
            <w:t>.</w:t>
          </w:r>
          <w:r>
            <w:rPr>
              <w:rFonts w:ascii="Tahoma" w:hAnsi="Tahoma" w:cs="Tahoma"/>
              <w:sz w:val="20"/>
              <w:szCs w:val="20"/>
            </w:rPr>
            <w:t>rs</w:t>
          </w:r>
        </w:p>
        <w:p w:rsidR="000C3DAA" w:rsidRDefault="001E7893">
          <w:pPr>
            <w:pStyle w:val="Header"/>
            <w:widowControl w:val="0"/>
            <w:jc w:val="right"/>
            <w:rPr>
              <w:rFonts w:ascii="Tahoma" w:hAnsi="Tahoma" w:cs="Tahoma"/>
              <w:sz w:val="20"/>
              <w:szCs w:val="20"/>
              <w:lang w:val="zh-CN"/>
            </w:rPr>
          </w:pPr>
          <w:hyperlink r:id="rId2">
            <w:r>
              <w:rPr>
                <w:rStyle w:val="Hyperlink"/>
                <w:rFonts w:ascii="Tahoma" w:hAnsi="Tahoma" w:cs="Tahoma"/>
                <w:sz w:val="20"/>
                <w:szCs w:val="20"/>
              </w:rPr>
              <w:t>stat</w:t>
            </w:r>
            <w:r>
              <w:rPr>
                <w:rStyle w:val="Hyperlink"/>
                <w:rFonts w:ascii="Tahoma" w:hAnsi="Tahoma" w:cs="Tahoma"/>
                <w:sz w:val="20"/>
                <w:szCs w:val="20"/>
                <w:lang w:val="zh-CN"/>
              </w:rPr>
              <w:t>@</w:t>
            </w:r>
            <w:r>
              <w:rPr>
                <w:rStyle w:val="Hyperlink"/>
                <w:rFonts w:ascii="Tahoma" w:hAnsi="Tahoma" w:cs="Tahoma"/>
                <w:sz w:val="20"/>
                <w:szCs w:val="20"/>
              </w:rPr>
              <w:t>stat</w:t>
            </w:r>
            <w:r>
              <w:rPr>
                <w:rStyle w:val="Hyperlink"/>
                <w:rFonts w:ascii="Tahoma" w:hAnsi="Tahoma" w:cs="Tahoma"/>
                <w:sz w:val="20"/>
                <w:szCs w:val="20"/>
                <w:lang w:val="zh-CN"/>
              </w:rPr>
              <w:t>.</w:t>
            </w:r>
            <w:r>
              <w:rPr>
                <w:rStyle w:val="Hyperlink"/>
                <w:rFonts w:ascii="Tahoma" w:hAnsi="Tahoma" w:cs="Tahoma"/>
                <w:sz w:val="20"/>
                <w:szCs w:val="20"/>
              </w:rPr>
              <w:t>gov</w:t>
            </w:r>
            <w:r>
              <w:rPr>
                <w:rStyle w:val="Hyperlink"/>
                <w:rFonts w:ascii="Tahoma" w:hAnsi="Tahoma" w:cs="Tahoma"/>
                <w:sz w:val="20"/>
                <w:szCs w:val="20"/>
                <w:lang w:val="zh-CN"/>
              </w:rPr>
              <w:t>.</w:t>
            </w:r>
            <w:r>
              <w:rPr>
                <w:rStyle w:val="Hyperlink"/>
                <w:rFonts w:ascii="Tahoma" w:hAnsi="Tahoma" w:cs="Tahoma"/>
                <w:sz w:val="20"/>
                <w:szCs w:val="20"/>
              </w:rPr>
              <w:t>rs</w:t>
            </w:r>
          </w:hyperlink>
        </w:p>
      </w:tc>
    </w:tr>
  </w:tbl>
  <w:p w:rsidR="000C3DAA" w:rsidRDefault="000C3DAA">
    <w:pPr>
      <w:pStyle w:val="Header"/>
      <w:rPr>
        <w:lang w:val="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C3DAA"/>
    <w:rsid w:val="000C3DAA"/>
    <w:rsid w:val="001E7893"/>
    <w:rsid w:val="779E7A0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D4B2A-0DF9-4BCE-9213-8484725B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qFormat/>
    <w:pPr>
      <w:spacing w:after="120" w:line="480" w:lineRule="auto"/>
      <w:ind w:left="360"/>
    </w:pPr>
  </w:style>
  <w:style w:type="paragraph" w:styleId="Caption">
    <w:name w:val="caption"/>
    <w:basedOn w:val="Normal"/>
    <w:next w:val="Normal"/>
    <w:qFormat/>
    <w:pPr>
      <w:suppressLineNumbers/>
      <w:spacing w:before="120" w:after="120"/>
    </w:pPr>
    <w:rPr>
      <w:rFonts w:cs="FreeSans"/>
      <w:i/>
      <w:iCs/>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unhideWhenUsed/>
    <w:rPr>
      <w:color w:val="0000FF" w:themeColor="hyperlink"/>
      <w:u w:val="single"/>
    </w:rPr>
  </w:style>
  <w:style w:type="paragraph" w:styleId="List">
    <w:name w:val="List"/>
    <w:basedOn w:val="BodyText"/>
    <w:qFormat/>
    <w:rPr>
      <w:rFonts w:cs="FreeSans"/>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hAnsi="Tahoma" w:cs="Tahoma"/>
      <w:sz w:val="16"/>
      <w:szCs w:val="16"/>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a">
    <w:name w:val="Насловљавање"/>
    <w:basedOn w:val="Normal"/>
    <w:next w:val="BodyText"/>
    <w:qFormat/>
    <w:pPr>
      <w:keepNext/>
      <w:spacing w:before="240" w:after="120"/>
    </w:pPr>
    <w:rPr>
      <w:rFonts w:ascii="Liberation Sans" w:eastAsia="Noto Sans CJK SC" w:hAnsi="Liberation Sans" w:cs="FreeSans"/>
      <w:sz w:val="28"/>
      <w:szCs w:val="28"/>
    </w:rPr>
  </w:style>
  <w:style w:type="paragraph" w:customStyle="1" w:styleId="a0">
    <w:name w:val="Попис"/>
    <w:basedOn w:val="Normal"/>
    <w:qFormat/>
    <w:pPr>
      <w:suppressLineNumbers/>
    </w:pPr>
    <w:rPr>
      <w:rFonts w:cs="FreeSans"/>
    </w:rPr>
  </w:style>
  <w:style w:type="paragraph" w:customStyle="1" w:styleId="a1">
    <w:name w:val="Заглавље и подножје"/>
    <w:basedOn w:val="Normal"/>
    <w:qFormat/>
  </w:style>
  <w:style w:type="paragraph" w:customStyle="1" w:styleId="Default">
    <w:name w:val="Default"/>
    <w:qFormat/>
    <w:pPr>
      <w:suppressAutoHyphens/>
    </w:pPr>
    <w:rPr>
      <w:rFonts w:ascii="Arial" w:hAnsi="Arial" w:cs="Arial"/>
      <w:color w:val="000000"/>
      <w:sz w:val="24"/>
      <w:szCs w:val="24"/>
    </w:rPr>
  </w:style>
  <w:style w:type="paragraph" w:customStyle="1" w:styleId="CarCar">
    <w:name w:val="Car Car"/>
    <w:basedOn w:val="Normal"/>
    <w:qFormat/>
    <w:pPr>
      <w:spacing w:after="160" w:line="240" w:lineRule="exact"/>
    </w:pPr>
    <w:rPr>
      <w:rFonts w:ascii="Verdana" w:hAnsi="Verdana"/>
      <w:i/>
      <w:sz w:val="20"/>
      <w:szCs w:val="20"/>
    </w:rPr>
  </w:style>
  <w:style w:type="paragraph" w:customStyle="1" w:styleId="xmsonormal">
    <w:name w:val="x_msonormal"/>
    <w:basedOn w:val="Normal"/>
    <w:qFormat/>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6897</Characters>
  <Application>Microsoft Office Word</Application>
  <DocSecurity>0</DocSecurity>
  <Lines>57</Lines>
  <Paragraphs>16</Paragraphs>
  <ScaleCrop>false</ScaleCrop>
  <Company>.</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Irena Dimic</cp:lastModifiedBy>
  <cp:revision>2</cp:revision>
  <cp:lastPrinted>2021-10-28T11:03:00Z</cp:lastPrinted>
  <dcterms:created xsi:type="dcterms:W3CDTF">2023-09-28T12:18:00Z</dcterms:created>
  <dcterms:modified xsi:type="dcterms:W3CDTF">2023-09-28T12:18:00Z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