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28" w:type="dxa"/>
          <w:right w:w="28" w:type="dxa"/>
        </w:tblCellMar>
        <w:tblLook w:val="0000" w:firstRow="0" w:lastRow="0" w:firstColumn="0" w:lastColumn="0" w:noHBand="0" w:noVBand="0"/>
      </w:tblPr>
      <w:tblGrid>
        <w:gridCol w:w="1665"/>
        <w:gridCol w:w="5252"/>
        <w:gridCol w:w="3343"/>
      </w:tblGrid>
      <w:tr w:rsidR="006D04F3" w:rsidRPr="00D0012A" w14:paraId="220D2119" w14:textId="77777777">
        <w:trPr>
          <w:cantSplit/>
          <w:trHeight w:val="631"/>
        </w:trPr>
        <w:tc>
          <w:tcPr>
            <w:tcW w:w="1656" w:type="dxa"/>
            <w:tcBorders>
              <w:top w:val="single" w:sz="12" w:space="0" w:color="808080"/>
            </w:tcBorders>
            <w:vAlign w:val="center"/>
          </w:tcPr>
          <w:p w14:paraId="41A8F6D4" w14:textId="436377E8" w:rsidR="006D04F3" w:rsidRPr="00D0012A" w:rsidRDefault="007E139D">
            <w:pPr>
              <w:suppressAutoHyphens w:val="0"/>
              <w:jc w:val="center"/>
              <w:rPr>
                <w:rFonts w:cs="Arial"/>
                <w:b/>
                <w:bCs/>
              </w:rPr>
            </w:pPr>
            <w:r w:rsidRPr="00D0012A">
              <w:rPr>
                <w:rFonts w:cs="Arial"/>
                <w:noProof/>
                <w:lang w:val="en-US"/>
              </w:rPr>
              <w:drawing>
                <wp:anchor distT="0" distB="0" distL="0" distR="0" simplePos="0" relativeHeight="251658240" behindDoc="0" locked="0" layoutInCell="1" allowOverlap="1" wp14:anchorId="01E5708D" wp14:editId="5A1B8CB7">
                  <wp:simplePos x="0" y="0"/>
                  <wp:positionH relativeFrom="character">
                    <wp:posOffset>0</wp:posOffset>
                  </wp:positionH>
                  <wp:positionV relativeFrom="line">
                    <wp:posOffset>635</wp:posOffset>
                  </wp:positionV>
                  <wp:extent cx="904875" cy="219075"/>
                  <wp:effectExtent l="0" t="0" r="0" b="0"/>
                  <wp:wrapNone/>
                  <wp:docPr id="1" name="Picture 9" descr="Znak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ZnakRZS"/>
                          <pic:cNvPicPr>
                            <a:picLocks noChangeAspect="1" noChangeArrowheads="1"/>
                          </pic:cNvPicPr>
                        </pic:nvPicPr>
                        <pic:blipFill>
                          <a:blip r:embed="rId7"/>
                          <a:stretch>
                            <a:fillRect/>
                          </a:stretch>
                        </pic:blipFill>
                        <pic:spPr bwMode="auto">
                          <a:xfrm>
                            <a:off x="0" y="0"/>
                            <a:ext cx="904875" cy="219075"/>
                          </a:xfrm>
                          <a:prstGeom prst="rect">
                            <a:avLst/>
                          </a:prstGeom>
                        </pic:spPr>
                      </pic:pic>
                    </a:graphicData>
                  </a:graphic>
                </wp:anchor>
              </w:drawing>
            </w:r>
            <w:r w:rsidRPr="00D0012A">
              <w:rPr>
                <w:rFonts w:cs="Arial"/>
              </w:rPr>
              <w:t xml:space="preserve"> </w:t>
            </w:r>
            <w:r w:rsidR="00B971E2">
              <w:rPr>
                <w:rFonts w:cs="Arial"/>
              </w:rPr>
            </w:r>
            <w:r w:rsidR="00B971E2">
              <w:rPr>
                <w:rFonts w:cs="Arial"/>
              </w:rPr>
              <w:pict w14:anchorId="644F1D5E">
                <v:rect id="Rectangle 8" o:spid="_x0000_s1028" style="width:71.15pt;height:17.6pt;visibility:visible;mso-wrap-style:square;mso-left-percent:-10001;mso-top-percent:-10001;mso-position-horizontal:absolute;mso-position-horizontal-relative:char;mso-position-vertical:absolute;mso-position-vertical-relative:line;mso-left-percent:-10001;mso-top-percent:-10001;v-text-anchor:top" filled="f" stroked="f" strokeweight="0">
                  <w10:wrap type="none"/>
                  <w10:anchorlock/>
                </v:rect>
              </w:pict>
            </w:r>
          </w:p>
        </w:tc>
        <w:tc>
          <w:tcPr>
            <w:tcW w:w="5223" w:type="dxa"/>
            <w:tcBorders>
              <w:top w:val="single" w:sz="12" w:space="0" w:color="808080"/>
            </w:tcBorders>
            <w:vAlign w:val="center"/>
          </w:tcPr>
          <w:p w14:paraId="0A120D91" w14:textId="77777777" w:rsidR="006D04F3" w:rsidRPr="00D0012A" w:rsidRDefault="007E139D">
            <w:pPr>
              <w:suppressAutoHyphens w:val="0"/>
              <w:rPr>
                <w:rFonts w:cs="Arial"/>
              </w:rPr>
            </w:pPr>
            <w:r w:rsidRPr="00D0012A">
              <w:rPr>
                <w:rFonts w:cs="Arial"/>
              </w:rPr>
              <w:t>Republic of Serbia</w:t>
            </w:r>
          </w:p>
          <w:p w14:paraId="719F3263" w14:textId="77777777" w:rsidR="006D04F3" w:rsidRPr="00D0012A" w:rsidRDefault="007E139D">
            <w:pPr>
              <w:suppressAutoHyphens w:val="0"/>
              <w:rPr>
                <w:rFonts w:cs="Arial"/>
              </w:rPr>
            </w:pPr>
            <w:r w:rsidRPr="00D0012A">
              <w:rPr>
                <w:rFonts w:cs="Arial"/>
              </w:rPr>
              <w:t>Statistical Office of the Republic of Serbia</w:t>
            </w:r>
          </w:p>
        </w:tc>
        <w:tc>
          <w:tcPr>
            <w:tcW w:w="3325" w:type="dxa"/>
            <w:tcBorders>
              <w:top w:val="single" w:sz="12" w:space="0" w:color="808080"/>
            </w:tcBorders>
            <w:vAlign w:val="center"/>
          </w:tcPr>
          <w:p w14:paraId="035D0172" w14:textId="77777777" w:rsidR="006D04F3" w:rsidRPr="00D0012A" w:rsidRDefault="007E139D">
            <w:pPr>
              <w:suppressAutoHyphens w:val="0"/>
              <w:jc w:val="right"/>
              <w:rPr>
                <w:rFonts w:cs="Arial"/>
                <w:b/>
                <w:color w:val="808080"/>
              </w:rPr>
            </w:pPr>
            <w:r w:rsidRPr="00D0012A">
              <w:rPr>
                <w:rFonts w:cs="Arial"/>
              </w:rPr>
              <w:t>ISSN 0353-9555</w:t>
            </w:r>
          </w:p>
        </w:tc>
      </w:tr>
      <w:tr w:rsidR="006D04F3" w:rsidRPr="00D0012A" w14:paraId="5DE10C26" w14:textId="77777777">
        <w:trPr>
          <w:cantSplit/>
          <w:trHeight w:val="836"/>
        </w:trPr>
        <w:tc>
          <w:tcPr>
            <w:tcW w:w="6879" w:type="dxa"/>
            <w:gridSpan w:val="2"/>
            <w:vAlign w:val="center"/>
          </w:tcPr>
          <w:p w14:paraId="6CBB75C6" w14:textId="77777777" w:rsidR="006D04F3" w:rsidRPr="00D0012A" w:rsidRDefault="007E139D">
            <w:pPr>
              <w:suppressAutoHyphens w:val="0"/>
              <w:rPr>
                <w:rFonts w:cs="Arial"/>
                <w:color w:val="808080"/>
              </w:rPr>
            </w:pPr>
            <w:r w:rsidRPr="00D0012A">
              <w:rPr>
                <w:rFonts w:cs="Arial"/>
                <w:b/>
                <w:bCs/>
                <w:color w:val="808080"/>
                <w:sz w:val="48"/>
                <w:szCs w:val="48"/>
              </w:rPr>
              <w:t>STATISTICAL RELEASE</w:t>
            </w:r>
          </w:p>
        </w:tc>
        <w:tc>
          <w:tcPr>
            <w:tcW w:w="3325" w:type="dxa"/>
            <w:shd w:val="clear" w:color="auto" w:fill="auto"/>
            <w:vAlign w:val="center"/>
          </w:tcPr>
          <w:p w14:paraId="6EA227E2" w14:textId="77777777" w:rsidR="006D04F3" w:rsidRPr="00D0012A" w:rsidRDefault="007E139D">
            <w:pPr>
              <w:suppressAutoHyphens w:val="0"/>
              <w:jc w:val="right"/>
              <w:rPr>
                <w:rFonts w:cs="Arial"/>
                <w:b/>
                <w:color w:val="808080"/>
                <w:sz w:val="12"/>
                <w:szCs w:val="24"/>
              </w:rPr>
            </w:pPr>
            <w:r w:rsidRPr="00D0012A">
              <w:rPr>
                <w:rFonts w:cs="Arial"/>
                <w:b/>
                <w:bCs/>
                <w:color w:val="808080"/>
                <w:sz w:val="48"/>
                <w:szCs w:val="48"/>
              </w:rPr>
              <w:t>RS10</w:t>
            </w:r>
          </w:p>
        </w:tc>
      </w:tr>
      <w:tr w:rsidR="006D04F3" w:rsidRPr="00D0012A" w14:paraId="39BBABB8" w14:textId="77777777">
        <w:trPr>
          <w:cantSplit/>
          <w:trHeight w:hRule="exact" w:val="279"/>
        </w:trPr>
        <w:tc>
          <w:tcPr>
            <w:tcW w:w="6879" w:type="dxa"/>
            <w:gridSpan w:val="2"/>
            <w:vAlign w:val="center"/>
          </w:tcPr>
          <w:p w14:paraId="1D9C022C" w14:textId="021C9381" w:rsidR="006D04F3" w:rsidRPr="00D0012A" w:rsidRDefault="007E139D" w:rsidP="00506404">
            <w:pPr>
              <w:suppressAutoHyphens w:val="0"/>
              <w:rPr>
                <w:rFonts w:cs="Arial"/>
              </w:rPr>
            </w:pPr>
            <w:r w:rsidRPr="00D0012A">
              <w:rPr>
                <w:rFonts w:cs="Arial"/>
              </w:rPr>
              <w:t xml:space="preserve">Number </w:t>
            </w:r>
            <w:r w:rsidR="00506404" w:rsidRPr="00D0012A">
              <w:rPr>
                <w:rFonts w:cs="Arial"/>
              </w:rPr>
              <w:t>327</w:t>
            </w:r>
            <w:r w:rsidRPr="00D0012A">
              <w:rPr>
                <w:rFonts w:cs="Arial"/>
              </w:rPr>
              <w:t xml:space="preserve"> - Year LXXIII, 3</w:t>
            </w:r>
            <w:r w:rsidR="009B3E4B" w:rsidRPr="00D0012A">
              <w:rPr>
                <w:rFonts w:cs="Arial"/>
              </w:rPr>
              <w:t>0</w:t>
            </w:r>
            <w:r w:rsidRPr="00D0012A">
              <w:rPr>
                <w:rFonts w:cs="Arial"/>
              </w:rPr>
              <w:t>.</w:t>
            </w:r>
            <w:r w:rsidR="009B3E4B" w:rsidRPr="00D0012A">
              <w:rPr>
                <w:rFonts w:cs="Arial"/>
              </w:rPr>
              <w:t>11</w:t>
            </w:r>
            <w:r w:rsidRPr="00D0012A">
              <w:rPr>
                <w:rFonts w:cs="Arial"/>
              </w:rPr>
              <w:t>.2023.</w:t>
            </w:r>
          </w:p>
        </w:tc>
        <w:tc>
          <w:tcPr>
            <w:tcW w:w="3325" w:type="dxa"/>
            <w:shd w:val="clear" w:color="auto" w:fill="auto"/>
            <w:vAlign w:val="center"/>
          </w:tcPr>
          <w:p w14:paraId="050C08D6" w14:textId="77777777" w:rsidR="006D04F3" w:rsidRPr="00D0012A" w:rsidRDefault="006D04F3">
            <w:pPr>
              <w:suppressAutoHyphens w:val="0"/>
              <w:jc w:val="right"/>
              <w:rPr>
                <w:rFonts w:cs="Arial"/>
                <w:b/>
                <w:color w:val="FF0000"/>
                <w:sz w:val="48"/>
                <w:szCs w:val="48"/>
              </w:rPr>
            </w:pPr>
          </w:p>
        </w:tc>
      </w:tr>
      <w:tr w:rsidR="006D04F3" w:rsidRPr="00D0012A" w14:paraId="395D19B7" w14:textId="77777777">
        <w:trPr>
          <w:cantSplit/>
          <w:trHeight w:val="411"/>
        </w:trPr>
        <w:tc>
          <w:tcPr>
            <w:tcW w:w="6879" w:type="dxa"/>
            <w:gridSpan w:val="2"/>
            <w:tcBorders>
              <w:bottom w:val="single" w:sz="12" w:space="0" w:color="808080"/>
            </w:tcBorders>
            <w:vAlign w:val="center"/>
          </w:tcPr>
          <w:p w14:paraId="6FB79199" w14:textId="77777777" w:rsidR="006D04F3" w:rsidRPr="00D0012A" w:rsidRDefault="007E139D">
            <w:pPr>
              <w:suppressAutoHyphens w:val="0"/>
              <w:rPr>
                <w:rFonts w:cs="Arial"/>
                <w:b/>
                <w:bCs/>
                <w:sz w:val="24"/>
                <w:szCs w:val="24"/>
              </w:rPr>
            </w:pPr>
            <w:r w:rsidRPr="00D0012A">
              <w:rPr>
                <w:rFonts w:cs="Arial"/>
                <w:b/>
                <w:bCs/>
                <w:sz w:val="24"/>
                <w:szCs w:val="24"/>
              </w:rPr>
              <w:t>Labour Force Survey</w:t>
            </w:r>
          </w:p>
        </w:tc>
        <w:tc>
          <w:tcPr>
            <w:tcW w:w="3325" w:type="dxa"/>
            <w:tcBorders>
              <w:bottom w:val="single" w:sz="12" w:space="0" w:color="808080"/>
            </w:tcBorders>
            <w:vAlign w:val="center"/>
          </w:tcPr>
          <w:p w14:paraId="7059A007" w14:textId="594328A1" w:rsidR="006D04F3" w:rsidRPr="00D0012A" w:rsidRDefault="007E139D" w:rsidP="00506404">
            <w:pPr>
              <w:suppressAutoHyphens w:val="0"/>
              <w:jc w:val="right"/>
              <w:rPr>
                <w:rFonts w:cs="Arial"/>
                <w:b/>
              </w:rPr>
            </w:pPr>
            <w:r w:rsidRPr="00D0012A">
              <w:rPr>
                <w:rFonts w:cs="Arial"/>
              </w:rPr>
              <w:t>SERB</w:t>
            </w:r>
            <w:r w:rsidR="00506404" w:rsidRPr="00D0012A">
              <w:rPr>
                <w:rFonts w:cs="Arial"/>
              </w:rPr>
              <w:t>327</w:t>
            </w:r>
            <w:r w:rsidRPr="00D0012A">
              <w:rPr>
                <w:rFonts w:cs="Arial"/>
              </w:rPr>
              <w:t xml:space="preserve"> RS10 </w:t>
            </w:r>
            <w:r w:rsidR="005D6E89" w:rsidRPr="00D0012A">
              <w:rPr>
                <w:rFonts w:cs="Arial"/>
              </w:rPr>
              <w:t>3011</w:t>
            </w:r>
            <w:r w:rsidRPr="00D0012A">
              <w:rPr>
                <w:rFonts w:cs="Arial"/>
              </w:rPr>
              <w:t>23</w:t>
            </w:r>
          </w:p>
        </w:tc>
      </w:tr>
    </w:tbl>
    <w:p w14:paraId="5DAC817B" w14:textId="76EF199E" w:rsidR="006D04F3" w:rsidRPr="00D0012A" w:rsidRDefault="007E139D">
      <w:pPr>
        <w:spacing w:before="480" w:after="240" w:line="259" w:lineRule="auto"/>
        <w:jc w:val="center"/>
        <w:rPr>
          <w:rStyle w:val="Heading1Char"/>
          <w:rFonts w:ascii="Arial" w:hAnsi="Arial" w:cs="Arial"/>
          <w:bCs w:val="0"/>
          <w:iCs/>
          <w:color w:val="2E71AC"/>
          <w:sz w:val="24"/>
          <w:szCs w:val="24"/>
        </w:rPr>
      </w:pPr>
      <w:r w:rsidRPr="00D0012A">
        <w:rPr>
          <w:rStyle w:val="Heading1Char"/>
          <w:rFonts w:ascii="Arial" w:hAnsi="Arial" w:cs="Arial"/>
          <w:iCs/>
          <w:color w:val="2E71AC"/>
          <w:sz w:val="24"/>
          <w:szCs w:val="24"/>
        </w:rPr>
        <w:t>Labour Force Survey, II</w:t>
      </w:r>
      <w:r w:rsidR="00B9637A" w:rsidRPr="00D0012A">
        <w:rPr>
          <w:rStyle w:val="Heading1Char"/>
          <w:rFonts w:ascii="Arial" w:hAnsi="Arial" w:cs="Arial"/>
          <w:iCs/>
          <w:color w:val="2E71AC"/>
          <w:sz w:val="24"/>
          <w:szCs w:val="24"/>
        </w:rPr>
        <w:t>I</w:t>
      </w:r>
      <w:r w:rsidRPr="00D0012A">
        <w:rPr>
          <w:rStyle w:val="Heading1Char"/>
          <w:rFonts w:ascii="Arial" w:hAnsi="Arial" w:cs="Arial"/>
          <w:iCs/>
          <w:color w:val="2E71AC"/>
          <w:sz w:val="24"/>
          <w:szCs w:val="24"/>
        </w:rPr>
        <w:t xml:space="preserve"> quarter 2023</w:t>
      </w:r>
    </w:p>
    <w:p w14:paraId="010130A1" w14:textId="5EAD1404" w:rsidR="000629DD" w:rsidRPr="00D0012A" w:rsidRDefault="000629DD" w:rsidP="00D0012A">
      <w:pPr>
        <w:pStyle w:val="NormalWeb"/>
        <w:spacing w:before="360" w:after="60" w:line="288" w:lineRule="auto"/>
        <w:jc w:val="both"/>
        <w:rPr>
          <w:rFonts w:ascii="Arial" w:eastAsia="Times New Roman" w:hAnsi="Arial" w:cs="Arial"/>
        </w:rPr>
      </w:pPr>
      <w:r w:rsidRPr="00D0012A">
        <w:rPr>
          <w:rFonts w:ascii="Arial" w:eastAsia="Times New Roman" w:hAnsi="Arial" w:cs="Arial"/>
        </w:rPr>
        <w:t>In the third quarter of 2023, the number of the employed was 2 888 500, and the number of the unemployed was 285 700. The employment rate for the given period was 50.7%, while the unemployment rate was 9.0%.</w:t>
      </w:r>
    </w:p>
    <w:p w14:paraId="417D501C" w14:textId="142C5A2E" w:rsidR="006D04F3" w:rsidRPr="00D0012A" w:rsidRDefault="007E139D">
      <w:pPr>
        <w:pStyle w:val="NormalWeb"/>
        <w:spacing w:before="360" w:after="60" w:line="288" w:lineRule="auto"/>
        <w:rPr>
          <w:rFonts w:ascii="Arial" w:hAnsi="Arial" w:cs="Arial"/>
        </w:rPr>
      </w:pPr>
      <w:r w:rsidRPr="00495B68">
        <w:rPr>
          <w:rFonts w:ascii="Arial" w:hAnsi="Arial" w:cs="Arial"/>
          <w:bCs/>
          <w:color w:val="2E71AC"/>
        </w:rPr>
        <w:t>Graph 1.</w:t>
      </w:r>
      <w:r w:rsidRPr="00D0012A">
        <w:rPr>
          <w:rFonts w:ascii="Arial" w:hAnsi="Arial" w:cs="Arial"/>
          <w:bCs/>
          <w:color w:val="2E71AC"/>
        </w:rPr>
        <w:t xml:space="preserve"> </w:t>
      </w:r>
      <w:r w:rsidRPr="00D0012A">
        <w:rPr>
          <w:rFonts w:ascii="Arial" w:hAnsi="Arial" w:cs="Arial"/>
          <w:bCs/>
          <w:color w:val="000000"/>
        </w:rPr>
        <w:t>E</w:t>
      </w:r>
      <w:r w:rsidRPr="00D0012A">
        <w:rPr>
          <w:rFonts w:ascii="Arial" w:hAnsi="Arial" w:cs="Arial"/>
        </w:rPr>
        <w:t>mployment/unemployment rates (in %), population 15+, 202</w:t>
      </w:r>
      <w:r w:rsidR="00B9637A" w:rsidRPr="00D0012A">
        <w:rPr>
          <w:rFonts w:ascii="Arial" w:hAnsi="Arial" w:cs="Arial"/>
        </w:rPr>
        <w:t>1</w:t>
      </w:r>
      <w:r w:rsidRPr="00D0012A">
        <w:rPr>
          <w:rFonts w:ascii="Arial" w:hAnsi="Arial" w:cs="Arial"/>
        </w:rPr>
        <w:t>-2023</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28" w:type="dxa"/>
          <w:right w:w="28" w:type="dxa"/>
        </w:tblCellMar>
        <w:tblLook w:val="04A0" w:firstRow="1" w:lastRow="0" w:firstColumn="1" w:lastColumn="0" w:noHBand="0" w:noVBand="1"/>
      </w:tblPr>
      <w:tblGrid>
        <w:gridCol w:w="10260"/>
      </w:tblGrid>
      <w:tr w:rsidR="00D0012A" w:rsidRPr="00D0012A" w14:paraId="72057D39" w14:textId="77777777" w:rsidTr="00495B68">
        <w:trPr>
          <w:jc w:val="center"/>
        </w:trPr>
        <w:tc>
          <w:tcPr>
            <w:tcW w:w="10420" w:type="dxa"/>
          </w:tcPr>
          <w:p w14:paraId="155ED45C" w14:textId="6D4B9484" w:rsidR="00D0012A" w:rsidRPr="00D0012A" w:rsidRDefault="00D0012A" w:rsidP="00D0012A">
            <w:pPr>
              <w:pStyle w:val="NormalWeb"/>
              <w:spacing w:line="288" w:lineRule="auto"/>
              <w:jc w:val="center"/>
              <w:rPr>
                <w:rFonts w:ascii="Arial" w:hAnsi="Arial" w:cs="Arial"/>
              </w:rPr>
            </w:pPr>
            <w:r w:rsidRPr="00D0012A">
              <w:rPr>
                <w:rFonts w:ascii="Arial" w:hAnsi="Arial" w:cs="Arial"/>
                <w:noProof/>
                <w:lang w:val="en-US"/>
              </w:rPr>
              <w:drawing>
                <wp:inline distT="0" distB="0" distL="0" distR="0" wp14:anchorId="078D7096" wp14:editId="5824DBDE">
                  <wp:extent cx="3617044" cy="2477770"/>
                  <wp:effectExtent l="0" t="0" r="0" b="0"/>
                  <wp:docPr id="593686106" name="Picture 1" descr="A graph of employment r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686106" name="Picture 1" descr="A graph of employment rate&#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7360"/>
                          <a:stretch/>
                        </pic:blipFill>
                        <pic:spPr bwMode="auto">
                          <a:xfrm>
                            <a:off x="0" y="0"/>
                            <a:ext cx="3624563" cy="248292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DAFBCD1" w14:textId="20BD2336" w:rsidR="006D04F3" w:rsidRPr="00D0012A" w:rsidRDefault="007E139D" w:rsidP="00D0012A">
      <w:pPr>
        <w:spacing w:before="120" w:line="259" w:lineRule="auto"/>
        <w:rPr>
          <w:rStyle w:val="Heading1Char"/>
          <w:rFonts w:ascii="Arial" w:hAnsi="Arial" w:cs="Arial"/>
          <w:b w:val="0"/>
          <w:bCs w:val="0"/>
          <w:iCs/>
          <w:color w:val="auto"/>
          <w:sz w:val="22"/>
          <w:szCs w:val="22"/>
        </w:rPr>
      </w:pPr>
      <w:r w:rsidRPr="00D0012A">
        <w:rPr>
          <w:rStyle w:val="Heading1Char"/>
          <w:rFonts w:ascii="Arial" w:hAnsi="Arial" w:cs="Arial"/>
          <w:b w:val="0"/>
          <w:bCs w:val="0"/>
          <w:iCs/>
          <w:color w:val="auto"/>
          <w:sz w:val="18"/>
          <w:szCs w:val="18"/>
        </w:rPr>
        <w:t>(r)</w:t>
      </w:r>
      <w:r w:rsidR="00390490">
        <w:rPr>
          <w:rStyle w:val="Heading1Char"/>
          <w:rFonts w:ascii="Arial" w:hAnsi="Arial" w:cs="Arial"/>
          <w:b w:val="0"/>
          <w:bCs w:val="0"/>
          <w:iCs/>
          <w:color w:val="auto"/>
          <w:sz w:val="18"/>
          <w:szCs w:val="18"/>
        </w:rPr>
        <w:t xml:space="preserve"> </w:t>
      </w:r>
      <w:r w:rsidRPr="00D0012A">
        <w:rPr>
          <w:rStyle w:val="Heading1Char"/>
          <w:rFonts w:ascii="Arial" w:hAnsi="Arial" w:cs="Arial"/>
          <w:b w:val="0"/>
          <w:bCs w:val="0"/>
          <w:iCs/>
          <w:color w:val="auto"/>
          <w:sz w:val="18"/>
          <w:szCs w:val="18"/>
        </w:rPr>
        <w:t>Revised data.</w:t>
      </w:r>
    </w:p>
    <w:p w14:paraId="09EB9AFC" w14:textId="77777777" w:rsidR="006D04F3" w:rsidRPr="00D0012A" w:rsidRDefault="007E139D">
      <w:pPr>
        <w:pStyle w:val="NormalWeb"/>
        <w:spacing w:before="480" w:after="120"/>
        <w:jc w:val="both"/>
        <w:rPr>
          <w:rStyle w:val="Heading1Char"/>
          <w:rFonts w:ascii="Arial" w:eastAsia="Calibri" w:hAnsi="Arial" w:cs="Arial"/>
          <w:b w:val="0"/>
          <w:bCs w:val="0"/>
          <w:color w:val="2E71AC"/>
          <w:sz w:val="22"/>
          <w:szCs w:val="22"/>
        </w:rPr>
      </w:pPr>
      <w:r w:rsidRPr="00D0012A">
        <w:rPr>
          <w:rStyle w:val="Heading1Char"/>
          <w:rFonts w:ascii="Arial" w:eastAsia="Calibri" w:hAnsi="Arial" w:cs="Arial"/>
          <w:b w:val="0"/>
          <w:bCs w:val="0"/>
          <w:color w:val="2E71AC"/>
          <w:sz w:val="22"/>
          <w:szCs w:val="22"/>
        </w:rPr>
        <w:t>Comparison with the same quarter of the previous year</w:t>
      </w:r>
    </w:p>
    <w:p w14:paraId="2DBBEA65" w14:textId="7B8E3ED3" w:rsidR="000629DD" w:rsidRPr="00D0012A" w:rsidRDefault="000629DD" w:rsidP="00D0012A">
      <w:pPr>
        <w:suppressAutoHyphens w:val="0"/>
        <w:spacing w:before="120" w:after="120"/>
        <w:jc w:val="both"/>
        <w:rPr>
          <w:rFonts w:cs="Arial"/>
        </w:rPr>
      </w:pPr>
      <w:r w:rsidRPr="00D0012A">
        <w:rPr>
          <w:rFonts w:cs="Arial"/>
        </w:rPr>
        <w:t>According to the data from the Labo</w:t>
      </w:r>
      <w:r w:rsidR="003921F8" w:rsidRPr="00D0012A">
        <w:rPr>
          <w:rFonts w:cs="Arial"/>
        </w:rPr>
        <w:t>u</w:t>
      </w:r>
      <w:r w:rsidRPr="00D0012A">
        <w:rPr>
          <w:rFonts w:cs="Arial"/>
        </w:rPr>
        <w:t xml:space="preserve">r Force Survey, in the third quarter of 2023, compared to the third quarter of the previous year, there were </w:t>
      </w:r>
      <w:r w:rsidR="00BA29BF">
        <w:rPr>
          <w:rFonts w:cs="Arial"/>
        </w:rPr>
        <w:t>negligible</w:t>
      </w:r>
      <w:r w:rsidRPr="00D0012A">
        <w:rPr>
          <w:rFonts w:cs="Arial"/>
        </w:rPr>
        <w:t xml:space="preserve"> changes in the labour market regarding three main contingents of the populatio</w:t>
      </w:r>
      <w:r w:rsidR="0021530F">
        <w:rPr>
          <w:rFonts w:cs="Arial"/>
        </w:rPr>
        <w:t>n</w:t>
      </w:r>
      <w:r w:rsidRPr="00D0012A">
        <w:rPr>
          <w:rFonts w:cs="Arial"/>
        </w:rPr>
        <w:t xml:space="preserve"> on the </w:t>
      </w:r>
      <w:r w:rsidR="001E6133" w:rsidRPr="00D0012A">
        <w:rPr>
          <w:rFonts w:cs="Arial"/>
        </w:rPr>
        <w:t>labour</w:t>
      </w:r>
      <w:r w:rsidRPr="00D0012A">
        <w:rPr>
          <w:rFonts w:cs="Arial"/>
        </w:rPr>
        <w:t xml:space="preserve"> market. There was a slight increase in the employment rate (0.</w:t>
      </w:r>
      <w:r w:rsidR="00643300">
        <w:rPr>
          <w:rFonts w:cs="Arial"/>
        </w:rPr>
        <w:t>5</w:t>
      </w:r>
      <w:r w:rsidR="00643300" w:rsidRPr="00D0012A">
        <w:rPr>
          <w:rFonts w:cs="Arial"/>
        </w:rPr>
        <w:t xml:space="preserve"> </w:t>
      </w:r>
      <w:r w:rsidRPr="00D0012A">
        <w:rPr>
          <w:rFonts w:cs="Arial"/>
        </w:rPr>
        <w:t>percentage points</w:t>
      </w:r>
      <w:r w:rsidR="004622E3">
        <w:rPr>
          <w:rFonts w:cs="Arial"/>
        </w:rPr>
        <w:t>- p.p.</w:t>
      </w:r>
      <w:r w:rsidRPr="00D0012A">
        <w:rPr>
          <w:rFonts w:cs="Arial"/>
        </w:rPr>
        <w:t xml:space="preserve">) and a decrease in the rate of the population outside the </w:t>
      </w:r>
      <w:r w:rsidR="001E6133" w:rsidRPr="00D0012A">
        <w:rPr>
          <w:rFonts w:cs="Arial"/>
        </w:rPr>
        <w:t>labour</w:t>
      </w:r>
      <w:r w:rsidRPr="00D0012A">
        <w:rPr>
          <w:rFonts w:cs="Arial"/>
        </w:rPr>
        <w:t xml:space="preserve"> force </w:t>
      </w:r>
      <w:r w:rsidR="004622E3">
        <w:rPr>
          <w:rFonts w:cs="Arial"/>
        </w:rPr>
        <w:t>for</w:t>
      </w:r>
      <w:r w:rsidR="00643300">
        <w:rPr>
          <w:rFonts w:cs="Arial"/>
        </w:rPr>
        <w:t xml:space="preserve"> </w:t>
      </w:r>
      <w:r w:rsidRPr="00D0012A">
        <w:rPr>
          <w:rFonts w:cs="Arial"/>
        </w:rPr>
        <w:t>0.</w:t>
      </w:r>
      <w:r w:rsidR="00643300">
        <w:rPr>
          <w:rFonts w:cs="Arial"/>
        </w:rPr>
        <w:t>7</w:t>
      </w:r>
      <w:r w:rsidRPr="00D0012A">
        <w:rPr>
          <w:rFonts w:cs="Arial"/>
        </w:rPr>
        <w:t xml:space="preserve"> p.p., while the unemployment rate remained unchanged.</w:t>
      </w:r>
    </w:p>
    <w:p w14:paraId="24A906FC" w14:textId="38A2D23A" w:rsidR="000629DD" w:rsidRPr="00D0012A" w:rsidRDefault="000629DD" w:rsidP="00D0012A">
      <w:pPr>
        <w:suppressAutoHyphens w:val="0"/>
        <w:spacing w:before="120" w:after="120"/>
        <w:jc w:val="both"/>
        <w:rPr>
          <w:rFonts w:cs="Arial"/>
        </w:rPr>
      </w:pPr>
      <w:r w:rsidRPr="00D0012A">
        <w:rPr>
          <w:rFonts w:cs="Arial"/>
        </w:rPr>
        <w:t xml:space="preserve">Compared to the third quarter of 2022, total population aged 15 and over decreased by 56 900 and in the third quarter of 2023 it amounted to 5 693 500. The number of active persons increased by 3 900, and the contingent of the population outside the </w:t>
      </w:r>
      <w:r w:rsidR="001E6133" w:rsidRPr="00D0012A">
        <w:rPr>
          <w:rFonts w:cs="Arial"/>
        </w:rPr>
        <w:t>labour</w:t>
      </w:r>
      <w:r w:rsidRPr="00D0012A">
        <w:rPr>
          <w:rFonts w:cs="Arial"/>
        </w:rPr>
        <w:t xml:space="preserve"> force decreased by 60 800. The number of active persons in the third quarter of 2023 was 3 174 200, and the number of the population outside the </w:t>
      </w:r>
      <w:r w:rsidR="001E6133" w:rsidRPr="00D0012A">
        <w:rPr>
          <w:rFonts w:cs="Arial"/>
        </w:rPr>
        <w:t>labour</w:t>
      </w:r>
      <w:r w:rsidRPr="00D0012A">
        <w:rPr>
          <w:rFonts w:cs="Arial"/>
        </w:rPr>
        <w:t xml:space="preserve"> force was 2 519 300. Within the contingent of the active population, the so-called labour</w:t>
      </w:r>
      <w:r w:rsidR="001E6133" w:rsidRPr="00D0012A">
        <w:rPr>
          <w:rFonts w:cs="Arial"/>
        </w:rPr>
        <w:t xml:space="preserve"> </w:t>
      </w:r>
      <w:r w:rsidRPr="00D0012A">
        <w:rPr>
          <w:rFonts w:cs="Arial"/>
        </w:rPr>
        <w:t>force, the number of the employed increased by 3 000 and the number of the unemployed by 900 persons. Thus, the number of the employed in the third quarter was 2 888 500, and the number of unemployed was 285 700.</w:t>
      </w:r>
    </w:p>
    <w:p w14:paraId="561D1257" w14:textId="7E8DE9C1" w:rsidR="000629DD" w:rsidRPr="00D0012A" w:rsidRDefault="000629DD" w:rsidP="00D0012A">
      <w:pPr>
        <w:suppressAutoHyphens w:val="0"/>
        <w:spacing w:before="120" w:after="120"/>
        <w:jc w:val="both"/>
        <w:rPr>
          <w:rFonts w:cs="Arial"/>
        </w:rPr>
      </w:pPr>
      <w:r w:rsidRPr="00D0012A">
        <w:rPr>
          <w:rFonts w:cs="Arial"/>
        </w:rPr>
        <w:t>Within total employment, there was an increase in formal employment and a decrease in informal employment. T</w:t>
      </w:r>
      <w:r w:rsidR="00312248">
        <w:rPr>
          <w:rFonts w:cs="Arial"/>
        </w:rPr>
        <w:t>o</w:t>
      </w:r>
      <w:r w:rsidRPr="00D0012A">
        <w:rPr>
          <w:rFonts w:cs="Arial"/>
        </w:rPr>
        <w:t xml:space="preserve">tal formal employment increased by 16 400 and amounted to 2 518 700. Formal employment increased dominantly in non-agricultural activities (33 300), while in the agricultural sector there was a decrease in the number of formally employed (16 900). Total informal employment (369 900 persons), </w:t>
      </w:r>
      <w:r w:rsidR="003D53BD" w:rsidRPr="00D0012A">
        <w:rPr>
          <w:rFonts w:cs="Arial"/>
        </w:rPr>
        <w:t>year – on - year</w:t>
      </w:r>
      <w:r w:rsidRPr="00D0012A">
        <w:rPr>
          <w:rFonts w:cs="Arial"/>
        </w:rPr>
        <w:t>, decreased by 13 300, of which 6 700 represents a decrease in agricultural activities, and 6 600 in non-agricultural activities.</w:t>
      </w:r>
    </w:p>
    <w:p w14:paraId="1A9280AD" w14:textId="4AAB69A8" w:rsidR="000629DD" w:rsidRPr="00D0012A" w:rsidRDefault="000629DD" w:rsidP="00D0012A">
      <w:pPr>
        <w:suppressAutoHyphens w:val="0"/>
        <w:spacing w:before="120" w:after="120"/>
        <w:jc w:val="both"/>
        <w:rPr>
          <w:rFonts w:cs="Arial"/>
        </w:rPr>
      </w:pPr>
      <w:r w:rsidRPr="00D0012A">
        <w:rPr>
          <w:rFonts w:cs="Arial"/>
        </w:rPr>
        <w:t>The rate of total informal employment is lower compared to the third quarter of 2022 by 0.5 p.p. and in the third quarter of 2023 it was 12.8%. Informal employment outside agriculture is lower by 0.3 p.p. and in the third quarter of 2023 it was 6.5%, while in the agricultural sector it was higher by 1.4 p.p. and amounted to 53.5%.</w:t>
      </w:r>
    </w:p>
    <w:p w14:paraId="25EF1415" w14:textId="11B1C0FC" w:rsidR="00147A9E" w:rsidRDefault="000629DD" w:rsidP="009F1C99">
      <w:pPr>
        <w:suppressAutoHyphens w:val="0"/>
        <w:spacing w:before="120" w:after="120" w:line="228" w:lineRule="auto"/>
        <w:jc w:val="both"/>
        <w:rPr>
          <w:rFonts w:cs="Arial"/>
        </w:rPr>
      </w:pPr>
      <w:r w:rsidRPr="00D0012A">
        <w:rPr>
          <w:rFonts w:cs="Arial"/>
        </w:rPr>
        <w:lastRenderedPageBreak/>
        <w:t>Observed by gender, the number of active persons decreased by 6</w:t>
      </w:r>
      <w:r w:rsidR="006C0208" w:rsidRPr="00D0012A">
        <w:rPr>
          <w:rFonts w:cs="Arial"/>
        </w:rPr>
        <w:t xml:space="preserve"> </w:t>
      </w:r>
      <w:r w:rsidRPr="00D0012A">
        <w:rPr>
          <w:rFonts w:cs="Arial"/>
        </w:rPr>
        <w:t>700 in the male population</w:t>
      </w:r>
      <w:r w:rsidR="00617840">
        <w:rPr>
          <w:rFonts w:cs="Arial"/>
        </w:rPr>
        <w:t xml:space="preserve"> and in the third quarter of 2023 it amounted at 1 726 400</w:t>
      </w:r>
      <w:r w:rsidRPr="00D0012A">
        <w:rPr>
          <w:rFonts w:cs="Arial"/>
        </w:rPr>
        <w:t>. Within this contingent, there was a decrease in the number of employed persons by 8</w:t>
      </w:r>
      <w:r w:rsidR="006C0208" w:rsidRPr="00D0012A">
        <w:rPr>
          <w:rFonts w:cs="Arial"/>
        </w:rPr>
        <w:t xml:space="preserve"> </w:t>
      </w:r>
      <w:r w:rsidRPr="00D0012A">
        <w:rPr>
          <w:rFonts w:cs="Arial"/>
        </w:rPr>
        <w:t>500 and an increase in the number of unemployed m</w:t>
      </w:r>
      <w:r w:rsidR="006C0208" w:rsidRPr="00D0012A">
        <w:rPr>
          <w:rFonts w:cs="Arial"/>
        </w:rPr>
        <w:t>ales</w:t>
      </w:r>
      <w:r w:rsidRPr="00D0012A">
        <w:rPr>
          <w:rFonts w:cs="Arial"/>
        </w:rPr>
        <w:t xml:space="preserve"> by 1</w:t>
      </w:r>
      <w:r w:rsidR="006C0208" w:rsidRPr="00D0012A">
        <w:rPr>
          <w:rFonts w:cs="Arial"/>
        </w:rPr>
        <w:t xml:space="preserve"> </w:t>
      </w:r>
      <w:r w:rsidRPr="00D0012A">
        <w:rPr>
          <w:rFonts w:cs="Arial"/>
        </w:rPr>
        <w:t xml:space="preserve">800. </w:t>
      </w:r>
      <w:r w:rsidR="00147A9E" w:rsidRPr="00BA29BF">
        <w:rPr>
          <w:rFonts w:cs="Arial"/>
        </w:rPr>
        <w:t xml:space="preserve">In the third quarter of 2023, there were 1 579 900 employed and 146 500 unemployed men. </w:t>
      </w:r>
      <w:r w:rsidRPr="00BA29BF">
        <w:rPr>
          <w:rFonts w:cs="Arial"/>
        </w:rPr>
        <w:t>In the female population, however, there was an increase in the number of active persons by 10</w:t>
      </w:r>
      <w:r w:rsidR="006C0208" w:rsidRPr="00BA29BF">
        <w:rPr>
          <w:rFonts w:cs="Arial"/>
        </w:rPr>
        <w:t xml:space="preserve"> </w:t>
      </w:r>
      <w:r w:rsidRPr="00617840">
        <w:rPr>
          <w:rFonts w:cs="Arial"/>
        </w:rPr>
        <w:t>600, primarily due to an increase in employment by 11</w:t>
      </w:r>
      <w:r w:rsidR="006C0208" w:rsidRPr="00617840">
        <w:rPr>
          <w:rFonts w:cs="Arial"/>
        </w:rPr>
        <w:t xml:space="preserve"> </w:t>
      </w:r>
      <w:r w:rsidRPr="00617840">
        <w:rPr>
          <w:rFonts w:cs="Arial"/>
        </w:rPr>
        <w:t xml:space="preserve">500 persons. </w:t>
      </w:r>
      <w:r w:rsidR="00147A9E" w:rsidRPr="00617840">
        <w:rPr>
          <w:rFonts w:cs="Arial"/>
        </w:rPr>
        <w:t>The number of active women was 1</w:t>
      </w:r>
      <w:r w:rsidR="00390490" w:rsidRPr="00617840">
        <w:rPr>
          <w:rFonts w:cs="Arial"/>
        </w:rPr>
        <w:t> </w:t>
      </w:r>
      <w:r w:rsidR="00147A9E" w:rsidRPr="00617840">
        <w:rPr>
          <w:rFonts w:cs="Arial"/>
        </w:rPr>
        <w:t>447</w:t>
      </w:r>
      <w:r w:rsidR="00390490" w:rsidRPr="00617840">
        <w:rPr>
          <w:rFonts w:cs="Arial"/>
        </w:rPr>
        <w:t> </w:t>
      </w:r>
      <w:r w:rsidR="00147A9E" w:rsidRPr="00617840">
        <w:rPr>
          <w:rFonts w:cs="Arial"/>
        </w:rPr>
        <w:t xml:space="preserve">800, and the number of employed women was 1 308 600. </w:t>
      </w:r>
      <w:r w:rsidRPr="00E17742">
        <w:rPr>
          <w:rFonts w:cs="Arial"/>
        </w:rPr>
        <w:t xml:space="preserve">At the same time, the number of the population outside the </w:t>
      </w:r>
      <w:r w:rsidR="001E6133" w:rsidRPr="00E17742">
        <w:rPr>
          <w:rFonts w:cs="Arial"/>
        </w:rPr>
        <w:t>labour</w:t>
      </w:r>
      <w:r w:rsidRPr="00E17742">
        <w:rPr>
          <w:rFonts w:cs="Arial"/>
        </w:rPr>
        <w:t xml:space="preserve"> force in both sexes recorded a decrease, namely by 21</w:t>
      </w:r>
      <w:r w:rsidR="006C0208" w:rsidRPr="00E17742">
        <w:rPr>
          <w:rFonts w:cs="Arial"/>
        </w:rPr>
        <w:t xml:space="preserve"> </w:t>
      </w:r>
      <w:r w:rsidRPr="00E17742">
        <w:rPr>
          <w:rFonts w:cs="Arial"/>
        </w:rPr>
        <w:t xml:space="preserve">800 in the male population and </w:t>
      </w:r>
      <w:r w:rsidR="006C0208" w:rsidRPr="00E17742">
        <w:rPr>
          <w:rFonts w:cs="Arial"/>
        </w:rPr>
        <w:t xml:space="preserve">by </w:t>
      </w:r>
      <w:r w:rsidRPr="00E17742">
        <w:rPr>
          <w:rFonts w:cs="Arial"/>
        </w:rPr>
        <w:t>39</w:t>
      </w:r>
      <w:r w:rsidR="006C0208" w:rsidRPr="00E17742">
        <w:rPr>
          <w:rFonts w:cs="Arial"/>
        </w:rPr>
        <w:t xml:space="preserve"> </w:t>
      </w:r>
      <w:r w:rsidRPr="00E17742">
        <w:rPr>
          <w:rFonts w:cs="Arial"/>
        </w:rPr>
        <w:t>000 in the female population.</w:t>
      </w:r>
      <w:r w:rsidR="00147A9E" w:rsidRPr="00E17742">
        <w:t xml:space="preserve"> </w:t>
      </w:r>
      <w:r w:rsidR="00147A9E" w:rsidRPr="00E17742">
        <w:rPr>
          <w:rFonts w:cs="Arial"/>
        </w:rPr>
        <w:t>The number of population outside the labour force in the male population was 1</w:t>
      </w:r>
      <w:r w:rsidR="00390490" w:rsidRPr="00E17742">
        <w:rPr>
          <w:rFonts w:cs="Arial"/>
        </w:rPr>
        <w:t> </w:t>
      </w:r>
      <w:r w:rsidR="00147A9E" w:rsidRPr="00E17742">
        <w:rPr>
          <w:rFonts w:cs="Arial"/>
        </w:rPr>
        <w:t>014</w:t>
      </w:r>
      <w:r w:rsidR="00390490" w:rsidRPr="00E17742">
        <w:rPr>
          <w:rFonts w:cs="Arial"/>
        </w:rPr>
        <w:t> </w:t>
      </w:r>
      <w:r w:rsidR="00147A9E" w:rsidRPr="00E17742">
        <w:rPr>
          <w:rFonts w:cs="Arial"/>
        </w:rPr>
        <w:t>500 and in the female population 1 504 900.</w:t>
      </w:r>
    </w:p>
    <w:p w14:paraId="7C3F8F85" w14:textId="542BBDC0" w:rsidR="006C0208" w:rsidRPr="00D0012A" w:rsidRDefault="001E6133" w:rsidP="009F1C99">
      <w:pPr>
        <w:suppressAutoHyphens w:val="0"/>
        <w:spacing w:before="120" w:after="120" w:line="228" w:lineRule="auto"/>
        <w:jc w:val="both"/>
        <w:rPr>
          <w:rFonts w:cs="Arial"/>
        </w:rPr>
      </w:pPr>
      <w:r w:rsidRPr="00D0012A">
        <w:rPr>
          <w:rFonts w:cs="Arial"/>
        </w:rPr>
        <w:t>Observed</w:t>
      </w:r>
      <w:r w:rsidR="006C0208" w:rsidRPr="00D0012A">
        <w:rPr>
          <w:rFonts w:cs="Arial"/>
        </w:rPr>
        <w:t xml:space="preserve"> by territory, all regions recorded a slight increase in the employment rate, with the exception of Vojvodina Region, where a decrease of 0.9 p.p. was recorded. </w:t>
      </w:r>
      <w:r w:rsidR="006C0208" w:rsidRPr="00BA29BF">
        <w:rPr>
          <w:rFonts w:cs="Arial"/>
        </w:rPr>
        <w:t>The most noticeable increase in the employment rate was recorded in Region Šumadij</w:t>
      </w:r>
      <w:r w:rsidR="00312248" w:rsidRPr="00BA29BF">
        <w:rPr>
          <w:rFonts w:cs="Arial"/>
        </w:rPr>
        <w:t>a</w:t>
      </w:r>
      <w:r w:rsidR="006C0208" w:rsidRPr="00BA29BF">
        <w:rPr>
          <w:rFonts w:cs="Arial"/>
        </w:rPr>
        <w:t xml:space="preserve"> i Zapadn</w:t>
      </w:r>
      <w:r w:rsidR="00312248" w:rsidRPr="00BA29BF">
        <w:rPr>
          <w:rFonts w:cs="Arial"/>
        </w:rPr>
        <w:t>a</w:t>
      </w:r>
      <w:r w:rsidR="006C0208" w:rsidRPr="00BA29BF">
        <w:rPr>
          <w:rFonts w:cs="Arial"/>
        </w:rPr>
        <w:t xml:space="preserve"> Srbij</w:t>
      </w:r>
      <w:r w:rsidR="00312248" w:rsidRPr="00BA29BF">
        <w:rPr>
          <w:rFonts w:cs="Arial"/>
        </w:rPr>
        <w:t>a</w:t>
      </w:r>
      <w:r w:rsidR="006C0208" w:rsidRPr="00BA29BF">
        <w:rPr>
          <w:rFonts w:cs="Arial"/>
        </w:rPr>
        <w:t xml:space="preserve"> (1.6 p.p.). At the same time, Vojvodina Region is the only one to record an increase in the unemployment rate by 3.2 p. p, while the other three regions achieve a decrease in the mentioned rate (the largest in Region Šumadij</w:t>
      </w:r>
      <w:r w:rsidR="00312248" w:rsidRPr="00BA29BF">
        <w:rPr>
          <w:rFonts w:cs="Arial"/>
        </w:rPr>
        <w:t>a</w:t>
      </w:r>
      <w:r w:rsidR="006C0208" w:rsidRPr="00BA29BF">
        <w:rPr>
          <w:rFonts w:cs="Arial"/>
        </w:rPr>
        <w:t xml:space="preserve"> i Zapadn</w:t>
      </w:r>
      <w:r w:rsidR="00312248" w:rsidRPr="00BA29BF">
        <w:rPr>
          <w:rFonts w:cs="Arial"/>
        </w:rPr>
        <w:t>a</w:t>
      </w:r>
      <w:r w:rsidR="006C0208" w:rsidRPr="00BA29BF">
        <w:rPr>
          <w:rFonts w:cs="Arial"/>
        </w:rPr>
        <w:t xml:space="preserve"> Srbij</w:t>
      </w:r>
      <w:r w:rsidR="00312248" w:rsidRPr="00BA29BF">
        <w:rPr>
          <w:rFonts w:cs="Arial"/>
        </w:rPr>
        <w:t>a</w:t>
      </w:r>
      <w:r w:rsidR="006C0208" w:rsidRPr="00BA29BF">
        <w:rPr>
          <w:rFonts w:cs="Arial"/>
        </w:rPr>
        <w:t xml:space="preserve">, 1.6 p. p.). The rate of the population outside the </w:t>
      </w:r>
      <w:r w:rsidRPr="00BA29BF">
        <w:rPr>
          <w:rFonts w:cs="Arial"/>
        </w:rPr>
        <w:t>labour</w:t>
      </w:r>
      <w:r w:rsidR="006C0208" w:rsidRPr="00020D84">
        <w:rPr>
          <w:rFonts w:cs="Arial"/>
        </w:rPr>
        <w:t xml:space="preserve"> force is lower in all regions compared to the same quarter of 2022. In Vojvodin</w:t>
      </w:r>
      <w:r w:rsidR="00312248" w:rsidRPr="00020D84">
        <w:rPr>
          <w:rFonts w:cs="Arial"/>
        </w:rPr>
        <w:t>a Region</w:t>
      </w:r>
      <w:r w:rsidR="006C0208" w:rsidRPr="00020D84">
        <w:rPr>
          <w:rFonts w:cs="Arial"/>
        </w:rPr>
        <w:t>, this rate is lower by 1.0 p. p., while the smallest decrease was achieved in the Be</w:t>
      </w:r>
      <w:r w:rsidR="0039121A" w:rsidRPr="00020D84">
        <w:rPr>
          <w:rFonts w:cs="Arial"/>
        </w:rPr>
        <w:t>ogradski</w:t>
      </w:r>
      <w:r w:rsidR="006C0208" w:rsidRPr="00020D84">
        <w:rPr>
          <w:rFonts w:cs="Arial"/>
        </w:rPr>
        <w:t xml:space="preserve"> Region (</w:t>
      </w:r>
      <w:r w:rsidR="00020D84" w:rsidRPr="00D46754">
        <w:rPr>
          <w:rFonts w:cs="Arial"/>
        </w:rPr>
        <w:t xml:space="preserve">- </w:t>
      </w:r>
      <w:r w:rsidR="006C0208" w:rsidRPr="00BA29BF">
        <w:rPr>
          <w:rFonts w:cs="Arial"/>
        </w:rPr>
        <w:t>0.2 p. p.).</w:t>
      </w:r>
    </w:p>
    <w:p w14:paraId="43233DD2" w14:textId="7920CFD0" w:rsidR="0039121A" w:rsidRPr="00D0012A" w:rsidRDefault="0039121A" w:rsidP="009F1C99">
      <w:pPr>
        <w:suppressAutoHyphens w:val="0"/>
        <w:spacing w:before="120" w:after="120" w:line="228" w:lineRule="auto"/>
        <w:jc w:val="both"/>
        <w:rPr>
          <w:rFonts w:cs="Arial"/>
        </w:rPr>
      </w:pPr>
      <w:r w:rsidRPr="00BA29BF">
        <w:rPr>
          <w:rFonts w:cs="Arial"/>
        </w:rPr>
        <w:t xml:space="preserve">In the third quarter of 2023, the population of young people aged 15-24 decreased by 7 100 compared to the same quarter of the previous year. The number of young people outside the </w:t>
      </w:r>
      <w:r w:rsidR="001E6133" w:rsidRPr="00BA29BF">
        <w:rPr>
          <w:rFonts w:cs="Arial"/>
        </w:rPr>
        <w:t>labour</w:t>
      </w:r>
      <w:r w:rsidRPr="00BA29BF">
        <w:rPr>
          <w:rFonts w:cs="Arial"/>
        </w:rPr>
        <w:t xml:space="preserve"> force decreased by 4 500, the number of the unemployed by 2 600, while the number of the employed young people remained unchanged. Thus, the number of employed young people in the observed quarter was 166 900, the number of unemployed was 55 400, and the number of the population outside the </w:t>
      </w:r>
      <w:r w:rsidR="001E6133" w:rsidRPr="00BA29BF">
        <w:rPr>
          <w:rFonts w:cs="Arial"/>
        </w:rPr>
        <w:t>labour</w:t>
      </w:r>
      <w:r w:rsidRPr="00BA29BF">
        <w:rPr>
          <w:rFonts w:cs="Arial"/>
        </w:rPr>
        <w:t xml:space="preserve"> force was 452 700.</w:t>
      </w:r>
    </w:p>
    <w:p w14:paraId="7045D69B" w14:textId="28643E56" w:rsidR="0039121A" w:rsidRPr="00D0012A" w:rsidRDefault="0039121A" w:rsidP="009F1C99">
      <w:pPr>
        <w:suppressAutoHyphens w:val="0"/>
        <w:spacing w:before="120" w:after="120" w:line="228" w:lineRule="auto"/>
        <w:jc w:val="both"/>
        <w:rPr>
          <w:rFonts w:cs="Arial"/>
        </w:rPr>
      </w:pPr>
      <w:r w:rsidRPr="00BA29BF">
        <w:rPr>
          <w:rFonts w:cs="Arial"/>
        </w:rPr>
        <w:t>The share of the young people aged 15-24 who neither work nor are in the process of education or training in the total youth population, i.e. the NEET rate, was 12.8% and compared to the same quarter of the previous year, it is lower by 0.7%. In the population aged 15-29, the NEET rate was at the level of 15.8%, which represents a slight increase of 0.4 p. p. in the observed period.</w:t>
      </w:r>
    </w:p>
    <w:p w14:paraId="5F867C9E" w14:textId="77777777" w:rsidR="006D04F3" w:rsidRPr="00D0012A" w:rsidRDefault="007E139D" w:rsidP="009F1C99">
      <w:pPr>
        <w:pStyle w:val="NormalWeb"/>
        <w:spacing w:before="480" w:after="120" w:line="228" w:lineRule="auto"/>
        <w:jc w:val="both"/>
        <w:rPr>
          <w:rStyle w:val="Heading1Char"/>
          <w:rFonts w:ascii="Arial" w:eastAsia="Calibri" w:hAnsi="Arial" w:cs="Arial"/>
          <w:b w:val="0"/>
          <w:bCs w:val="0"/>
          <w:color w:val="2E71AC"/>
          <w:sz w:val="22"/>
          <w:szCs w:val="22"/>
        </w:rPr>
      </w:pPr>
      <w:r w:rsidRPr="00D0012A">
        <w:rPr>
          <w:rStyle w:val="Heading1Char"/>
          <w:rFonts w:ascii="Arial" w:eastAsia="Calibri" w:hAnsi="Arial" w:cs="Arial"/>
          <w:b w:val="0"/>
          <w:bCs w:val="0"/>
          <w:color w:val="2E71AC"/>
          <w:sz w:val="22"/>
          <w:szCs w:val="22"/>
        </w:rPr>
        <w:t>Comparison with the previous quarter</w:t>
      </w:r>
    </w:p>
    <w:p w14:paraId="24F9F9BB" w14:textId="221EABD6" w:rsidR="00B8402E" w:rsidRPr="00D0012A" w:rsidRDefault="00B8402E" w:rsidP="009F1C99">
      <w:pPr>
        <w:suppressAutoHyphens w:val="0"/>
        <w:spacing w:before="120" w:after="120" w:line="228" w:lineRule="auto"/>
        <w:jc w:val="both"/>
        <w:rPr>
          <w:rFonts w:cs="Arial"/>
        </w:rPr>
      </w:pPr>
      <w:r w:rsidRPr="00D0012A">
        <w:rPr>
          <w:rFonts w:cs="Arial"/>
        </w:rPr>
        <w:t>In the third quarter of 2023, compared to the second quarter, the total population aged 15 and over decreased by 11 300</w:t>
      </w:r>
      <w:r w:rsidR="00147A9E">
        <w:rPr>
          <w:rFonts w:cs="Arial"/>
        </w:rPr>
        <w:t xml:space="preserve"> </w:t>
      </w:r>
      <w:r w:rsidR="00147A9E" w:rsidRPr="00147A9E">
        <w:rPr>
          <w:rFonts w:cs="Arial"/>
        </w:rPr>
        <w:t>and amounted to 5</w:t>
      </w:r>
      <w:r w:rsidR="00147A9E">
        <w:rPr>
          <w:rFonts w:cs="Arial"/>
        </w:rPr>
        <w:t xml:space="preserve"> </w:t>
      </w:r>
      <w:r w:rsidR="00147A9E" w:rsidRPr="00147A9E">
        <w:rPr>
          <w:rFonts w:cs="Arial"/>
        </w:rPr>
        <w:t>693</w:t>
      </w:r>
      <w:r w:rsidR="00147A9E">
        <w:rPr>
          <w:rFonts w:cs="Arial"/>
        </w:rPr>
        <w:t xml:space="preserve"> </w:t>
      </w:r>
      <w:r w:rsidR="00147A9E" w:rsidRPr="00147A9E">
        <w:rPr>
          <w:rFonts w:cs="Arial"/>
        </w:rPr>
        <w:t>500</w:t>
      </w:r>
      <w:r w:rsidRPr="00D0012A">
        <w:rPr>
          <w:rFonts w:cs="Arial"/>
        </w:rPr>
        <w:t>. The number of unemployed persons</w:t>
      </w:r>
      <w:r w:rsidR="00147A9E">
        <w:rPr>
          <w:rFonts w:cs="Arial"/>
        </w:rPr>
        <w:t>,</w:t>
      </w:r>
      <w:r w:rsidR="00147A9E" w:rsidRPr="00147A9E">
        <w:t xml:space="preserve"> </w:t>
      </w:r>
      <w:r w:rsidR="00147A9E" w:rsidRPr="00147A9E">
        <w:rPr>
          <w:rFonts w:cs="Arial"/>
        </w:rPr>
        <w:t>which in the third quarter of 2023 was 285</w:t>
      </w:r>
      <w:r w:rsidR="00147A9E">
        <w:rPr>
          <w:rFonts w:cs="Arial"/>
        </w:rPr>
        <w:t xml:space="preserve"> </w:t>
      </w:r>
      <w:r w:rsidR="00147A9E" w:rsidRPr="00147A9E">
        <w:rPr>
          <w:rFonts w:cs="Arial"/>
        </w:rPr>
        <w:t>700</w:t>
      </w:r>
      <w:r w:rsidRPr="00D0012A">
        <w:rPr>
          <w:rFonts w:cs="Arial"/>
        </w:rPr>
        <w:t xml:space="preserve"> decreased by 20 900</w:t>
      </w:r>
      <w:r w:rsidR="00147A9E">
        <w:rPr>
          <w:rFonts w:cs="Arial"/>
        </w:rPr>
        <w:t xml:space="preserve">, </w:t>
      </w:r>
      <w:r w:rsidR="00147A9E" w:rsidRPr="00147A9E">
        <w:rPr>
          <w:rFonts w:cs="Arial"/>
        </w:rPr>
        <w:t xml:space="preserve">the number of </w:t>
      </w:r>
      <w:r w:rsidR="00147A9E">
        <w:rPr>
          <w:rFonts w:cs="Arial"/>
        </w:rPr>
        <w:t>people</w:t>
      </w:r>
      <w:r w:rsidR="00147A9E" w:rsidRPr="00147A9E">
        <w:rPr>
          <w:rFonts w:cs="Arial"/>
        </w:rPr>
        <w:t xml:space="preserve"> outside the labo</w:t>
      </w:r>
      <w:r w:rsidR="00147A9E">
        <w:rPr>
          <w:rFonts w:cs="Arial"/>
        </w:rPr>
        <w:t>u</w:t>
      </w:r>
      <w:r w:rsidR="00147A9E" w:rsidRPr="00147A9E">
        <w:rPr>
          <w:rFonts w:cs="Arial"/>
        </w:rPr>
        <w:t>r force was 2</w:t>
      </w:r>
      <w:r w:rsidR="00147A9E">
        <w:rPr>
          <w:rFonts w:cs="Arial"/>
        </w:rPr>
        <w:t xml:space="preserve"> </w:t>
      </w:r>
      <w:r w:rsidR="00147A9E" w:rsidRPr="00147A9E">
        <w:rPr>
          <w:rFonts w:cs="Arial"/>
        </w:rPr>
        <w:t>519</w:t>
      </w:r>
      <w:r w:rsidR="00147A9E">
        <w:rPr>
          <w:rFonts w:cs="Arial"/>
        </w:rPr>
        <w:t xml:space="preserve"> </w:t>
      </w:r>
      <w:r w:rsidR="00147A9E" w:rsidRPr="00147A9E">
        <w:rPr>
          <w:rFonts w:cs="Arial"/>
        </w:rPr>
        <w:t>300</w:t>
      </w:r>
      <w:r w:rsidR="00147A9E">
        <w:rPr>
          <w:rFonts w:cs="Arial"/>
        </w:rPr>
        <w:t xml:space="preserve"> and recorded a decrease</w:t>
      </w:r>
      <w:r w:rsidR="00147A9E" w:rsidRPr="00147A9E">
        <w:rPr>
          <w:rFonts w:cs="Arial"/>
        </w:rPr>
        <w:t xml:space="preserve"> </w:t>
      </w:r>
      <w:r w:rsidRPr="00D0012A">
        <w:rPr>
          <w:rFonts w:cs="Arial"/>
        </w:rPr>
        <w:t>by 2 300</w:t>
      </w:r>
      <w:r w:rsidR="00147A9E">
        <w:rPr>
          <w:rFonts w:cs="Arial"/>
        </w:rPr>
        <w:t>.</w:t>
      </w:r>
      <w:r w:rsidRPr="00D0012A">
        <w:rPr>
          <w:rFonts w:cs="Arial"/>
        </w:rPr>
        <w:t xml:space="preserve"> </w:t>
      </w:r>
      <w:r w:rsidR="00147A9E">
        <w:rPr>
          <w:rFonts w:cs="Arial"/>
        </w:rPr>
        <w:t>T</w:t>
      </w:r>
      <w:r w:rsidRPr="00D0012A">
        <w:rPr>
          <w:rFonts w:cs="Arial"/>
        </w:rPr>
        <w:t>he number of employed persons increased by 11 900</w:t>
      </w:r>
      <w:r w:rsidR="00147A9E">
        <w:rPr>
          <w:rFonts w:cs="Arial"/>
        </w:rPr>
        <w:t xml:space="preserve"> and </w:t>
      </w:r>
      <w:r w:rsidR="00147A9E" w:rsidRPr="00147A9E">
        <w:rPr>
          <w:rFonts w:cs="Arial"/>
        </w:rPr>
        <w:t>amounted to 2</w:t>
      </w:r>
      <w:r w:rsidR="00147A9E">
        <w:rPr>
          <w:rFonts w:cs="Arial"/>
        </w:rPr>
        <w:t xml:space="preserve"> </w:t>
      </w:r>
      <w:r w:rsidR="00147A9E" w:rsidRPr="00147A9E">
        <w:rPr>
          <w:rFonts w:cs="Arial"/>
        </w:rPr>
        <w:t>888</w:t>
      </w:r>
      <w:r w:rsidR="00147A9E">
        <w:rPr>
          <w:rFonts w:cs="Arial"/>
        </w:rPr>
        <w:t xml:space="preserve"> </w:t>
      </w:r>
      <w:r w:rsidR="00147A9E" w:rsidRPr="00147A9E">
        <w:rPr>
          <w:rFonts w:cs="Arial"/>
        </w:rPr>
        <w:t>500</w:t>
      </w:r>
      <w:r w:rsidRPr="00D0012A">
        <w:rPr>
          <w:rFonts w:cs="Arial"/>
        </w:rPr>
        <w:t xml:space="preserve">. Such developments in the </w:t>
      </w:r>
      <w:r w:rsidR="001E6133" w:rsidRPr="00D0012A">
        <w:rPr>
          <w:rFonts w:cs="Arial"/>
        </w:rPr>
        <w:t>labour</w:t>
      </w:r>
      <w:r w:rsidRPr="00D0012A">
        <w:rPr>
          <w:rFonts w:cs="Arial"/>
        </w:rPr>
        <w:t xml:space="preserve"> market led to an increase in the employment rate by 0.3 p. p., reducing the unemployment rate by 0.6 p.p., while the rate of the population outside the </w:t>
      </w:r>
      <w:r w:rsidR="001E6133" w:rsidRPr="00D0012A">
        <w:rPr>
          <w:rFonts w:cs="Arial"/>
        </w:rPr>
        <w:t>labour</w:t>
      </w:r>
      <w:r w:rsidRPr="00D0012A">
        <w:rPr>
          <w:rFonts w:cs="Arial"/>
        </w:rPr>
        <w:t xml:space="preserve"> force remained unchanged.</w:t>
      </w:r>
      <w:r w:rsidR="00537A28" w:rsidRPr="00537A28">
        <w:t xml:space="preserve"> </w:t>
      </w:r>
      <w:r w:rsidR="00537A28">
        <w:t xml:space="preserve">Rate of employment in third quarter </w:t>
      </w:r>
      <w:r w:rsidR="00BA29BF">
        <w:t>amounted to</w:t>
      </w:r>
      <w:r w:rsidR="00537A28">
        <w:t xml:space="preserve"> </w:t>
      </w:r>
      <w:r w:rsidR="00537A28">
        <w:rPr>
          <w:rFonts w:cs="Arial"/>
        </w:rPr>
        <w:t>50</w:t>
      </w:r>
      <w:proofErr w:type="gramStart"/>
      <w:r w:rsidR="00537A28">
        <w:rPr>
          <w:rFonts w:cs="Arial"/>
        </w:rPr>
        <w:t>,7</w:t>
      </w:r>
      <w:proofErr w:type="gramEnd"/>
      <w:r w:rsidR="00537A28">
        <w:rPr>
          <w:rFonts w:cs="Arial"/>
        </w:rPr>
        <w:t>%, rate of unemployment</w:t>
      </w:r>
      <w:r w:rsidR="00537A28" w:rsidRPr="00537A28">
        <w:rPr>
          <w:rFonts w:cs="Arial"/>
        </w:rPr>
        <w:t xml:space="preserve"> 9,0%, </w:t>
      </w:r>
      <w:r w:rsidR="00537A28">
        <w:rPr>
          <w:rFonts w:cs="Arial"/>
        </w:rPr>
        <w:t>while outside</w:t>
      </w:r>
      <w:r w:rsidR="008E405F">
        <w:rPr>
          <w:rFonts w:cs="Arial"/>
        </w:rPr>
        <w:t xml:space="preserve"> the</w:t>
      </w:r>
      <w:r w:rsidR="00537A28">
        <w:rPr>
          <w:rFonts w:cs="Arial"/>
        </w:rPr>
        <w:t xml:space="preserve"> labour force</w:t>
      </w:r>
      <w:r w:rsidR="008E405F">
        <w:rPr>
          <w:rFonts w:cs="Arial"/>
        </w:rPr>
        <w:t xml:space="preserve"> population</w:t>
      </w:r>
      <w:r w:rsidR="00537A28">
        <w:rPr>
          <w:rFonts w:cs="Arial"/>
        </w:rPr>
        <w:t xml:space="preserve"> rate was at level of </w:t>
      </w:r>
      <w:r w:rsidR="00537A28" w:rsidRPr="00537A28">
        <w:rPr>
          <w:rFonts w:cs="Arial"/>
        </w:rPr>
        <w:t xml:space="preserve"> 44,2%.</w:t>
      </w:r>
    </w:p>
    <w:p w14:paraId="3C60F0B5" w14:textId="14E9D80D" w:rsidR="00B8402E" w:rsidRPr="00D0012A" w:rsidRDefault="00B8402E" w:rsidP="009F1C99">
      <w:pPr>
        <w:suppressAutoHyphens w:val="0"/>
        <w:spacing w:before="120" w:after="120" w:line="228" w:lineRule="auto"/>
        <w:jc w:val="both"/>
        <w:rPr>
          <w:rFonts w:cs="Arial"/>
        </w:rPr>
      </w:pPr>
      <w:r w:rsidRPr="00D0012A">
        <w:rPr>
          <w:rFonts w:cs="Arial"/>
        </w:rPr>
        <w:t xml:space="preserve">In the male population, there was a decrease in the number of employed persons (1 300) and the number of unemployed persons (10 500), as well as an increase in the number of the population outside the </w:t>
      </w:r>
      <w:r w:rsidR="001E6133" w:rsidRPr="00D0012A">
        <w:rPr>
          <w:rFonts w:cs="Arial"/>
        </w:rPr>
        <w:t>labour</w:t>
      </w:r>
      <w:r w:rsidRPr="00D0012A">
        <w:rPr>
          <w:rFonts w:cs="Arial"/>
        </w:rPr>
        <w:t xml:space="preserve"> force by 6</w:t>
      </w:r>
      <w:r w:rsidR="00D0012A">
        <w:rPr>
          <w:rFonts w:cs="Arial"/>
        </w:rPr>
        <w:t> </w:t>
      </w:r>
      <w:r w:rsidRPr="00D0012A">
        <w:rPr>
          <w:rFonts w:cs="Arial"/>
        </w:rPr>
        <w:t xml:space="preserve">200. </w:t>
      </w:r>
      <w:r w:rsidR="005A4A79" w:rsidRPr="005A4A79">
        <w:rPr>
          <w:rFonts w:cs="Arial"/>
        </w:rPr>
        <w:t>In the third quarter of 2023, there were 1</w:t>
      </w:r>
      <w:r w:rsidR="005A4A79">
        <w:rPr>
          <w:rFonts w:cs="Arial"/>
        </w:rPr>
        <w:t xml:space="preserve"> </w:t>
      </w:r>
      <w:r w:rsidR="005A4A79" w:rsidRPr="005A4A79">
        <w:rPr>
          <w:rFonts w:cs="Arial"/>
        </w:rPr>
        <w:t>579</w:t>
      </w:r>
      <w:r w:rsidR="005A4A79">
        <w:rPr>
          <w:rFonts w:cs="Arial"/>
        </w:rPr>
        <w:t xml:space="preserve"> </w:t>
      </w:r>
      <w:r w:rsidR="005A4A79" w:rsidRPr="005A4A79">
        <w:rPr>
          <w:rFonts w:cs="Arial"/>
        </w:rPr>
        <w:t>900 employed men, 146</w:t>
      </w:r>
      <w:r w:rsidR="005A4A79">
        <w:rPr>
          <w:rFonts w:cs="Arial"/>
        </w:rPr>
        <w:t xml:space="preserve"> </w:t>
      </w:r>
      <w:r w:rsidR="005A4A79" w:rsidRPr="005A4A79">
        <w:rPr>
          <w:rFonts w:cs="Arial"/>
        </w:rPr>
        <w:t>500 unemployed and 1</w:t>
      </w:r>
      <w:r w:rsidR="005A4A79">
        <w:rPr>
          <w:rFonts w:cs="Arial"/>
        </w:rPr>
        <w:t xml:space="preserve"> </w:t>
      </w:r>
      <w:r w:rsidR="005A4A79" w:rsidRPr="005A4A79">
        <w:rPr>
          <w:rFonts w:cs="Arial"/>
        </w:rPr>
        <w:t>014</w:t>
      </w:r>
      <w:r w:rsidR="005A4A79">
        <w:rPr>
          <w:rFonts w:cs="Arial"/>
        </w:rPr>
        <w:t xml:space="preserve"> </w:t>
      </w:r>
      <w:r w:rsidR="005A4A79" w:rsidRPr="005A4A79">
        <w:rPr>
          <w:rFonts w:cs="Arial"/>
        </w:rPr>
        <w:t>500 out of the labo</w:t>
      </w:r>
      <w:r w:rsidR="005A4A79">
        <w:rPr>
          <w:rFonts w:cs="Arial"/>
        </w:rPr>
        <w:t>u</w:t>
      </w:r>
      <w:r w:rsidR="005A4A79" w:rsidRPr="005A4A79">
        <w:rPr>
          <w:rFonts w:cs="Arial"/>
        </w:rPr>
        <w:t>r force.</w:t>
      </w:r>
      <w:r w:rsidR="005A4A79">
        <w:rPr>
          <w:rFonts w:cs="Arial"/>
        </w:rPr>
        <w:t xml:space="preserve"> </w:t>
      </w:r>
      <w:r w:rsidRPr="00D0012A">
        <w:rPr>
          <w:rFonts w:cs="Arial"/>
        </w:rPr>
        <w:t xml:space="preserve">In contrast to the male population, in the female population, the contingent of the employed recorded an increase of 13 200, the contingent of the population outside the </w:t>
      </w:r>
      <w:r w:rsidR="001E6133" w:rsidRPr="00D0012A">
        <w:rPr>
          <w:rFonts w:cs="Arial"/>
        </w:rPr>
        <w:t>labour</w:t>
      </w:r>
      <w:r w:rsidRPr="00D0012A">
        <w:rPr>
          <w:rFonts w:cs="Arial"/>
        </w:rPr>
        <w:t xml:space="preserve"> force decreased by 8 600, as well as the number of unemployed that also decreased, as in the male population, by 10 400.</w:t>
      </w:r>
      <w:r w:rsidR="001676E5">
        <w:rPr>
          <w:rFonts w:cs="Arial"/>
        </w:rPr>
        <w:t xml:space="preserve"> </w:t>
      </w:r>
      <w:r w:rsidR="001676E5" w:rsidRPr="001676E5">
        <w:rPr>
          <w:rFonts w:cs="Arial"/>
        </w:rPr>
        <w:t>In the third quarter of 2023, there were 1</w:t>
      </w:r>
      <w:r w:rsidR="001676E5">
        <w:rPr>
          <w:rFonts w:cs="Arial"/>
        </w:rPr>
        <w:t xml:space="preserve"> </w:t>
      </w:r>
      <w:r w:rsidR="001676E5" w:rsidRPr="001676E5">
        <w:rPr>
          <w:rFonts w:cs="Arial"/>
        </w:rPr>
        <w:t>308</w:t>
      </w:r>
      <w:r w:rsidR="001676E5">
        <w:rPr>
          <w:rFonts w:cs="Arial"/>
        </w:rPr>
        <w:t xml:space="preserve"> </w:t>
      </w:r>
      <w:r w:rsidR="001676E5" w:rsidRPr="001676E5">
        <w:rPr>
          <w:rFonts w:cs="Arial"/>
        </w:rPr>
        <w:t>600 employed, 139</w:t>
      </w:r>
      <w:r w:rsidR="001676E5">
        <w:rPr>
          <w:rFonts w:cs="Arial"/>
        </w:rPr>
        <w:t xml:space="preserve"> </w:t>
      </w:r>
      <w:r w:rsidR="001676E5" w:rsidRPr="001676E5">
        <w:rPr>
          <w:rFonts w:cs="Arial"/>
        </w:rPr>
        <w:t>200 unemployed, and 1</w:t>
      </w:r>
      <w:r w:rsidR="001676E5">
        <w:rPr>
          <w:rFonts w:cs="Arial"/>
        </w:rPr>
        <w:t xml:space="preserve"> </w:t>
      </w:r>
      <w:r w:rsidR="001676E5" w:rsidRPr="001676E5">
        <w:rPr>
          <w:rFonts w:cs="Arial"/>
        </w:rPr>
        <w:t>504</w:t>
      </w:r>
      <w:r w:rsidR="001676E5">
        <w:rPr>
          <w:rFonts w:cs="Arial"/>
        </w:rPr>
        <w:t xml:space="preserve"> </w:t>
      </w:r>
      <w:r w:rsidR="001676E5" w:rsidRPr="001676E5">
        <w:rPr>
          <w:rFonts w:cs="Arial"/>
        </w:rPr>
        <w:t>900 women out of the labo</w:t>
      </w:r>
      <w:r w:rsidR="001676E5">
        <w:rPr>
          <w:rFonts w:cs="Arial"/>
        </w:rPr>
        <w:t>u</w:t>
      </w:r>
      <w:r w:rsidR="001676E5" w:rsidRPr="001676E5">
        <w:rPr>
          <w:rFonts w:cs="Arial"/>
        </w:rPr>
        <w:t>r force.</w:t>
      </w:r>
    </w:p>
    <w:p w14:paraId="62E5073A" w14:textId="52DA6DF7" w:rsidR="00F47930" w:rsidRPr="00D0012A" w:rsidRDefault="00F47930" w:rsidP="009F1C99">
      <w:pPr>
        <w:suppressAutoHyphens w:val="0"/>
        <w:spacing w:before="120" w:after="120" w:line="228" w:lineRule="auto"/>
        <w:jc w:val="both"/>
        <w:rPr>
          <w:rFonts w:cs="Arial"/>
        </w:rPr>
      </w:pPr>
      <w:r w:rsidRPr="00D0012A">
        <w:rPr>
          <w:rFonts w:cs="Arial"/>
        </w:rPr>
        <w:t>Within the overall increase in the number of employees by 11 900, informal employment increased by 15 500, while formal employment decreased by 3 600. Quarter-on-quarter increase of informal employment was concentrated in the agricultural sector (growth of 16 200), which is expected considering seasonality of agricultural works, while other sectors of activity (together) recorded a slight decrease in informal employment (700). At the same time, the total number of formally employed is lower by 3 600, with a decrease of 7 400 in non-agricultural sector, and an increase of 3 800 in agricultural sector.</w:t>
      </w:r>
    </w:p>
    <w:p w14:paraId="20B45861" w14:textId="7EA7998E" w:rsidR="00F47930" w:rsidRPr="00D0012A" w:rsidRDefault="00F47930" w:rsidP="009F1C99">
      <w:pPr>
        <w:suppressAutoHyphens w:val="0"/>
        <w:spacing w:before="120" w:after="120" w:line="228" w:lineRule="auto"/>
        <w:jc w:val="both"/>
        <w:rPr>
          <w:rFonts w:cs="Arial"/>
        </w:rPr>
      </w:pPr>
      <w:r w:rsidRPr="00D0012A">
        <w:rPr>
          <w:rFonts w:cs="Arial"/>
        </w:rPr>
        <w:t>An interregional comparison with the previous quarter shows an increase in the employment rate in all regions (the highest in Region Južn</w:t>
      </w:r>
      <w:r w:rsidR="000A7D4E">
        <w:rPr>
          <w:rFonts w:cs="Arial"/>
        </w:rPr>
        <w:t>a</w:t>
      </w:r>
      <w:r w:rsidRPr="00D0012A">
        <w:rPr>
          <w:rFonts w:cs="Arial"/>
        </w:rPr>
        <w:t xml:space="preserve"> i Istočn</w:t>
      </w:r>
      <w:r w:rsidR="000A7D4E">
        <w:rPr>
          <w:rFonts w:cs="Arial"/>
        </w:rPr>
        <w:t>a</w:t>
      </w:r>
      <w:r w:rsidRPr="00D0012A">
        <w:rPr>
          <w:rFonts w:cs="Arial"/>
        </w:rPr>
        <w:t xml:space="preserve"> Srbij</w:t>
      </w:r>
      <w:r w:rsidR="000A7D4E">
        <w:rPr>
          <w:rFonts w:cs="Arial"/>
        </w:rPr>
        <w:t>a</w:t>
      </w:r>
      <w:r w:rsidRPr="00D0012A">
        <w:rPr>
          <w:rFonts w:cs="Arial"/>
        </w:rPr>
        <w:t xml:space="preserve"> by 2.0 p.p.), except in Region Vojvodin</w:t>
      </w:r>
      <w:r w:rsidR="000A7D4E">
        <w:rPr>
          <w:rFonts w:cs="Arial"/>
        </w:rPr>
        <w:t>a</w:t>
      </w:r>
      <w:r w:rsidRPr="00D0012A">
        <w:rPr>
          <w:rFonts w:cs="Arial"/>
        </w:rPr>
        <w:t>, where a decrease in this rate by 1.9 p.p. was recorded. The unemployment rate is growing in Region Vojvodin</w:t>
      </w:r>
      <w:r w:rsidR="000A7D4E">
        <w:rPr>
          <w:rFonts w:cs="Arial"/>
        </w:rPr>
        <w:t>a</w:t>
      </w:r>
      <w:r w:rsidRPr="00D0012A">
        <w:rPr>
          <w:rFonts w:cs="Arial"/>
        </w:rPr>
        <w:t xml:space="preserve"> by 2.2 p. p. while </w:t>
      </w:r>
      <w:r w:rsidR="006F7279" w:rsidRPr="00D0012A">
        <w:rPr>
          <w:rFonts w:cs="Arial"/>
        </w:rPr>
        <w:t xml:space="preserve">it is </w:t>
      </w:r>
      <w:r w:rsidRPr="00D0012A">
        <w:rPr>
          <w:rFonts w:cs="Arial"/>
        </w:rPr>
        <w:t xml:space="preserve">recording a decline in the remaining three regions. The largest decrease in the unemployment rate was in the Region </w:t>
      </w:r>
      <w:r w:rsidR="006F7279" w:rsidRPr="00D0012A">
        <w:rPr>
          <w:rFonts w:cs="Arial"/>
        </w:rPr>
        <w:t>Južn</w:t>
      </w:r>
      <w:r w:rsidR="000A7D4E">
        <w:rPr>
          <w:rFonts w:cs="Arial"/>
        </w:rPr>
        <w:t>a</w:t>
      </w:r>
      <w:r w:rsidR="006F7279" w:rsidRPr="00D0012A">
        <w:rPr>
          <w:rFonts w:cs="Arial"/>
        </w:rPr>
        <w:t xml:space="preserve"> i Istočn</w:t>
      </w:r>
      <w:r w:rsidR="000A7D4E">
        <w:rPr>
          <w:rFonts w:cs="Arial"/>
        </w:rPr>
        <w:t>a</w:t>
      </w:r>
      <w:r w:rsidRPr="00D0012A">
        <w:rPr>
          <w:rFonts w:cs="Arial"/>
        </w:rPr>
        <w:t xml:space="preserve"> Srbi</w:t>
      </w:r>
      <w:r w:rsidR="006F7279" w:rsidRPr="00D0012A">
        <w:rPr>
          <w:rFonts w:cs="Arial"/>
        </w:rPr>
        <w:t>j</w:t>
      </w:r>
      <w:r w:rsidR="000A7D4E">
        <w:rPr>
          <w:rFonts w:cs="Arial"/>
        </w:rPr>
        <w:t>a</w:t>
      </w:r>
      <w:r w:rsidRPr="00D0012A">
        <w:rPr>
          <w:rFonts w:cs="Arial"/>
        </w:rPr>
        <w:t xml:space="preserve"> (2.4 p.p.), where at the same time a decrease in the rate of the population outside the labo</w:t>
      </w:r>
      <w:r w:rsidR="003921F8" w:rsidRPr="00D0012A">
        <w:rPr>
          <w:rFonts w:cs="Arial"/>
        </w:rPr>
        <w:t>u</w:t>
      </w:r>
      <w:r w:rsidRPr="00D0012A">
        <w:rPr>
          <w:rFonts w:cs="Arial"/>
        </w:rPr>
        <w:t xml:space="preserve">r force by 0.8 p.p. was recorded. </w:t>
      </w:r>
      <w:r w:rsidR="006F7279" w:rsidRPr="00D0012A">
        <w:rPr>
          <w:rFonts w:cs="Arial"/>
        </w:rPr>
        <w:t>R</w:t>
      </w:r>
      <w:r w:rsidRPr="00D0012A">
        <w:rPr>
          <w:rFonts w:cs="Arial"/>
        </w:rPr>
        <w:t>egion Vojvodin</w:t>
      </w:r>
      <w:r w:rsidR="000A7D4E">
        <w:rPr>
          <w:rFonts w:cs="Arial"/>
        </w:rPr>
        <w:t>a</w:t>
      </w:r>
      <w:r w:rsidRPr="00D0012A">
        <w:rPr>
          <w:rFonts w:cs="Arial"/>
        </w:rPr>
        <w:t xml:space="preserve"> recorded the highest increase in the rate of the population outside the </w:t>
      </w:r>
      <w:r w:rsidR="001E6133" w:rsidRPr="00D0012A">
        <w:rPr>
          <w:rFonts w:cs="Arial"/>
        </w:rPr>
        <w:t>labour</w:t>
      </w:r>
      <w:r w:rsidRPr="00D0012A">
        <w:rPr>
          <w:rFonts w:cs="Arial"/>
        </w:rPr>
        <w:t xml:space="preserve"> force (0.7 p.p.), while in Be</w:t>
      </w:r>
      <w:r w:rsidR="006F7279" w:rsidRPr="00D0012A">
        <w:rPr>
          <w:rFonts w:cs="Arial"/>
        </w:rPr>
        <w:t>ogradski</w:t>
      </w:r>
      <w:r w:rsidRPr="00D0012A">
        <w:rPr>
          <w:rFonts w:cs="Arial"/>
        </w:rPr>
        <w:t xml:space="preserve"> </w:t>
      </w:r>
      <w:r w:rsidR="006F7279" w:rsidRPr="00D0012A">
        <w:rPr>
          <w:rFonts w:cs="Arial"/>
        </w:rPr>
        <w:t>R</w:t>
      </w:r>
      <w:r w:rsidRPr="00D0012A">
        <w:rPr>
          <w:rFonts w:cs="Arial"/>
        </w:rPr>
        <w:t>egion this rate remained the same as in the second quarter of 2023.</w:t>
      </w:r>
    </w:p>
    <w:p w14:paraId="33378BE3" w14:textId="41F6E8F8" w:rsidR="006F7279" w:rsidRPr="00D0012A" w:rsidRDefault="006F7279" w:rsidP="009F1C99">
      <w:pPr>
        <w:suppressAutoHyphens w:val="0"/>
        <w:spacing w:before="120" w:after="120" w:line="228" w:lineRule="auto"/>
        <w:jc w:val="both"/>
        <w:rPr>
          <w:rFonts w:cs="Arial"/>
        </w:rPr>
      </w:pPr>
      <w:r w:rsidRPr="00D0012A">
        <w:rPr>
          <w:rFonts w:cs="Arial"/>
        </w:rPr>
        <w:t xml:space="preserve">The total number of population aged 15-24 is lower by 1 300 compared to the previous quarter. The number of active young people increased by 9 </w:t>
      </w:r>
      <w:r w:rsidR="0088201F">
        <w:rPr>
          <w:rFonts w:cs="Arial"/>
        </w:rPr>
        <w:t>1</w:t>
      </w:r>
      <w:r w:rsidR="0088201F" w:rsidRPr="00D0012A">
        <w:rPr>
          <w:rFonts w:cs="Arial"/>
        </w:rPr>
        <w:t>00</w:t>
      </w:r>
      <w:r w:rsidRPr="00D0012A">
        <w:rPr>
          <w:rFonts w:cs="Arial"/>
        </w:rPr>
        <w:t xml:space="preserve">, and the number of the population outside the </w:t>
      </w:r>
      <w:r w:rsidR="001E6133" w:rsidRPr="00D0012A">
        <w:rPr>
          <w:rFonts w:cs="Arial"/>
        </w:rPr>
        <w:t>labour</w:t>
      </w:r>
      <w:r w:rsidRPr="00D0012A">
        <w:rPr>
          <w:rFonts w:cs="Arial"/>
        </w:rPr>
        <w:t xml:space="preserve"> force decreased by 10</w:t>
      </w:r>
      <w:r w:rsidR="00D0012A">
        <w:rPr>
          <w:rFonts w:cs="Arial"/>
        </w:rPr>
        <w:t> </w:t>
      </w:r>
      <w:r w:rsidRPr="00D0012A">
        <w:rPr>
          <w:rFonts w:cs="Arial"/>
        </w:rPr>
        <w:t xml:space="preserve">500. Such a trend led to an increase in the employment rate by 1.0 p. p. as well as unemployment rate by </w:t>
      </w:r>
      <w:r w:rsidR="0091624C">
        <w:rPr>
          <w:rFonts w:cs="Arial"/>
        </w:rPr>
        <w:t xml:space="preserve">       </w:t>
      </w:r>
      <w:r w:rsidRPr="00D0012A">
        <w:rPr>
          <w:rFonts w:cs="Arial"/>
        </w:rPr>
        <w:t xml:space="preserve">0.2 p. p., while the rate of the youth population outside the </w:t>
      </w:r>
      <w:r w:rsidR="001E6133" w:rsidRPr="00D0012A">
        <w:rPr>
          <w:rFonts w:cs="Arial"/>
        </w:rPr>
        <w:t>labour</w:t>
      </w:r>
      <w:r w:rsidRPr="00D0012A">
        <w:rPr>
          <w:rFonts w:cs="Arial"/>
        </w:rPr>
        <w:t xml:space="preserve"> force is lower by 1.4 p. p.</w:t>
      </w:r>
    </w:p>
    <w:p w14:paraId="1E6F2F6E" w14:textId="2DDDEF2C" w:rsidR="009B3E4B" w:rsidRPr="00D0012A" w:rsidRDefault="006F7279" w:rsidP="009F1C99">
      <w:pPr>
        <w:suppressAutoHyphens w:val="0"/>
        <w:spacing w:before="120" w:after="120" w:line="228" w:lineRule="auto"/>
        <w:jc w:val="both"/>
        <w:rPr>
          <w:rFonts w:cs="Arial"/>
        </w:rPr>
      </w:pPr>
      <w:r w:rsidRPr="00D0012A">
        <w:rPr>
          <w:rFonts w:cs="Arial"/>
        </w:rPr>
        <w:t xml:space="preserve">The so-called NEET rate (15-24) in the quarter – on - quarter period increased by 1.2 p. p. </w:t>
      </w:r>
    </w:p>
    <w:p w14:paraId="798E9227" w14:textId="77777777" w:rsidR="006D04F3" w:rsidRPr="00D0012A" w:rsidRDefault="006D04F3" w:rsidP="006C67B7">
      <w:pPr>
        <w:spacing w:before="120" w:after="120"/>
        <w:jc w:val="both"/>
        <w:rPr>
          <w:rFonts w:cs="Arial"/>
        </w:rPr>
      </w:pPr>
      <w:bookmarkStart w:id="0" w:name="_GoBack"/>
      <w:bookmarkEnd w:id="0"/>
    </w:p>
    <w:p w14:paraId="3D7E2B16" w14:textId="0F9CA3E7" w:rsidR="006D04F3" w:rsidRPr="00D0012A" w:rsidRDefault="00B971E2" w:rsidP="00D0012A">
      <w:pPr>
        <w:spacing w:before="120" w:after="120"/>
        <w:jc w:val="center"/>
        <w:rPr>
          <w:rStyle w:val="IntenseEmphasis1"/>
          <w:rFonts w:cs="Arial"/>
          <w:i w:val="0"/>
          <w:iCs w:val="0"/>
          <w:color w:val="auto"/>
        </w:rPr>
      </w:pPr>
      <w:r>
        <w:pict w14:anchorId="5426926C">
          <v:shape id="Round Diagonal Corner Rectangle 3" o:spid="_x0000_s1027" style="width:506.45pt;height:667.75pt;visibility:visible;mso-wrap-style:square;mso-left-percent:-10001;mso-top-percent:-10001;mso-position-horizontal:absolute;mso-position-horizontal-relative:char;mso-position-vertical:absolute;mso-position-vertical-relative:line;mso-left-percent:-10001;mso-top-percent:-10001;v-text-anchor:middle-center" coordsize="17866,24703" o:spt="100" adj="-11796480,,5400" path="m2978,1r14888,l17866,1r,21709c17866,23363,16533,24704,14888,24704l,24704r,l,2995c,1342,1333,1,2978,1xe" fillcolor="#f2f2f2" strokecolor="#2f5597" strokeweight=".18mm">
            <v:stroke joinstyle="miter"/>
            <v:formulas/>
            <v:path arrowok="t" o:connecttype="segments" textboxrect="0,0,17866,24703"/>
            <v:textbox style="mso-next-textbox:#Round Diagonal Corner Rectangle 3">
              <w:txbxContent>
                <w:p w14:paraId="21BC2BA7" w14:textId="77777777" w:rsidR="00837B42" w:rsidRDefault="00837B42">
                  <w:pPr>
                    <w:pStyle w:val="a4"/>
                    <w:spacing w:after="60"/>
                    <w:jc w:val="both"/>
                    <w:rPr>
                      <w:rFonts w:cstheme="minorHAnsi"/>
                      <w:color w:val="000000"/>
                    </w:rPr>
                  </w:pPr>
                </w:p>
                <w:p w14:paraId="11BF9102" w14:textId="77777777" w:rsidR="00837B42" w:rsidRDefault="00837B42">
                  <w:pPr>
                    <w:pStyle w:val="a4"/>
                    <w:spacing w:after="60"/>
                    <w:jc w:val="both"/>
                    <w:rPr>
                      <w:rFonts w:cstheme="minorHAnsi"/>
                      <w:color w:val="000000"/>
                    </w:rPr>
                  </w:pPr>
                </w:p>
                <w:p w14:paraId="6C12153B" w14:textId="77777777" w:rsidR="00837B42" w:rsidRDefault="00837B42">
                  <w:pPr>
                    <w:pStyle w:val="a4"/>
                    <w:spacing w:after="60"/>
                    <w:jc w:val="both"/>
                    <w:rPr>
                      <w:rFonts w:cstheme="minorHAnsi"/>
                      <w:color w:val="000000"/>
                    </w:rPr>
                  </w:pPr>
                </w:p>
                <w:p w14:paraId="09B59063" w14:textId="77777777" w:rsidR="00837B42" w:rsidRDefault="00837B42">
                  <w:pPr>
                    <w:pStyle w:val="a4"/>
                    <w:spacing w:after="60"/>
                    <w:jc w:val="both"/>
                    <w:rPr>
                      <w:rFonts w:cstheme="minorHAnsi"/>
                      <w:color w:val="000000"/>
                    </w:rPr>
                  </w:pPr>
                </w:p>
                <w:p w14:paraId="169389BA" w14:textId="1A77B94B" w:rsidR="006D04F3" w:rsidRDefault="001950E7" w:rsidP="00D0012A">
                  <w:pPr>
                    <w:pStyle w:val="a4"/>
                    <w:spacing w:before="120" w:after="120"/>
                    <w:jc w:val="both"/>
                    <w:rPr>
                      <w:rFonts w:cstheme="minorHAnsi"/>
                    </w:rPr>
                  </w:pPr>
                  <w:r>
                    <w:rPr>
                      <w:rFonts w:cstheme="minorHAnsi"/>
                      <w:color w:val="000000"/>
                    </w:rPr>
                    <w:t>Estimates</w:t>
                  </w:r>
                  <w:r>
                    <w:rPr>
                      <w:rFonts w:cstheme="minorHAnsi"/>
                      <w:color w:val="000000"/>
                      <w:vertAlign w:val="superscript"/>
                    </w:rPr>
                    <w:t>1</w:t>
                  </w:r>
                  <w:r>
                    <w:rPr>
                      <w:rFonts w:cstheme="minorHAnsi"/>
                      <w:color w:val="000000"/>
                    </w:rPr>
                    <w:t xml:space="preserve"> </w:t>
                  </w:r>
                  <w:r w:rsidR="007E139D">
                    <w:rPr>
                      <w:rFonts w:cstheme="minorHAnsi"/>
                      <w:color w:val="000000"/>
                    </w:rPr>
                    <w:t>were calculated starting from</w:t>
                  </w:r>
                  <w:r w:rsidR="00B166E2">
                    <w:rPr>
                      <w:rFonts w:cstheme="minorHAnsi"/>
                      <w:color w:val="000000"/>
                    </w:rPr>
                    <w:t xml:space="preserve"> the</w:t>
                  </w:r>
                  <w:r w:rsidR="007E139D">
                    <w:rPr>
                      <w:rFonts w:cstheme="minorHAnsi"/>
                      <w:color w:val="000000"/>
                    </w:rPr>
                    <w:t xml:space="preserve"> first quarter of 2023 on the basis of demographic estimates for 2022, according to final results of 2022 Population Census. </w:t>
                  </w:r>
                  <w:r w:rsidR="00F3071C" w:rsidRPr="00F3071C">
                    <w:rPr>
                      <w:rFonts w:cstheme="minorHAnsi"/>
                      <w:color w:val="000000"/>
                    </w:rPr>
                    <w:t>Demographic estimates based on 2011 Census were, for the last time, used to calculate the grades for the fourth quarter of 2022.</w:t>
                  </w:r>
                </w:p>
                <w:p w14:paraId="35177139" w14:textId="77777777" w:rsidR="006D04F3" w:rsidRDefault="007E139D" w:rsidP="00D0012A">
                  <w:pPr>
                    <w:pStyle w:val="a4"/>
                    <w:spacing w:before="120" w:after="120"/>
                    <w:jc w:val="both"/>
                    <w:rPr>
                      <w:rFonts w:cstheme="minorHAnsi"/>
                    </w:rPr>
                  </w:pPr>
                  <w:r>
                    <w:rPr>
                      <w:rFonts w:cstheme="minorHAnsi"/>
                      <w:color w:val="000000"/>
                    </w:rPr>
                    <w:t>Due to the application of weights based on the most recent demographic indicators, the data from this statistical release are not comparable to previous data published in the same statistical releases before 2023.</w:t>
                  </w:r>
                </w:p>
                <w:p w14:paraId="5F5F6A93" w14:textId="7E0C3DD8" w:rsidR="006D04F3" w:rsidRPr="006F7279" w:rsidRDefault="006F7279" w:rsidP="00D0012A">
                  <w:pPr>
                    <w:pStyle w:val="a4"/>
                    <w:spacing w:before="120" w:after="120"/>
                    <w:jc w:val="both"/>
                    <w:rPr>
                      <w:rFonts w:cstheme="minorHAnsi"/>
                      <w:color w:val="000000"/>
                    </w:rPr>
                  </w:pPr>
                  <w:r w:rsidRPr="006F7279">
                    <w:rPr>
                      <w:rFonts w:cstheme="minorHAnsi"/>
                      <w:color w:val="000000"/>
                    </w:rPr>
                    <w:t xml:space="preserve">In order to ensure comparability, data from 2021 and 2022 have been revised, </w:t>
                  </w:r>
                  <w:r>
                    <w:rPr>
                      <w:rFonts w:cstheme="minorHAnsi"/>
                      <w:color w:val="000000"/>
                    </w:rPr>
                    <w:t xml:space="preserve">on the basis of the </w:t>
                  </w:r>
                  <w:r w:rsidRPr="006F7279">
                    <w:rPr>
                      <w:rFonts w:cstheme="minorHAnsi"/>
                      <w:color w:val="000000"/>
                    </w:rPr>
                    <w:t xml:space="preserve">revision of demographic estimates </w:t>
                  </w:r>
                  <w:r>
                    <w:rPr>
                      <w:rFonts w:cstheme="minorHAnsi"/>
                      <w:color w:val="000000"/>
                    </w:rPr>
                    <w:t>according to</w:t>
                  </w:r>
                  <w:r w:rsidRPr="006F7279">
                    <w:rPr>
                      <w:rFonts w:cstheme="minorHAnsi"/>
                      <w:color w:val="000000"/>
                    </w:rPr>
                    <w:t xml:space="preserve"> the final results of 2022 </w:t>
                  </w:r>
                  <w:r w:rsidR="003921F8" w:rsidRPr="006F7279">
                    <w:rPr>
                      <w:rFonts w:cstheme="minorHAnsi"/>
                      <w:color w:val="000000"/>
                    </w:rPr>
                    <w:t>Census.</w:t>
                  </w:r>
                  <w:r w:rsidR="003921F8">
                    <w:rPr>
                      <w:rFonts w:cstheme="minorHAnsi"/>
                      <w:color w:val="000000"/>
                    </w:rPr>
                    <w:t xml:space="preserve"> </w:t>
                  </w:r>
                </w:p>
                <w:p w14:paraId="55054C38" w14:textId="6B84F2FE" w:rsidR="006F7279" w:rsidRPr="006F7279" w:rsidRDefault="006F7279" w:rsidP="00D0012A">
                  <w:pPr>
                    <w:pStyle w:val="a4"/>
                    <w:spacing w:before="120" w:after="120"/>
                    <w:jc w:val="both"/>
                    <w:rPr>
                      <w:rFonts w:cstheme="minorHAnsi"/>
                      <w:b/>
                      <w:color w:val="000000"/>
                    </w:rPr>
                  </w:pPr>
                  <w:r w:rsidRPr="006F7279">
                    <w:rPr>
                      <w:rFonts w:cstheme="minorHAnsi"/>
                      <w:b/>
                      <w:color w:val="000000"/>
                    </w:rPr>
                    <w:t xml:space="preserve">This release compares data for the third quarter of 2023 with </w:t>
                  </w:r>
                  <w:r>
                    <w:rPr>
                      <w:rFonts w:cstheme="minorHAnsi"/>
                      <w:b/>
                      <w:color w:val="000000"/>
                    </w:rPr>
                    <w:t xml:space="preserve">the </w:t>
                  </w:r>
                  <w:r w:rsidRPr="006F7279">
                    <w:rPr>
                      <w:rFonts w:cstheme="minorHAnsi"/>
                      <w:b/>
                      <w:color w:val="000000"/>
                    </w:rPr>
                    <w:t xml:space="preserve">revised data from 2022 and </w:t>
                  </w:r>
                  <w:r>
                    <w:rPr>
                      <w:rFonts w:cstheme="minorHAnsi"/>
                      <w:b/>
                      <w:color w:val="000000"/>
                    </w:rPr>
                    <w:t xml:space="preserve">the </w:t>
                  </w:r>
                  <w:r w:rsidRPr="006F7279">
                    <w:rPr>
                      <w:rFonts w:cstheme="minorHAnsi"/>
                      <w:b/>
                      <w:color w:val="000000"/>
                    </w:rPr>
                    <w:t xml:space="preserve">data for the </w:t>
                  </w:r>
                  <w:r w:rsidR="002B243A">
                    <w:rPr>
                      <w:rFonts w:cstheme="minorHAnsi"/>
                      <w:b/>
                      <w:color w:val="000000"/>
                    </w:rPr>
                    <w:t xml:space="preserve">second </w:t>
                  </w:r>
                  <w:r w:rsidRPr="006F7279">
                    <w:rPr>
                      <w:rFonts w:cstheme="minorHAnsi"/>
                      <w:b/>
                      <w:color w:val="000000"/>
                    </w:rPr>
                    <w:t>quarter of 2023.</w:t>
                  </w:r>
                </w:p>
                <w:p w14:paraId="62E1CFDA" w14:textId="3CD138B4" w:rsidR="006F7279" w:rsidRDefault="006F7279" w:rsidP="00D0012A">
                  <w:pPr>
                    <w:pStyle w:val="a4"/>
                    <w:spacing w:before="120" w:after="120"/>
                    <w:jc w:val="both"/>
                    <w:rPr>
                      <w:rFonts w:cstheme="minorHAnsi"/>
                      <w:b/>
                      <w:color w:val="000000"/>
                    </w:rPr>
                  </w:pPr>
                  <w:r w:rsidRPr="006F7279">
                    <w:rPr>
                      <w:rFonts w:cstheme="minorHAnsi"/>
                      <w:b/>
                      <w:color w:val="000000"/>
                    </w:rPr>
                    <w:t xml:space="preserve">Revised data from 2021 have been updated in the database on </w:t>
                  </w:r>
                  <w:r w:rsidR="00BB55A0">
                    <w:rPr>
                      <w:rFonts w:cstheme="minorHAnsi"/>
                      <w:b/>
                      <w:color w:val="000000"/>
                    </w:rPr>
                    <w:t>SOR</w:t>
                  </w:r>
                  <w:r w:rsidRPr="006F7279">
                    <w:rPr>
                      <w:rFonts w:cstheme="minorHAnsi"/>
                      <w:b/>
                      <w:color w:val="000000"/>
                    </w:rPr>
                    <w:t>S website.</w:t>
                  </w:r>
                </w:p>
                <w:p w14:paraId="130118AE" w14:textId="05CD2518" w:rsidR="006D04F3" w:rsidRDefault="007E139D" w:rsidP="00D0012A">
                  <w:pPr>
                    <w:pStyle w:val="a4"/>
                    <w:spacing w:before="120" w:after="120"/>
                    <w:jc w:val="both"/>
                    <w:rPr>
                      <w:rFonts w:cstheme="minorHAnsi"/>
                    </w:rPr>
                  </w:pPr>
                  <w:r>
                    <w:rPr>
                      <w:rFonts w:cstheme="minorHAnsi"/>
                      <w:color w:val="000000"/>
                    </w:rPr>
                    <w:t>The post-census revision is carried out in accordance with the General Audit Policy of the Statistical Office of the Republic of Serbia, which is fully aligned with the guidelines from the Manual on Revision Policy in the European Statistical System (ESS Guidelines on Revision Policy), which was adopted by the European Statistical System Committee.</w:t>
                  </w:r>
                </w:p>
                <w:p w14:paraId="2C1C9551" w14:textId="7659CA1A" w:rsidR="006D04F3" w:rsidRDefault="007E139D" w:rsidP="00D0012A">
                  <w:pPr>
                    <w:pStyle w:val="a4"/>
                    <w:spacing w:before="120" w:after="120"/>
                    <w:jc w:val="both"/>
                    <w:rPr>
                      <w:rFonts w:cstheme="minorHAnsi"/>
                    </w:rPr>
                  </w:pPr>
                  <w:r>
                    <w:rPr>
                      <w:rFonts w:cstheme="minorHAnsi"/>
                      <w:color w:val="000000"/>
                    </w:rPr>
                    <w:t xml:space="preserve">The goal of post-census revision of </w:t>
                  </w:r>
                  <w:r w:rsidR="006266DB">
                    <w:rPr>
                      <w:rFonts w:cstheme="minorHAnsi"/>
                      <w:color w:val="000000"/>
                    </w:rPr>
                    <w:t>LFS</w:t>
                  </w:r>
                  <w:r>
                    <w:rPr>
                      <w:rFonts w:cstheme="minorHAnsi"/>
                      <w:color w:val="000000"/>
                    </w:rPr>
                    <w:t xml:space="preserve"> data is to ensure comparability of data without interrupting the time series.</w:t>
                  </w:r>
                </w:p>
                <w:p w14:paraId="5F99108D" w14:textId="77777777" w:rsidR="006D04F3" w:rsidRDefault="007E139D">
                  <w:pPr>
                    <w:pStyle w:val="a4"/>
                    <w:spacing w:before="240" w:after="120"/>
                    <w:jc w:val="both"/>
                    <w:rPr>
                      <w:rFonts w:cstheme="minorHAnsi"/>
                      <w:b/>
                      <w:sz w:val="18"/>
                      <w:szCs w:val="18"/>
                    </w:rPr>
                  </w:pPr>
                  <w:r w:rsidRPr="00D0012A">
                    <w:rPr>
                      <w:rFonts w:cstheme="minorHAnsi"/>
                      <w:b/>
                      <w:color w:val="2E71AC"/>
                      <w:sz w:val="18"/>
                      <w:szCs w:val="18"/>
                    </w:rPr>
                    <w:t>Graph:</w:t>
                  </w:r>
                  <w:r>
                    <w:rPr>
                      <w:rFonts w:cstheme="minorHAnsi"/>
                      <w:b/>
                      <w:color w:val="000000"/>
                      <w:sz w:val="18"/>
                      <w:szCs w:val="18"/>
                    </w:rPr>
                    <w:t xml:space="preserve"> Comparative overview of the most important LFS indicators (employment, unemployment and population outside the labour force) for the year 2022 before (previous data) and after (revised data) the application of new weights</w:t>
                  </w:r>
                </w:p>
                <w:p w14:paraId="0E1CE00C" w14:textId="77777777" w:rsidR="006D04F3" w:rsidRDefault="007E139D" w:rsidP="00D0012A">
                  <w:pPr>
                    <w:pStyle w:val="a4"/>
                    <w:spacing w:before="120" w:after="120"/>
                    <w:jc w:val="center"/>
                    <w:rPr>
                      <w:rFonts w:cstheme="minorHAnsi"/>
                      <w:sz w:val="18"/>
                      <w:szCs w:val="18"/>
                    </w:rPr>
                  </w:pPr>
                  <w:r>
                    <w:rPr>
                      <w:noProof/>
                      <w:lang w:val="en-US"/>
                    </w:rPr>
                    <w:drawing>
                      <wp:inline distT="0" distB="0" distL="0" distR="0" wp14:anchorId="161BE831" wp14:editId="47A750E1">
                        <wp:extent cx="5544185" cy="2804795"/>
                        <wp:effectExtent l="0" t="0" r="0" b="0"/>
                        <wp:docPr id="267832828" name="Chart 26783282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4CBD247" w14:textId="77777777" w:rsidR="006D04F3" w:rsidRDefault="007E139D">
                  <w:pPr>
                    <w:pStyle w:val="a4"/>
                    <w:spacing w:before="240" w:after="120"/>
                    <w:jc w:val="both"/>
                    <w:rPr>
                      <w:rFonts w:cstheme="minorHAnsi"/>
                      <w:sz w:val="18"/>
                      <w:szCs w:val="18"/>
                    </w:rPr>
                  </w:pPr>
                  <w:r>
                    <w:rPr>
                      <w:rFonts w:cstheme="minorHAnsi"/>
                      <w:color w:val="000000"/>
                      <w:sz w:val="18"/>
                      <w:szCs w:val="18"/>
                    </w:rPr>
                    <w:t>Explanation of terms:</w:t>
                  </w:r>
                </w:p>
                <w:p w14:paraId="1A4E9DD3" w14:textId="77777777" w:rsidR="006D04F3" w:rsidRDefault="007E139D">
                  <w:pPr>
                    <w:pStyle w:val="a4"/>
                    <w:spacing w:before="120" w:after="120"/>
                    <w:jc w:val="both"/>
                    <w:rPr>
                      <w:rFonts w:cstheme="minorHAnsi"/>
                      <w:sz w:val="18"/>
                      <w:szCs w:val="18"/>
                    </w:rPr>
                  </w:pPr>
                  <w:r>
                    <w:rPr>
                      <w:rFonts w:cstheme="minorHAnsi"/>
                      <w:color w:val="000000"/>
                      <w:sz w:val="18"/>
                      <w:szCs w:val="18"/>
                    </w:rPr>
                    <w:t>Previous data - data based on a weighting system that implied the use of demographic estimates based on 2011 Census.</w:t>
                  </w:r>
                </w:p>
                <w:p w14:paraId="55096BB0" w14:textId="77777777" w:rsidR="006D04F3" w:rsidRDefault="007E139D">
                  <w:pPr>
                    <w:pStyle w:val="a4"/>
                    <w:spacing w:before="120" w:after="120"/>
                    <w:jc w:val="both"/>
                    <w:rPr>
                      <w:rFonts w:cstheme="minorHAnsi"/>
                      <w:sz w:val="18"/>
                      <w:szCs w:val="18"/>
                    </w:rPr>
                  </w:pPr>
                  <w:r>
                    <w:rPr>
                      <w:rFonts w:cstheme="minorHAnsi"/>
                      <w:color w:val="000000"/>
                      <w:sz w:val="18"/>
                      <w:szCs w:val="18"/>
                    </w:rPr>
                    <w:t>Revised data - data based on a weighting system that implies the use of demographic estimates based on 2022 Census.</w:t>
                  </w:r>
                </w:p>
                <w:p w14:paraId="65751614" w14:textId="57CADDD2" w:rsidR="006D04F3" w:rsidRDefault="007E139D">
                  <w:pPr>
                    <w:pStyle w:val="a4"/>
                    <w:spacing w:before="240" w:after="120"/>
                    <w:rPr>
                      <w:rFonts w:cstheme="minorHAnsi"/>
                      <w:sz w:val="16"/>
                      <w:szCs w:val="16"/>
                    </w:rPr>
                  </w:pPr>
                  <w:r>
                    <w:rPr>
                      <w:rFonts w:cstheme="minorHAnsi"/>
                      <w:color w:val="000000"/>
                      <w:sz w:val="18"/>
                      <w:szCs w:val="18"/>
                      <w:vertAlign w:val="superscript"/>
                    </w:rPr>
                    <w:t>1</w:t>
                  </w:r>
                  <w:r>
                    <w:rPr>
                      <w:rFonts w:cstheme="minorHAnsi"/>
                      <w:color w:val="000000"/>
                      <w:sz w:val="16"/>
                      <w:szCs w:val="16"/>
                      <w:vertAlign w:val="superscript"/>
                    </w:rPr>
                    <w:t>)</w:t>
                  </w:r>
                  <w:r>
                    <w:rPr>
                      <w:rFonts w:cstheme="minorHAnsi"/>
                      <w:color w:val="000000"/>
                      <w:sz w:val="16"/>
                      <w:szCs w:val="16"/>
                    </w:rPr>
                    <w:t xml:space="preserve"> </w:t>
                  </w:r>
                  <w:r w:rsidR="00643300">
                    <w:rPr>
                      <w:rFonts w:cstheme="minorHAnsi"/>
                      <w:color w:val="000000"/>
                      <w:sz w:val="16"/>
                      <w:szCs w:val="16"/>
                    </w:rPr>
                    <w:t xml:space="preserve">Estimates </w:t>
                  </w:r>
                  <w:r>
                    <w:rPr>
                      <w:rFonts w:cstheme="minorHAnsi"/>
                      <w:color w:val="000000"/>
                      <w:sz w:val="16"/>
                      <w:szCs w:val="16"/>
                    </w:rPr>
                    <w:t xml:space="preserve">were calculated using the weights obtained by the calibration procedure. For a more detailed explanation, see: </w:t>
                  </w:r>
                  <w:r>
                    <w:rPr>
                      <w:rFonts w:cstheme="minorHAnsi"/>
                      <w:color w:val="2E74B5" w:themeColor="accent1" w:themeShade="BF"/>
                      <w:sz w:val="16"/>
                      <w:szCs w:val="16"/>
                    </w:rPr>
                    <w:t>https://publikacije.stat.gov.rs/G2017/PdfE/G20177069.pdf</w:t>
                  </w:r>
                </w:p>
              </w:txbxContent>
            </v:textbox>
            <w10:wrap type="none"/>
            <w10:anchorlock/>
          </v:shape>
        </w:pict>
      </w:r>
    </w:p>
    <w:p w14:paraId="33D553AA" w14:textId="77777777" w:rsidR="00506404" w:rsidRPr="00D0012A" w:rsidRDefault="00506404">
      <w:pPr>
        <w:rPr>
          <w:rStyle w:val="IntenseEmphasis1"/>
          <w:rFonts w:cs="Arial"/>
          <w:i w:val="0"/>
          <w:iCs w:val="0"/>
          <w:color w:val="2E71AC"/>
          <w:sz w:val="22"/>
          <w:szCs w:val="22"/>
          <w:highlight w:val="yellow"/>
        </w:rPr>
      </w:pPr>
      <w:r w:rsidRPr="00D0012A">
        <w:rPr>
          <w:rStyle w:val="IntenseEmphasis1"/>
          <w:rFonts w:cs="Arial"/>
          <w:i w:val="0"/>
          <w:iCs w:val="0"/>
          <w:color w:val="2E71AC"/>
          <w:sz w:val="22"/>
          <w:szCs w:val="22"/>
          <w:highlight w:val="yellow"/>
        </w:rPr>
        <w:br w:type="page"/>
      </w:r>
    </w:p>
    <w:p w14:paraId="2C47AF54" w14:textId="1BE4CE91" w:rsidR="006D04F3" w:rsidRPr="00D0012A" w:rsidRDefault="007E139D">
      <w:pPr>
        <w:spacing w:before="480" w:after="120"/>
        <w:rPr>
          <w:rStyle w:val="IntenseEmphasis1"/>
          <w:rFonts w:cs="Arial"/>
          <w:i w:val="0"/>
          <w:iCs w:val="0"/>
          <w:color w:val="2E71AC"/>
        </w:rPr>
      </w:pPr>
      <w:r w:rsidRPr="00D0012A">
        <w:rPr>
          <w:rStyle w:val="IntenseEmphasis1"/>
          <w:rFonts w:cs="Arial"/>
          <w:i w:val="0"/>
          <w:iCs w:val="0"/>
          <w:color w:val="2E71AC"/>
          <w:sz w:val="22"/>
          <w:szCs w:val="22"/>
        </w:rPr>
        <w:lastRenderedPageBreak/>
        <w:t xml:space="preserve">Major indicators, </w:t>
      </w:r>
      <w:r w:rsidR="006266DB" w:rsidRPr="00D0012A">
        <w:rPr>
          <w:rStyle w:val="IntenseEmphasis1"/>
          <w:rFonts w:cs="Arial"/>
          <w:i w:val="0"/>
          <w:iCs w:val="0"/>
          <w:color w:val="2E71AC"/>
          <w:sz w:val="22"/>
          <w:szCs w:val="22"/>
        </w:rPr>
        <w:t>third</w:t>
      </w:r>
      <w:r w:rsidRPr="00D0012A">
        <w:rPr>
          <w:rStyle w:val="IntenseEmphasis1"/>
          <w:rFonts w:cs="Arial"/>
          <w:i w:val="0"/>
          <w:iCs w:val="0"/>
          <w:color w:val="2E71AC"/>
          <w:sz w:val="22"/>
          <w:szCs w:val="22"/>
        </w:rPr>
        <w:t xml:space="preserve"> quarter of 2023</w:t>
      </w:r>
    </w:p>
    <w:p w14:paraId="4519D9C7" w14:textId="46C23276" w:rsidR="008A647A" w:rsidRPr="00D0012A" w:rsidRDefault="008A647A" w:rsidP="00D0012A">
      <w:pPr>
        <w:pStyle w:val="ListParagraph"/>
        <w:spacing w:before="120" w:after="120"/>
        <w:ind w:left="0"/>
        <w:contextualSpacing w:val="0"/>
        <w:jc w:val="both"/>
        <w:rPr>
          <w:rFonts w:ascii="Arial" w:hAnsi="Arial" w:cs="Arial"/>
          <w:sz w:val="20"/>
          <w:szCs w:val="20"/>
        </w:rPr>
      </w:pPr>
      <w:r w:rsidRPr="00D0012A">
        <w:rPr>
          <w:rFonts w:ascii="Arial" w:eastAsia="Times New Roman" w:hAnsi="Arial" w:cs="Arial"/>
          <w:b/>
          <w:bCs/>
          <w:sz w:val="20"/>
          <w:szCs w:val="20"/>
        </w:rPr>
        <w:t xml:space="preserve">Activity rate </w:t>
      </w:r>
      <w:r w:rsidRPr="00D0012A">
        <w:rPr>
          <w:rFonts w:ascii="Arial" w:eastAsia="Times New Roman" w:hAnsi="Arial" w:cs="Arial"/>
          <w:sz w:val="20"/>
          <w:szCs w:val="20"/>
        </w:rPr>
        <w:t xml:space="preserve">of people aged 15 and over in the third quarter of 2023 amounted to 55.8%, where the activity rate of men and women was 63.0% and 49.0%, respectively. The largest activity rate was recorded in Beogradski </w:t>
      </w:r>
      <w:r w:rsidR="0007392A">
        <w:rPr>
          <w:rFonts w:ascii="Arial" w:eastAsia="Times New Roman" w:hAnsi="Arial" w:cs="Arial"/>
          <w:sz w:val="20"/>
          <w:szCs w:val="20"/>
        </w:rPr>
        <w:t>R</w:t>
      </w:r>
      <w:r w:rsidRPr="00D0012A">
        <w:rPr>
          <w:rFonts w:ascii="Arial" w:eastAsia="Times New Roman" w:hAnsi="Arial" w:cs="Arial"/>
          <w:sz w:val="20"/>
          <w:szCs w:val="20"/>
        </w:rPr>
        <w:t>egion (60.1%)</w:t>
      </w:r>
      <w:r w:rsidR="0007392A">
        <w:rPr>
          <w:rFonts w:ascii="Arial" w:eastAsia="Times New Roman" w:hAnsi="Arial" w:cs="Arial"/>
          <w:sz w:val="20"/>
          <w:szCs w:val="20"/>
        </w:rPr>
        <w:t>. In</w:t>
      </w:r>
      <w:r w:rsidRPr="00D0012A">
        <w:rPr>
          <w:rFonts w:ascii="Arial" w:eastAsia="Times New Roman" w:hAnsi="Arial" w:cs="Arial"/>
          <w:sz w:val="20"/>
          <w:szCs w:val="20"/>
        </w:rPr>
        <w:t xml:space="preserve"> Region Šumadij</w:t>
      </w:r>
      <w:r w:rsidR="0007392A">
        <w:rPr>
          <w:rFonts w:ascii="Arial" w:eastAsia="Times New Roman" w:hAnsi="Arial" w:cs="Arial"/>
          <w:sz w:val="20"/>
          <w:szCs w:val="20"/>
        </w:rPr>
        <w:t>a</w:t>
      </w:r>
      <w:r w:rsidRPr="00D0012A">
        <w:rPr>
          <w:rFonts w:ascii="Arial" w:eastAsia="Times New Roman" w:hAnsi="Arial" w:cs="Arial"/>
          <w:sz w:val="20"/>
          <w:szCs w:val="20"/>
        </w:rPr>
        <w:t xml:space="preserve"> i Zapadn</w:t>
      </w:r>
      <w:r w:rsidR="0007392A">
        <w:rPr>
          <w:rFonts w:ascii="Arial" w:eastAsia="Times New Roman" w:hAnsi="Arial" w:cs="Arial"/>
          <w:sz w:val="20"/>
          <w:szCs w:val="20"/>
        </w:rPr>
        <w:t>a</w:t>
      </w:r>
      <w:r w:rsidRPr="00D0012A">
        <w:rPr>
          <w:rFonts w:ascii="Arial" w:eastAsia="Times New Roman" w:hAnsi="Arial" w:cs="Arial"/>
          <w:sz w:val="20"/>
          <w:szCs w:val="20"/>
        </w:rPr>
        <w:t xml:space="preserve"> Srbij</w:t>
      </w:r>
      <w:r w:rsidR="0007392A">
        <w:rPr>
          <w:rFonts w:ascii="Arial" w:eastAsia="Times New Roman" w:hAnsi="Arial" w:cs="Arial"/>
          <w:sz w:val="20"/>
          <w:szCs w:val="20"/>
        </w:rPr>
        <w:t>a</w:t>
      </w:r>
      <w:r w:rsidRPr="00D0012A">
        <w:rPr>
          <w:rFonts w:ascii="Arial" w:eastAsia="Times New Roman" w:hAnsi="Arial" w:cs="Arial"/>
          <w:sz w:val="20"/>
          <w:szCs w:val="20"/>
        </w:rPr>
        <w:t xml:space="preserve"> this rate recorded value of 55.3%, in Region Vojvodin</w:t>
      </w:r>
      <w:r w:rsidR="0007392A">
        <w:rPr>
          <w:rFonts w:ascii="Arial" w:eastAsia="Times New Roman" w:hAnsi="Arial" w:cs="Arial"/>
          <w:sz w:val="20"/>
          <w:szCs w:val="20"/>
        </w:rPr>
        <w:t>a</w:t>
      </w:r>
      <w:r w:rsidRPr="00D0012A">
        <w:rPr>
          <w:rFonts w:ascii="Arial" w:eastAsia="Times New Roman" w:hAnsi="Arial" w:cs="Arial"/>
          <w:sz w:val="20"/>
          <w:szCs w:val="20"/>
        </w:rPr>
        <w:t>, 55.2%, and in Region Južn</w:t>
      </w:r>
      <w:r w:rsidR="0007392A">
        <w:rPr>
          <w:rFonts w:ascii="Arial" w:eastAsia="Times New Roman" w:hAnsi="Arial" w:cs="Arial"/>
          <w:sz w:val="20"/>
          <w:szCs w:val="20"/>
        </w:rPr>
        <w:t>a</w:t>
      </w:r>
      <w:r w:rsidRPr="00D0012A">
        <w:rPr>
          <w:rFonts w:ascii="Arial" w:eastAsia="Times New Roman" w:hAnsi="Arial" w:cs="Arial"/>
          <w:sz w:val="20"/>
          <w:szCs w:val="20"/>
        </w:rPr>
        <w:t xml:space="preserve"> i Istočn</w:t>
      </w:r>
      <w:r w:rsidR="0007392A">
        <w:rPr>
          <w:rFonts w:ascii="Arial" w:eastAsia="Times New Roman" w:hAnsi="Arial" w:cs="Arial"/>
          <w:sz w:val="20"/>
          <w:szCs w:val="20"/>
        </w:rPr>
        <w:t>a</w:t>
      </w:r>
      <w:r w:rsidRPr="00D0012A">
        <w:rPr>
          <w:rFonts w:ascii="Arial" w:eastAsia="Times New Roman" w:hAnsi="Arial" w:cs="Arial"/>
          <w:sz w:val="20"/>
          <w:szCs w:val="20"/>
        </w:rPr>
        <w:t xml:space="preserve"> Srbij</w:t>
      </w:r>
      <w:r w:rsidR="0007392A">
        <w:rPr>
          <w:rFonts w:ascii="Arial" w:eastAsia="Times New Roman" w:hAnsi="Arial" w:cs="Arial"/>
          <w:sz w:val="20"/>
          <w:szCs w:val="20"/>
        </w:rPr>
        <w:t>a</w:t>
      </w:r>
      <w:r w:rsidRPr="00D0012A">
        <w:rPr>
          <w:rFonts w:ascii="Arial" w:eastAsia="Times New Roman" w:hAnsi="Arial" w:cs="Arial"/>
          <w:sz w:val="20"/>
          <w:szCs w:val="20"/>
        </w:rPr>
        <w:t>, 51.9%</w:t>
      </w:r>
      <w:r w:rsidRPr="00D0012A">
        <w:rPr>
          <w:rFonts w:ascii="Arial" w:hAnsi="Arial" w:cs="Arial"/>
          <w:sz w:val="20"/>
          <w:szCs w:val="20"/>
        </w:rPr>
        <w:t>.</w:t>
      </w:r>
    </w:p>
    <w:p w14:paraId="1AF8F704" w14:textId="66577FDD" w:rsidR="008A647A" w:rsidRPr="00D0012A" w:rsidRDefault="008A647A" w:rsidP="00D0012A">
      <w:pPr>
        <w:pStyle w:val="ListParagraph"/>
        <w:spacing w:before="120" w:after="120"/>
        <w:ind w:left="0"/>
        <w:contextualSpacing w:val="0"/>
        <w:jc w:val="both"/>
        <w:rPr>
          <w:rFonts w:ascii="Arial" w:hAnsi="Arial" w:cs="Arial"/>
          <w:sz w:val="20"/>
          <w:szCs w:val="20"/>
        </w:rPr>
      </w:pPr>
      <w:r w:rsidRPr="00D0012A">
        <w:rPr>
          <w:rFonts w:ascii="Arial" w:hAnsi="Arial" w:cs="Arial"/>
          <w:b/>
          <w:bCs/>
          <w:sz w:val="20"/>
          <w:szCs w:val="20"/>
        </w:rPr>
        <w:t xml:space="preserve">Employment rate </w:t>
      </w:r>
      <w:r w:rsidRPr="00D0012A">
        <w:rPr>
          <w:rFonts w:ascii="Arial" w:hAnsi="Arial" w:cs="Arial"/>
          <w:sz w:val="20"/>
          <w:szCs w:val="20"/>
        </w:rPr>
        <w:t>of people aged 15 and over amounted to 50.7%, among men 57.6% and women 44.3%. The largest employment rate was noted in Beogradski region (56.3%), followed by Region Šumadij</w:t>
      </w:r>
      <w:r w:rsidR="0007392A">
        <w:rPr>
          <w:rFonts w:ascii="Arial" w:hAnsi="Arial" w:cs="Arial"/>
          <w:sz w:val="20"/>
          <w:szCs w:val="20"/>
        </w:rPr>
        <w:t>a</w:t>
      </w:r>
      <w:r w:rsidRPr="00D0012A">
        <w:rPr>
          <w:rFonts w:ascii="Arial" w:hAnsi="Arial" w:cs="Arial"/>
          <w:sz w:val="20"/>
          <w:szCs w:val="20"/>
        </w:rPr>
        <w:t xml:space="preserve"> i Zapadn</w:t>
      </w:r>
      <w:r w:rsidR="0007392A">
        <w:rPr>
          <w:rFonts w:ascii="Arial" w:hAnsi="Arial" w:cs="Arial"/>
          <w:sz w:val="20"/>
          <w:szCs w:val="20"/>
        </w:rPr>
        <w:t>a</w:t>
      </w:r>
      <w:r w:rsidRPr="00D0012A">
        <w:rPr>
          <w:rFonts w:ascii="Arial" w:hAnsi="Arial" w:cs="Arial"/>
          <w:sz w:val="20"/>
          <w:szCs w:val="20"/>
        </w:rPr>
        <w:t xml:space="preserve"> Srbij</w:t>
      </w:r>
      <w:r w:rsidR="0007392A">
        <w:rPr>
          <w:rFonts w:ascii="Arial" w:hAnsi="Arial" w:cs="Arial"/>
          <w:sz w:val="20"/>
          <w:szCs w:val="20"/>
        </w:rPr>
        <w:t>a</w:t>
      </w:r>
      <w:r w:rsidRPr="00D0012A">
        <w:rPr>
          <w:rFonts w:ascii="Arial" w:hAnsi="Arial" w:cs="Arial"/>
          <w:sz w:val="20"/>
          <w:szCs w:val="20"/>
        </w:rPr>
        <w:t>, 50.5% and Region Vojvodin</w:t>
      </w:r>
      <w:r w:rsidR="0007392A">
        <w:rPr>
          <w:rFonts w:ascii="Arial" w:hAnsi="Arial" w:cs="Arial"/>
          <w:sz w:val="20"/>
          <w:szCs w:val="20"/>
        </w:rPr>
        <w:t>a</w:t>
      </w:r>
      <w:r w:rsidRPr="00D0012A">
        <w:rPr>
          <w:rFonts w:ascii="Arial" w:hAnsi="Arial" w:cs="Arial"/>
          <w:sz w:val="20"/>
          <w:szCs w:val="20"/>
        </w:rPr>
        <w:t>, 49.6%. Employment rate in Region Južn</w:t>
      </w:r>
      <w:r w:rsidR="0007392A">
        <w:rPr>
          <w:rFonts w:ascii="Arial" w:hAnsi="Arial" w:cs="Arial"/>
          <w:sz w:val="20"/>
          <w:szCs w:val="20"/>
        </w:rPr>
        <w:t>a</w:t>
      </w:r>
      <w:r w:rsidRPr="00D0012A">
        <w:rPr>
          <w:rFonts w:ascii="Arial" w:hAnsi="Arial" w:cs="Arial"/>
          <w:sz w:val="20"/>
          <w:szCs w:val="20"/>
        </w:rPr>
        <w:t xml:space="preserve"> i Istočn</w:t>
      </w:r>
      <w:r w:rsidR="0007392A">
        <w:rPr>
          <w:rFonts w:ascii="Arial" w:hAnsi="Arial" w:cs="Arial"/>
          <w:sz w:val="20"/>
          <w:szCs w:val="20"/>
        </w:rPr>
        <w:t>a</w:t>
      </w:r>
      <w:r w:rsidRPr="00D0012A">
        <w:rPr>
          <w:rFonts w:ascii="Arial" w:hAnsi="Arial" w:cs="Arial"/>
          <w:sz w:val="20"/>
          <w:szCs w:val="20"/>
        </w:rPr>
        <w:t xml:space="preserve"> Srbij</w:t>
      </w:r>
      <w:r w:rsidR="0007392A">
        <w:rPr>
          <w:rFonts w:ascii="Arial" w:hAnsi="Arial" w:cs="Arial"/>
          <w:sz w:val="20"/>
          <w:szCs w:val="20"/>
        </w:rPr>
        <w:t>a</w:t>
      </w:r>
      <w:r w:rsidRPr="00D0012A">
        <w:rPr>
          <w:rFonts w:ascii="Arial" w:hAnsi="Arial" w:cs="Arial"/>
          <w:sz w:val="20"/>
          <w:szCs w:val="20"/>
        </w:rPr>
        <w:t xml:space="preserve"> had the lowest value (46.0%).</w:t>
      </w:r>
    </w:p>
    <w:p w14:paraId="215BED9F" w14:textId="3BFE3141" w:rsidR="008A647A" w:rsidRPr="00D0012A" w:rsidRDefault="008A647A" w:rsidP="00D0012A">
      <w:pPr>
        <w:pStyle w:val="ListParagraph"/>
        <w:spacing w:before="120" w:after="120"/>
        <w:ind w:left="0"/>
        <w:contextualSpacing w:val="0"/>
        <w:jc w:val="both"/>
        <w:rPr>
          <w:rFonts w:ascii="Arial" w:hAnsi="Arial" w:cs="Arial"/>
          <w:sz w:val="20"/>
          <w:szCs w:val="20"/>
        </w:rPr>
      </w:pPr>
      <w:r w:rsidRPr="00D0012A">
        <w:rPr>
          <w:rFonts w:ascii="Arial" w:hAnsi="Arial" w:cs="Arial"/>
          <w:b/>
          <w:bCs/>
          <w:sz w:val="20"/>
          <w:szCs w:val="20"/>
        </w:rPr>
        <w:t xml:space="preserve">Informal employment rate </w:t>
      </w:r>
      <w:r w:rsidRPr="00D0012A">
        <w:rPr>
          <w:rFonts w:ascii="Arial" w:hAnsi="Arial" w:cs="Arial"/>
          <w:sz w:val="20"/>
          <w:szCs w:val="20"/>
        </w:rPr>
        <w:t>in the mentioned quarter in all activities amounted to 12.8%. The informal employment rate in agricultural activities amounted to 53.5%, while in activities outside agriculture this rate amounted to 6.5%.</w:t>
      </w:r>
    </w:p>
    <w:p w14:paraId="44C334A1" w14:textId="503A91FF" w:rsidR="008A647A" w:rsidRPr="00D0012A" w:rsidRDefault="008A647A" w:rsidP="00D0012A">
      <w:pPr>
        <w:pStyle w:val="ListParagraph"/>
        <w:spacing w:before="120" w:after="120"/>
        <w:ind w:left="0"/>
        <w:contextualSpacing w:val="0"/>
        <w:jc w:val="both"/>
        <w:rPr>
          <w:rFonts w:ascii="Arial" w:hAnsi="Arial" w:cs="Arial"/>
          <w:sz w:val="20"/>
          <w:szCs w:val="20"/>
        </w:rPr>
      </w:pPr>
      <w:r w:rsidRPr="00D0012A">
        <w:rPr>
          <w:rFonts w:ascii="Arial" w:hAnsi="Arial" w:cs="Arial"/>
          <w:b/>
          <w:bCs/>
          <w:sz w:val="20"/>
          <w:szCs w:val="20"/>
        </w:rPr>
        <w:t xml:space="preserve">Unemployment rate </w:t>
      </w:r>
      <w:r w:rsidRPr="00D0012A">
        <w:rPr>
          <w:rFonts w:ascii="Arial" w:hAnsi="Arial" w:cs="Arial"/>
          <w:sz w:val="20"/>
          <w:szCs w:val="20"/>
        </w:rPr>
        <w:t xml:space="preserve">of people aged 15 and over amounted to 9.0%, specifically 8.5% for men and 9.6% for women. Observed on regional level, this rate was the lowest in Beogradski Region (6.4%), followed by </w:t>
      </w:r>
      <w:r w:rsidR="00B570AF" w:rsidRPr="00D0012A">
        <w:rPr>
          <w:rFonts w:ascii="Arial" w:hAnsi="Arial" w:cs="Arial"/>
          <w:sz w:val="20"/>
          <w:szCs w:val="20"/>
        </w:rPr>
        <w:t>Region Šumadij</w:t>
      </w:r>
      <w:r w:rsidR="0007392A">
        <w:rPr>
          <w:rFonts w:ascii="Arial" w:hAnsi="Arial" w:cs="Arial"/>
          <w:sz w:val="20"/>
          <w:szCs w:val="20"/>
        </w:rPr>
        <w:t>a</w:t>
      </w:r>
      <w:r w:rsidR="00B570AF" w:rsidRPr="00D0012A">
        <w:rPr>
          <w:rFonts w:ascii="Arial" w:hAnsi="Arial" w:cs="Arial"/>
          <w:sz w:val="20"/>
          <w:szCs w:val="20"/>
        </w:rPr>
        <w:t xml:space="preserve"> i Zapadn</w:t>
      </w:r>
      <w:r w:rsidR="0007392A">
        <w:rPr>
          <w:rFonts w:ascii="Arial" w:hAnsi="Arial" w:cs="Arial"/>
          <w:sz w:val="20"/>
          <w:szCs w:val="20"/>
        </w:rPr>
        <w:t>a</w:t>
      </w:r>
      <w:r w:rsidR="00B570AF" w:rsidRPr="00D0012A">
        <w:rPr>
          <w:rFonts w:ascii="Arial" w:hAnsi="Arial" w:cs="Arial"/>
          <w:sz w:val="20"/>
          <w:szCs w:val="20"/>
        </w:rPr>
        <w:t xml:space="preserve"> Srbij</w:t>
      </w:r>
      <w:r w:rsidR="0007392A">
        <w:rPr>
          <w:rFonts w:ascii="Arial" w:hAnsi="Arial" w:cs="Arial"/>
          <w:sz w:val="20"/>
          <w:szCs w:val="20"/>
        </w:rPr>
        <w:t>a</w:t>
      </w:r>
      <w:r w:rsidR="00B570AF" w:rsidRPr="00D0012A">
        <w:rPr>
          <w:rFonts w:ascii="Arial" w:hAnsi="Arial" w:cs="Arial"/>
          <w:sz w:val="20"/>
          <w:szCs w:val="20"/>
        </w:rPr>
        <w:t>, 8.8%. Somewhat higher rate was recorded in Region Vojvodin</w:t>
      </w:r>
      <w:r w:rsidR="0007392A">
        <w:rPr>
          <w:rFonts w:ascii="Arial" w:hAnsi="Arial" w:cs="Arial"/>
          <w:sz w:val="20"/>
          <w:szCs w:val="20"/>
        </w:rPr>
        <w:t>a</w:t>
      </w:r>
      <w:r w:rsidR="00B570AF" w:rsidRPr="00D0012A">
        <w:rPr>
          <w:rFonts w:ascii="Arial" w:hAnsi="Arial" w:cs="Arial"/>
          <w:sz w:val="20"/>
          <w:szCs w:val="20"/>
        </w:rPr>
        <w:t xml:space="preserve">, 10.1%, as well as in </w:t>
      </w:r>
      <w:r w:rsidRPr="00D0012A">
        <w:rPr>
          <w:rFonts w:ascii="Arial" w:hAnsi="Arial" w:cs="Arial"/>
          <w:sz w:val="20"/>
          <w:szCs w:val="20"/>
        </w:rPr>
        <w:t>Region Južn</w:t>
      </w:r>
      <w:r w:rsidR="0007392A">
        <w:rPr>
          <w:rFonts w:ascii="Arial" w:hAnsi="Arial" w:cs="Arial"/>
          <w:sz w:val="20"/>
          <w:szCs w:val="20"/>
        </w:rPr>
        <w:t>a</w:t>
      </w:r>
      <w:r w:rsidRPr="00D0012A">
        <w:rPr>
          <w:rFonts w:ascii="Arial" w:hAnsi="Arial" w:cs="Arial"/>
          <w:sz w:val="20"/>
          <w:szCs w:val="20"/>
        </w:rPr>
        <w:t xml:space="preserve"> i Istočn</w:t>
      </w:r>
      <w:r w:rsidR="0007392A">
        <w:rPr>
          <w:rFonts w:ascii="Arial" w:hAnsi="Arial" w:cs="Arial"/>
          <w:sz w:val="20"/>
          <w:szCs w:val="20"/>
        </w:rPr>
        <w:t>a</w:t>
      </w:r>
      <w:r w:rsidRPr="00D0012A">
        <w:rPr>
          <w:rFonts w:ascii="Arial" w:hAnsi="Arial" w:cs="Arial"/>
          <w:sz w:val="20"/>
          <w:szCs w:val="20"/>
        </w:rPr>
        <w:t xml:space="preserve"> Srbij</w:t>
      </w:r>
      <w:r w:rsidR="0007392A">
        <w:rPr>
          <w:rFonts w:ascii="Arial" w:hAnsi="Arial" w:cs="Arial"/>
          <w:sz w:val="20"/>
          <w:szCs w:val="20"/>
        </w:rPr>
        <w:t>a</w:t>
      </w:r>
      <w:r w:rsidRPr="00D0012A">
        <w:rPr>
          <w:rFonts w:ascii="Arial" w:hAnsi="Arial" w:cs="Arial"/>
          <w:sz w:val="20"/>
          <w:szCs w:val="20"/>
        </w:rPr>
        <w:t>, 11.</w:t>
      </w:r>
      <w:r w:rsidR="00B570AF" w:rsidRPr="00D0012A">
        <w:rPr>
          <w:rFonts w:ascii="Arial" w:hAnsi="Arial" w:cs="Arial"/>
          <w:sz w:val="20"/>
          <w:szCs w:val="20"/>
        </w:rPr>
        <w:t>4</w:t>
      </w:r>
      <w:r w:rsidRPr="00D0012A">
        <w:rPr>
          <w:rFonts w:ascii="Arial" w:hAnsi="Arial" w:cs="Arial"/>
          <w:sz w:val="20"/>
          <w:szCs w:val="20"/>
        </w:rPr>
        <w:t xml:space="preserve">%. </w:t>
      </w:r>
    </w:p>
    <w:p w14:paraId="437D77EB" w14:textId="769223AA" w:rsidR="006D04F3" w:rsidRPr="00D0012A" w:rsidRDefault="007E139D">
      <w:pPr>
        <w:spacing w:before="400" w:after="120"/>
        <w:rPr>
          <w:rFonts w:cs="Arial"/>
          <w:bCs/>
        </w:rPr>
      </w:pPr>
      <w:r w:rsidRPr="00D0012A">
        <w:rPr>
          <w:rFonts w:cs="Arial"/>
          <w:b/>
          <w:color w:val="2E71AC"/>
        </w:rPr>
        <w:t>Table 1</w:t>
      </w:r>
      <w:r w:rsidRPr="00D0012A">
        <w:rPr>
          <w:rFonts w:cs="Arial"/>
          <w:color w:val="2E71AC"/>
        </w:rPr>
        <w:t xml:space="preserve"> </w:t>
      </w:r>
      <w:r w:rsidRPr="00D0012A">
        <w:rPr>
          <w:rFonts w:cs="Arial"/>
          <w:bCs/>
        </w:rPr>
        <w:t>Main indicators of labour market trend, Q</w:t>
      </w:r>
      <w:r w:rsidR="009B3E4B" w:rsidRPr="00D0012A">
        <w:rPr>
          <w:rFonts w:cs="Arial"/>
          <w:bCs/>
        </w:rPr>
        <w:t>3</w:t>
      </w:r>
      <w:r w:rsidRPr="00D0012A">
        <w:rPr>
          <w:rFonts w:cs="Arial"/>
          <w:bCs/>
        </w:rPr>
        <w:t xml:space="preserve"> 2023</w:t>
      </w:r>
    </w:p>
    <w:tbl>
      <w:tblPr>
        <w:tblW w:w="10212" w:type="dxa"/>
        <w:jc w:val="center"/>
        <w:tblBorders>
          <w:top w:val="single" w:sz="4" w:space="0" w:color="2E71AC"/>
          <w:bottom w:val="single" w:sz="4" w:space="0" w:color="2E71AC"/>
        </w:tblBorders>
        <w:tblLayout w:type="fixed"/>
        <w:tblLook w:val="04A0" w:firstRow="1" w:lastRow="0" w:firstColumn="1" w:lastColumn="0" w:noHBand="0" w:noVBand="1"/>
      </w:tblPr>
      <w:tblGrid>
        <w:gridCol w:w="3915"/>
        <w:gridCol w:w="1415"/>
        <w:gridCol w:w="1422"/>
        <w:gridCol w:w="1091"/>
        <w:gridCol w:w="1462"/>
        <w:gridCol w:w="907"/>
      </w:tblGrid>
      <w:tr w:rsidR="00F75CEC" w:rsidRPr="00D0012A" w14:paraId="7CB8A47D" w14:textId="77777777" w:rsidTr="00D0012A">
        <w:trPr>
          <w:trHeight w:val="587"/>
          <w:jc w:val="center"/>
        </w:trPr>
        <w:tc>
          <w:tcPr>
            <w:tcW w:w="3915" w:type="dxa"/>
            <w:vMerge w:val="restart"/>
            <w:tcBorders>
              <w:top w:val="single" w:sz="4" w:space="0" w:color="2E71AC"/>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22CD55A" w14:textId="77777777" w:rsidR="00F75CEC" w:rsidRPr="00D0012A" w:rsidRDefault="00F75CEC" w:rsidP="0009153F">
            <w:pPr>
              <w:widowControl w:val="0"/>
              <w:rPr>
                <w:rFonts w:cs="Arial"/>
                <w:color w:val="000000"/>
                <w:sz w:val="18"/>
                <w:szCs w:val="18"/>
              </w:rPr>
            </w:pPr>
          </w:p>
        </w:tc>
        <w:tc>
          <w:tcPr>
            <w:tcW w:w="1415" w:type="dxa"/>
            <w:tcBorders>
              <w:top w:val="single" w:sz="4" w:space="0" w:color="2E71AC"/>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019991" w14:textId="77777777" w:rsidR="00F75CEC" w:rsidRPr="00D0012A" w:rsidRDefault="00F75CEC" w:rsidP="0009153F">
            <w:pPr>
              <w:widowControl w:val="0"/>
              <w:jc w:val="center"/>
              <w:rPr>
                <w:rFonts w:cs="Arial"/>
                <w:color w:val="000000"/>
                <w:sz w:val="18"/>
                <w:szCs w:val="18"/>
              </w:rPr>
            </w:pPr>
            <w:r w:rsidRPr="00D0012A">
              <w:rPr>
                <w:rFonts w:cs="Arial"/>
                <w:sz w:val="18"/>
                <w:szCs w:val="18"/>
              </w:rPr>
              <w:t>Q3 2023</w:t>
            </w:r>
          </w:p>
        </w:tc>
        <w:tc>
          <w:tcPr>
            <w:tcW w:w="2513" w:type="dxa"/>
            <w:gridSpan w:val="2"/>
            <w:tcBorders>
              <w:top w:val="single" w:sz="4" w:space="0" w:color="2E71AC"/>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6D082D" w14:textId="77777777" w:rsidR="00F75CEC" w:rsidRPr="00D0012A" w:rsidRDefault="00F75CEC" w:rsidP="0009153F">
            <w:pPr>
              <w:widowControl w:val="0"/>
              <w:jc w:val="center"/>
              <w:rPr>
                <w:rFonts w:cs="Arial"/>
                <w:color w:val="000000"/>
                <w:sz w:val="18"/>
                <w:szCs w:val="18"/>
              </w:rPr>
            </w:pPr>
            <w:r w:rsidRPr="00D0012A">
              <w:rPr>
                <w:rFonts w:cs="Arial"/>
                <w:sz w:val="18"/>
                <w:szCs w:val="18"/>
              </w:rPr>
              <w:t>Changes relative to previous quarter</w:t>
            </w:r>
          </w:p>
        </w:tc>
        <w:tc>
          <w:tcPr>
            <w:tcW w:w="2369" w:type="dxa"/>
            <w:gridSpan w:val="2"/>
            <w:tcBorders>
              <w:top w:val="single" w:sz="4" w:space="0" w:color="2E71AC"/>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1EDF6F2C" w14:textId="77777777" w:rsidR="00F75CEC" w:rsidRPr="00D0012A" w:rsidRDefault="00F75CEC" w:rsidP="00D0012A">
            <w:pPr>
              <w:widowControl w:val="0"/>
              <w:spacing w:before="60" w:after="60"/>
              <w:jc w:val="center"/>
              <w:rPr>
                <w:rFonts w:cs="Arial"/>
                <w:color w:val="000000"/>
                <w:sz w:val="18"/>
                <w:szCs w:val="18"/>
              </w:rPr>
            </w:pPr>
            <w:r w:rsidRPr="00D0012A">
              <w:rPr>
                <w:rFonts w:cs="Arial"/>
                <w:sz w:val="18"/>
                <w:szCs w:val="18"/>
              </w:rPr>
              <w:t>Changes relative to same quarter of the previous year</w:t>
            </w:r>
          </w:p>
        </w:tc>
      </w:tr>
      <w:tr w:rsidR="00F75CEC" w:rsidRPr="00D0012A" w14:paraId="644945A5" w14:textId="77777777" w:rsidTr="00D0012A">
        <w:trPr>
          <w:trHeight w:val="273"/>
          <w:jc w:val="center"/>
        </w:trPr>
        <w:tc>
          <w:tcPr>
            <w:tcW w:w="3915" w:type="dxa"/>
            <w:vMerge/>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28B4C21" w14:textId="77777777" w:rsidR="00F75CEC" w:rsidRPr="00D0012A" w:rsidRDefault="00F75CEC" w:rsidP="0009153F">
            <w:pPr>
              <w:widowControl w:val="0"/>
              <w:rPr>
                <w:rFonts w:cs="Arial"/>
                <w:color w:val="000000"/>
                <w:sz w:val="18"/>
                <w:szCs w:val="18"/>
              </w:rPr>
            </w:pPr>
          </w:p>
        </w:tc>
        <w:tc>
          <w:tcPr>
            <w:tcW w:w="14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4F461D5" w14:textId="77777777" w:rsidR="00F75CEC" w:rsidRPr="00D0012A" w:rsidRDefault="00F75CEC" w:rsidP="00D0012A">
            <w:pPr>
              <w:widowControl w:val="0"/>
              <w:jc w:val="center"/>
              <w:rPr>
                <w:rFonts w:cs="Arial"/>
                <w:color w:val="000000"/>
                <w:sz w:val="18"/>
                <w:szCs w:val="18"/>
              </w:rPr>
            </w:pPr>
            <w:r w:rsidRPr="00D0012A">
              <w:rPr>
                <w:rFonts w:cs="Arial"/>
                <w:sz w:val="18"/>
                <w:szCs w:val="18"/>
              </w:rPr>
              <w:t>(in thousand)</w:t>
            </w:r>
          </w:p>
        </w:tc>
        <w:tc>
          <w:tcPr>
            <w:tcW w:w="14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5A0C08" w14:textId="77777777" w:rsidR="00F75CEC" w:rsidRPr="00D0012A" w:rsidRDefault="00F75CEC" w:rsidP="00D0012A">
            <w:pPr>
              <w:widowControl w:val="0"/>
              <w:jc w:val="center"/>
              <w:rPr>
                <w:rFonts w:cs="Arial"/>
                <w:color w:val="000000"/>
                <w:sz w:val="18"/>
                <w:szCs w:val="18"/>
              </w:rPr>
            </w:pPr>
            <w:r w:rsidRPr="00D0012A">
              <w:rPr>
                <w:rFonts w:cs="Arial"/>
                <w:sz w:val="18"/>
                <w:szCs w:val="18"/>
              </w:rPr>
              <w:t>(in thousand)</w:t>
            </w:r>
          </w:p>
        </w:tc>
        <w:tc>
          <w:tcPr>
            <w:tcW w:w="1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F8C7F14" w14:textId="77777777" w:rsidR="00F75CEC" w:rsidRPr="00D0012A" w:rsidRDefault="00F75CEC" w:rsidP="00D0012A">
            <w:pPr>
              <w:widowControl w:val="0"/>
              <w:jc w:val="center"/>
              <w:rPr>
                <w:rFonts w:cs="Arial"/>
                <w:color w:val="000000"/>
                <w:sz w:val="18"/>
                <w:szCs w:val="18"/>
              </w:rPr>
            </w:pPr>
            <w:r w:rsidRPr="00D0012A">
              <w:rPr>
                <w:rFonts w:cs="Arial"/>
                <w:color w:val="000000"/>
                <w:sz w:val="18"/>
                <w:szCs w:val="18"/>
              </w:rPr>
              <w:t>%</w:t>
            </w:r>
          </w:p>
        </w:tc>
        <w:tc>
          <w:tcPr>
            <w:tcW w:w="14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BF3D299" w14:textId="77777777" w:rsidR="00F75CEC" w:rsidRPr="00D0012A" w:rsidRDefault="00F75CEC" w:rsidP="00D0012A">
            <w:pPr>
              <w:widowControl w:val="0"/>
              <w:jc w:val="center"/>
              <w:rPr>
                <w:rFonts w:cs="Arial"/>
                <w:color w:val="000000"/>
                <w:sz w:val="18"/>
                <w:szCs w:val="18"/>
              </w:rPr>
            </w:pPr>
            <w:r w:rsidRPr="00D0012A">
              <w:rPr>
                <w:rFonts w:cs="Arial"/>
                <w:sz w:val="18"/>
                <w:szCs w:val="18"/>
              </w:rPr>
              <w:t>(in thousand)</w:t>
            </w:r>
          </w:p>
        </w:tc>
        <w:tc>
          <w:tcPr>
            <w:tcW w:w="90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3E2F120" w14:textId="77777777" w:rsidR="00F75CEC" w:rsidRPr="00D0012A" w:rsidRDefault="00F75CEC" w:rsidP="00D0012A">
            <w:pPr>
              <w:widowControl w:val="0"/>
              <w:jc w:val="center"/>
              <w:rPr>
                <w:rFonts w:cs="Arial"/>
                <w:color w:val="000000"/>
                <w:sz w:val="18"/>
                <w:szCs w:val="18"/>
              </w:rPr>
            </w:pPr>
            <w:r w:rsidRPr="00D0012A">
              <w:rPr>
                <w:rFonts w:cs="Arial"/>
                <w:color w:val="000000"/>
                <w:sz w:val="18"/>
                <w:szCs w:val="18"/>
              </w:rPr>
              <w:t>%</w:t>
            </w:r>
          </w:p>
        </w:tc>
      </w:tr>
      <w:tr w:rsidR="00F75CEC" w:rsidRPr="00D0012A" w14:paraId="59040135" w14:textId="77777777" w:rsidTr="00D0012A">
        <w:trPr>
          <w:trHeight w:val="260"/>
          <w:jc w:val="center"/>
        </w:trPr>
        <w:tc>
          <w:tcPr>
            <w:tcW w:w="3915" w:type="dxa"/>
            <w:tcBorders>
              <w:right w:val="single" w:sz="4" w:space="0" w:color="BFBFBF" w:themeColor="background1" w:themeShade="BF"/>
            </w:tcBorders>
            <w:shd w:val="clear" w:color="auto" w:fill="auto"/>
            <w:vAlign w:val="center"/>
          </w:tcPr>
          <w:p w14:paraId="5EFC626E" w14:textId="77777777" w:rsidR="00F75CEC" w:rsidRPr="00D0012A" w:rsidRDefault="00F75CEC" w:rsidP="00D0012A">
            <w:pPr>
              <w:widowControl w:val="0"/>
              <w:spacing w:before="120"/>
              <w:rPr>
                <w:rFonts w:cs="Arial"/>
                <w:b/>
                <w:bCs/>
                <w:color w:val="000000"/>
                <w:sz w:val="18"/>
                <w:szCs w:val="18"/>
              </w:rPr>
            </w:pPr>
            <w:r w:rsidRPr="00D0012A">
              <w:rPr>
                <w:rFonts w:cs="Arial"/>
                <w:b/>
                <w:bCs/>
                <w:color w:val="000000"/>
                <w:sz w:val="18"/>
                <w:szCs w:val="18"/>
              </w:rPr>
              <w:t>Population 15+</w:t>
            </w:r>
          </w:p>
        </w:tc>
        <w:tc>
          <w:tcPr>
            <w:tcW w:w="1415" w:type="dxa"/>
            <w:tcBorders>
              <w:top w:val="nil"/>
              <w:left w:val="single" w:sz="4" w:space="0" w:color="BFBFBF" w:themeColor="background1" w:themeShade="BF"/>
              <w:bottom w:val="nil"/>
              <w:right w:val="single" w:sz="4" w:space="0" w:color="BFBFBF" w:themeColor="background1" w:themeShade="BF"/>
            </w:tcBorders>
            <w:shd w:val="clear" w:color="auto" w:fill="auto"/>
            <w:vAlign w:val="center"/>
          </w:tcPr>
          <w:p w14:paraId="1359004A" w14:textId="77777777" w:rsidR="00F75CEC" w:rsidRPr="00D0012A" w:rsidRDefault="00F75CEC" w:rsidP="00D0012A">
            <w:pPr>
              <w:widowControl w:val="0"/>
              <w:spacing w:before="120"/>
              <w:ind w:right="113"/>
              <w:jc w:val="right"/>
              <w:rPr>
                <w:rFonts w:cs="Arial"/>
                <w:sz w:val="18"/>
                <w:szCs w:val="18"/>
              </w:rPr>
            </w:pPr>
            <w:r w:rsidRPr="00D0012A">
              <w:rPr>
                <w:rFonts w:cs="Arial"/>
                <w:color w:val="000000"/>
                <w:sz w:val="18"/>
                <w:szCs w:val="18"/>
              </w:rPr>
              <w:t>5693.5</w:t>
            </w:r>
          </w:p>
        </w:tc>
        <w:tc>
          <w:tcPr>
            <w:tcW w:w="1422" w:type="dxa"/>
            <w:tcBorders>
              <w:left w:val="single" w:sz="4" w:space="0" w:color="BFBFBF" w:themeColor="background1" w:themeShade="BF"/>
            </w:tcBorders>
            <w:shd w:val="clear" w:color="auto" w:fill="auto"/>
            <w:vAlign w:val="center"/>
          </w:tcPr>
          <w:p w14:paraId="586CC0B1" w14:textId="77777777" w:rsidR="00F75CEC" w:rsidRPr="00D0012A" w:rsidRDefault="00F75CEC" w:rsidP="00D0012A">
            <w:pPr>
              <w:widowControl w:val="0"/>
              <w:spacing w:before="120"/>
              <w:ind w:right="113"/>
              <w:jc w:val="right"/>
              <w:rPr>
                <w:rFonts w:cs="Arial"/>
                <w:sz w:val="18"/>
                <w:szCs w:val="18"/>
              </w:rPr>
            </w:pPr>
            <w:r w:rsidRPr="00D0012A">
              <w:rPr>
                <w:rFonts w:cs="Arial"/>
                <w:color w:val="000000"/>
                <w:sz w:val="18"/>
                <w:szCs w:val="18"/>
              </w:rPr>
              <w:t>-11.3</w:t>
            </w:r>
          </w:p>
        </w:tc>
        <w:tc>
          <w:tcPr>
            <w:tcW w:w="1091" w:type="dxa"/>
            <w:shd w:val="clear" w:color="auto" w:fill="auto"/>
            <w:vAlign w:val="center"/>
          </w:tcPr>
          <w:p w14:paraId="5F292DC6" w14:textId="77777777" w:rsidR="00F75CEC" w:rsidRPr="00D0012A" w:rsidRDefault="00F75CEC" w:rsidP="00D0012A">
            <w:pPr>
              <w:widowControl w:val="0"/>
              <w:spacing w:before="120"/>
              <w:ind w:right="113"/>
              <w:jc w:val="right"/>
              <w:rPr>
                <w:rFonts w:cs="Arial"/>
                <w:sz w:val="18"/>
                <w:szCs w:val="18"/>
              </w:rPr>
            </w:pPr>
            <w:r w:rsidRPr="00D0012A">
              <w:rPr>
                <w:rFonts w:cs="Arial"/>
                <w:color w:val="000000"/>
                <w:sz w:val="18"/>
                <w:szCs w:val="18"/>
              </w:rPr>
              <w:t>-0.2</w:t>
            </w:r>
          </w:p>
        </w:tc>
        <w:tc>
          <w:tcPr>
            <w:tcW w:w="1462" w:type="dxa"/>
            <w:shd w:val="clear" w:color="auto" w:fill="auto"/>
            <w:vAlign w:val="center"/>
          </w:tcPr>
          <w:p w14:paraId="49CDFF36" w14:textId="03C81A83" w:rsidR="00F75CEC" w:rsidRPr="00D0012A" w:rsidRDefault="00F75CEC" w:rsidP="00D0012A">
            <w:pPr>
              <w:widowControl w:val="0"/>
              <w:spacing w:before="120"/>
              <w:ind w:right="113"/>
              <w:jc w:val="right"/>
              <w:rPr>
                <w:rFonts w:cs="Arial"/>
                <w:sz w:val="18"/>
                <w:szCs w:val="18"/>
              </w:rPr>
            </w:pPr>
            <w:r w:rsidRPr="00D0012A">
              <w:rPr>
                <w:rFonts w:cs="Arial"/>
                <w:color w:val="000000"/>
                <w:sz w:val="18"/>
                <w:szCs w:val="18"/>
              </w:rPr>
              <w:t>-56.</w:t>
            </w:r>
            <w:r w:rsidR="00D23077">
              <w:rPr>
                <w:rFonts w:cs="Arial"/>
                <w:color w:val="000000"/>
                <w:sz w:val="18"/>
                <w:szCs w:val="18"/>
              </w:rPr>
              <w:t>9</w:t>
            </w:r>
          </w:p>
        </w:tc>
        <w:tc>
          <w:tcPr>
            <w:tcW w:w="907" w:type="dxa"/>
            <w:shd w:val="clear" w:color="auto" w:fill="auto"/>
            <w:vAlign w:val="center"/>
          </w:tcPr>
          <w:p w14:paraId="7EC4A53D" w14:textId="77777777" w:rsidR="00F75CEC" w:rsidRPr="00D0012A" w:rsidRDefault="00F75CEC" w:rsidP="00D0012A">
            <w:pPr>
              <w:widowControl w:val="0"/>
              <w:spacing w:before="120"/>
              <w:ind w:right="113"/>
              <w:jc w:val="right"/>
              <w:rPr>
                <w:rFonts w:cs="Arial"/>
                <w:sz w:val="18"/>
                <w:szCs w:val="18"/>
              </w:rPr>
            </w:pPr>
            <w:r w:rsidRPr="00D0012A">
              <w:rPr>
                <w:rFonts w:cs="Arial"/>
                <w:color w:val="000000"/>
                <w:sz w:val="18"/>
                <w:szCs w:val="18"/>
              </w:rPr>
              <w:t>-1.0</w:t>
            </w:r>
          </w:p>
        </w:tc>
      </w:tr>
      <w:tr w:rsidR="00F75CEC" w:rsidRPr="00D0012A" w14:paraId="140E6D08" w14:textId="77777777" w:rsidTr="00D0012A">
        <w:trPr>
          <w:trHeight w:val="260"/>
          <w:jc w:val="center"/>
        </w:trPr>
        <w:tc>
          <w:tcPr>
            <w:tcW w:w="3915" w:type="dxa"/>
            <w:tcBorders>
              <w:right w:val="single" w:sz="4" w:space="0" w:color="BFBFBF" w:themeColor="background1" w:themeShade="BF"/>
            </w:tcBorders>
            <w:shd w:val="clear" w:color="auto" w:fill="auto"/>
            <w:vAlign w:val="center"/>
          </w:tcPr>
          <w:p w14:paraId="09AF2566" w14:textId="77777777" w:rsidR="00F75CEC" w:rsidRPr="00D0012A" w:rsidRDefault="00F75CEC" w:rsidP="0009153F">
            <w:pPr>
              <w:widowControl w:val="0"/>
              <w:rPr>
                <w:rFonts w:cs="Arial"/>
                <w:color w:val="000000"/>
                <w:sz w:val="18"/>
                <w:szCs w:val="18"/>
              </w:rPr>
            </w:pPr>
            <w:r w:rsidRPr="00D0012A">
              <w:rPr>
                <w:rFonts w:cs="Arial"/>
                <w:color w:val="000000"/>
                <w:sz w:val="18"/>
                <w:szCs w:val="18"/>
              </w:rPr>
              <w:t xml:space="preserve">    Active</w:t>
            </w:r>
          </w:p>
        </w:tc>
        <w:tc>
          <w:tcPr>
            <w:tcW w:w="1415" w:type="dxa"/>
            <w:tcBorders>
              <w:top w:val="nil"/>
              <w:left w:val="single" w:sz="4" w:space="0" w:color="BFBFBF" w:themeColor="background1" w:themeShade="BF"/>
              <w:bottom w:val="nil"/>
              <w:right w:val="single" w:sz="4" w:space="0" w:color="BFBFBF" w:themeColor="background1" w:themeShade="BF"/>
            </w:tcBorders>
            <w:shd w:val="clear" w:color="auto" w:fill="auto"/>
            <w:vAlign w:val="center"/>
          </w:tcPr>
          <w:p w14:paraId="1F3A770C" w14:textId="77777777" w:rsidR="00F75CEC" w:rsidRPr="00D0012A" w:rsidRDefault="00F75CEC" w:rsidP="0009153F">
            <w:pPr>
              <w:widowControl w:val="0"/>
              <w:ind w:right="113"/>
              <w:jc w:val="right"/>
              <w:rPr>
                <w:rFonts w:cs="Arial"/>
                <w:sz w:val="18"/>
                <w:szCs w:val="18"/>
              </w:rPr>
            </w:pPr>
            <w:r w:rsidRPr="00D0012A">
              <w:rPr>
                <w:rFonts w:cs="Arial"/>
                <w:color w:val="000000"/>
                <w:sz w:val="18"/>
                <w:szCs w:val="18"/>
              </w:rPr>
              <w:t>3174.2</w:t>
            </w:r>
          </w:p>
        </w:tc>
        <w:tc>
          <w:tcPr>
            <w:tcW w:w="1422" w:type="dxa"/>
            <w:tcBorders>
              <w:left w:val="single" w:sz="4" w:space="0" w:color="BFBFBF" w:themeColor="background1" w:themeShade="BF"/>
            </w:tcBorders>
            <w:shd w:val="clear" w:color="auto" w:fill="auto"/>
            <w:vAlign w:val="center"/>
          </w:tcPr>
          <w:p w14:paraId="20F5DBA8" w14:textId="77777777" w:rsidR="00F75CEC" w:rsidRPr="00D0012A" w:rsidRDefault="00F75CEC" w:rsidP="0009153F">
            <w:pPr>
              <w:widowControl w:val="0"/>
              <w:ind w:right="113"/>
              <w:jc w:val="right"/>
              <w:rPr>
                <w:rFonts w:cs="Arial"/>
                <w:sz w:val="18"/>
                <w:szCs w:val="18"/>
              </w:rPr>
            </w:pPr>
            <w:r w:rsidRPr="00D0012A">
              <w:rPr>
                <w:rFonts w:cs="Arial"/>
                <w:color w:val="000000"/>
                <w:sz w:val="18"/>
                <w:szCs w:val="18"/>
              </w:rPr>
              <w:t>-9.0</w:t>
            </w:r>
          </w:p>
        </w:tc>
        <w:tc>
          <w:tcPr>
            <w:tcW w:w="1091" w:type="dxa"/>
            <w:shd w:val="clear" w:color="auto" w:fill="auto"/>
            <w:vAlign w:val="center"/>
          </w:tcPr>
          <w:p w14:paraId="12F87CC6" w14:textId="77777777" w:rsidR="00F75CEC" w:rsidRPr="00D0012A" w:rsidRDefault="00F75CEC" w:rsidP="0009153F">
            <w:pPr>
              <w:widowControl w:val="0"/>
              <w:ind w:right="113"/>
              <w:jc w:val="right"/>
              <w:rPr>
                <w:rFonts w:cs="Arial"/>
                <w:sz w:val="18"/>
                <w:szCs w:val="18"/>
              </w:rPr>
            </w:pPr>
            <w:r w:rsidRPr="00D0012A">
              <w:rPr>
                <w:rFonts w:cs="Arial"/>
                <w:color w:val="000000"/>
                <w:sz w:val="18"/>
                <w:szCs w:val="18"/>
              </w:rPr>
              <w:t>-0.3</w:t>
            </w:r>
          </w:p>
        </w:tc>
        <w:tc>
          <w:tcPr>
            <w:tcW w:w="1462" w:type="dxa"/>
            <w:shd w:val="clear" w:color="auto" w:fill="auto"/>
            <w:vAlign w:val="center"/>
          </w:tcPr>
          <w:p w14:paraId="61D76902" w14:textId="77777777" w:rsidR="00F75CEC" w:rsidRPr="00D0012A" w:rsidRDefault="00F75CEC" w:rsidP="0009153F">
            <w:pPr>
              <w:widowControl w:val="0"/>
              <w:ind w:right="113"/>
              <w:jc w:val="right"/>
              <w:rPr>
                <w:rFonts w:cs="Arial"/>
                <w:sz w:val="18"/>
                <w:szCs w:val="18"/>
              </w:rPr>
            </w:pPr>
            <w:r w:rsidRPr="00D0012A">
              <w:rPr>
                <w:rFonts w:cs="Arial"/>
                <w:color w:val="000000"/>
                <w:sz w:val="18"/>
                <w:szCs w:val="18"/>
              </w:rPr>
              <w:t>3.9</w:t>
            </w:r>
          </w:p>
        </w:tc>
        <w:tc>
          <w:tcPr>
            <w:tcW w:w="907" w:type="dxa"/>
            <w:shd w:val="clear" w:color="auto" w:fill="auto"/>
            <w:vAlign w:val="center"/>
          </w:tcPr>
          <w:p w14:paraId="1FE44A98" w14:textId="77777777" w:rsidR="00F75CEC" w:rsidRPr="00D0012A" w:rsidRDefault="00F75CEC" w:rsidP="0009153F">
            <w:pPr>
              <w:widowControl w:val="0"/>
              <w:ind w:right="113"/>
              <w:jc w:val="right"/>
              <w:rPr>
                <w:rFonts w:cs="Arial"/>
                <w:sz w:val="18"/>
                <w:szCs w:val="18"/>
              </w:rPr>
            </w:pPr>
            <w:r w:rsidRPr="00D0012A">
              <w:rPr>
                <w:rFonts w:cs="Arial"/>
                <w:color w:val="000000"/>
                <w:sz w:val="18"/>
                <w:szCs w:val="18"/>
              </w:rPr>
              <w:t>0.1</w:t>
            </w:r>
          </w:p>
        </w:tc>
      </w:tr>
      <w:tr w:rsidR="00F75CEC" w:rsidRPr="00D0012A" w14:paraId="35CB336E" w14:textId="77777777" w:rsidTr="00D0012A">
        <w:trPr>
          <w:trHeight w:val="260"/>
          <w:jc w:val="center"/>
        </w:trPr>
        <w:tc>
          <w:tcPr>
            <w:tcW w:w="3915" w:type="dxa"/>
            <w:tcBorders>
              <w:right w:val="single" w:sz="4" w:space="0" w:color="BFBFBF" w:themeColor="background1" w:themeShade="BF"/>
            </w:tcBorders>
            <w:shd w:val="clear" w:color="auto" w:fill="auto"/>
            <w:vAlign w:val="center"/>
          </w:tcPr>
          <w:p w14:paraId="08798E26" w14:textId="77777777" w:rsidR="00F75CEC" w:rsidRPr="00D0012A" w:rsidRDefault="00F75CEC" w:rsidP="0009153F">
            <w:pPr>
              <w:widowControl w:val="0"/>
              <w:rPr>
                <w:rFonts w:cs="Arial"/>
                <w:color w:val="000000"/>
                <w:sz w:val="18"/>
                <w:szCs w:val="18"/>
              </w:rPr>
            </w:pPr>
            <w:r w:rsidRPr="00D0012A">
              <w:rPr>
                <w:rFonts w:cs="Arial"/>
                <w:color w:val="000000"/>
                <w:sz w:val="18"/>
                <w:szCs w:val="18"/>
              </w:rPr>
              <w:t xml:space="preserve">        Employed</w:t>
            </w:r>
          </w:p>
        </w:tc>
        <w:tc>
          <w:tcPr>
            <w:tcW w:w="1415" w:type="dxa"/>
            <w:tcBorders>
              <w:top w:val="nil"/>
              <w:left w:val="single" w:sz="4" w:space="0" w:color="BFBFBF" w:themeColor="background1" w:themeShade="BF"/>
              <w:bottom w:val="nil"/>
              <w:right w:val="single" w:sz="4" w:space="0" w:color="BFBFBF" w:themeColor="background1" w:themeShade="BF"/>
            </w:tcBorders>
            <w:shd w:val="clear" w:color="auto" w:fill="auto"/>
            <w:vAlign w:val="center"/>
          </w:tcPr>
          <w:p w14:paraId="3A4EEACC" w14:textId="77777777" w:rsidR="00F75CEC" w:rsidRPr="00D0012A" w:rsidRDefault="00F75CEC" w:rsidP="0009153F">
            <w:pPr>
              <w:widowControl w:val="0"/>
              <w:ind w:right="113"/>
              <w:jc w:val="right"/>
              <w:rPr>
                <w:rFonts w:cs="Arial"/>
                <w:sz w:val="18"/>
                <w:szCs w:val="18"/>
              </w:rPr>
            </w:pPr>
            <w:r w:rsidRPr="00D0012A">
              <w:rPr>
                <w:rFonts w:cs="Arial"/>
                <w:color w:val="000000"/>
                <w:sz w:val="18"/>
                <w:szCs w:val="18"/>
              </w:rPr>
              <w:t>2888.5</w:t>
            </w:r>
          </w:p>
        </w:tc>
        <w:tc>
          <w:tcPr>
            <w:tcW w:w="1422" w:type="dxa"/>
            <w:tcBorders>
              <w:left w:val="single" w:sz="4" w:space="0" w:color="BFBFBF" w:themeColor="background1" w:themeShade="BF"/>
            </w:tcBorders>
            <w:shd w:val="clear" w:color="auto" w:fill="auto"/>
            <w:vAlign w:val="center"/>
          </w:tcPr>
          <w:p w14:paraId="00926749" w14:textId="77777777" w:rsidR="00F75CEC" w:rsidRPr="00D0012A" w:rsidRDefault="00F75CEC" w:rsidP="0009153F">
            <w:pPr>
              <w:widowControl w:val="0"/>
              <w:ind w:right="113"/>
              <w:jc w:val="right"/>
              <w:rPr>
                <w:rFonts w:cs="Arial"/>
                <w:sz w:val="18"/>
                <w:szCs w:val="18"/>
              </w:rPr>
            </w:pPr>
            <w:r w:rsidRPr="00D0012A">
              <w:rPr>
                <w:rFonts w:cs="Arial"/>
                <w:color w:val="000000"/>
                <w:sz w:val="18"/>
                <w:szCs w:val="18"/>
              </w:rPr>
              <w:t>11.9</w:t>
            </w:r>
          </w:p>
        </w:tc>
        <w:tc>
          <w:tcPr>
            <w:tcW w:w="1091" w:type="dxa"/>
            <w:shd w:val="clear" w:color="auto" w:fill="auto"/>
            <w:vAlign w:val="center"/>
          </w:tcPr>
          <w:p w14:paraId="0B910076" w14:textId="77777777" w:rsidR="00F75CEC" w:rsidRPr="00D0012A" w:rsidRDefault="00F75CEC" w:rsidP="0009153F">
            <w:pPr>
              <w:widowControl w:val="0"/>
              <w:ind w:right="113"/>
              <w:jc w:val="right"/>
              <w:rPr>
                <w:rFonts w:cs="Arial"/>
                <w:sz w:val="18"/>
                <w:szCs w:val="18"/>
              </w:rPr>
            </w:pPr>
            <w:r w:rsidRPr="00D0012A">
              <w:rPr>
                <w:rFonts w:cs="Arial"/>
                <w:color w:val="000000"/>
                <w:sz w:val="18"/>
                <w:szCs w:val="18"/>
              </w:rPr>
              <w:t>0.4</w:t>
            </w:r>
          </w:p>
        </w:tc>
        <w:tc>
          <w:tcPr>
            <w:tcW w:w="1462" w:type="dxa"/>
            <w:shd w:val="clear" w:color="auto" w:fill="auto"/>
            <w:vAlign w:val="center"/>
          </w:tcPr>
          <w:p w14:paraId="54CB7766" w14:textId="77777777" w:rsidR="00F75CEC" w:rsidRPr="00D0012A" w:rsidRDefault="00F75CEC" w:rsidP="0009153F">
            <w:pPr>
              <w:widowControl w:val="0"/>
              <w:ind w:right="113"/>
              <w:jc w:val="right"/>
              <w:rPr>
                <w:rFonts w:cs="Arial"/>
                <w:sz w:val="18"/>
                <w:szCs w:val="18"/>
              </w:rPr>
            </w:pPr>
            <w:r w:rsidRPr="00D0012A">
              <w:rPr>
                <w:rFonts w:cs="Arial"/>
                <w:color w:val="000000"/>
                <w:sz w:val="18"/>
                <w:szCs w:val="18"/>
              </w:rPr>
              <w:t>3.1</w:t>
            </w:r>
          </w:p>
        </w:tc>
        <w:tc>
          <w:tcPr>
            <w:tcW w:w="907" w:type="dxa"/>
            <w:shd w:val="clear" w:color="auto" w:fill="auto"/>
            <w:vAlign w:val="center"/>
          </w:tcPr>
          <w:p w14:paraId="1CB062CE" w14:textId="77777777" w:rsidR="00F75CEC" w:rsidRPr="00D0012A" w:rsidRDefault="00F75CEC" w:rsidP="0009153F">
            <w:pPr>
              <w:widowControl w:val="0"/>
              <w:ind w:right="113"/>
              <w:jc w:val="right"/>
              <w:rPr>
                <w:rFonts w:cs="Arial"/>
                <w:sz w:val="18"/>
                <w:szCs w:val="18"/>
              </w:rPr>
            </w:pPr>
            <w:r w:rsidRPr="00D0012A">
              <w:rPr>
                <w:rFonts w:cs="Arial"/>
                <w:color w:val="000000"/>
                <w:sz w:val="18"/>
                <w:szCs w:val="18"/>
              </w:rPr>
              <w:t>0.1</w:t>
            </w:r>
          </w:p>
        </w:tc>
      </w:tr>
      <w:tr w:rsidR="00F75CEC" w:rsidRPr="00D0012A" w14:paraId="491B8B89" w14:textId="77777777" w:rsidTr="00D0012A">
        <w:trPr>
          <w:trHeight w:val="260"/>
          <w:jc w:val="center"/>
        </w:trPr>
        <w:tc>
          <w:tcPr>
            <w:tcW w:w="3915" w:type="dxa"/>
            <w:tcBorders>
              <w:right w:val="single" w:sz="4" w:space="0" w:color="BFBFBF" w:themeColor="background1" w:themeShade="BF"/>
            </w:tcBorders>
            <w:shd w:val="clear" w:color="auto" w:fill="auto"/>
            <w:vAlign w:val="center"/>
          </w:tcPr>
          <w:p w14:paraId="4F80DE73" w14:textId="77777777" w:rsidR="00F75CEC" w:rsidRPr="00D0012A" w:rsidRDefault="00F75CEC" w:rsidP="0009153F">
            <w:pPr>
              <w:widowControl w:val="0"/>
              <w:rPr>
                <w:rFonts w:cs="Arial"/>
                <w:color w:val="000000"/>
                <w:sz w:val="18"/>
                <w:szCs w:val="18"/>
              </w:rPr>
            </w:pPr>
            <w:r w:rsidRPr="00D0012A">
              <w:rPr>
                <w:rFonts w:cs="Arial"/>
                <w:color w:val="000000"/>
                <w:sz w:val="18"/>
                <w:szCs w:val="18"/>
              </w:rPr>
              <w:t xml:space="preserve">            Formally employed</w:t>
            </w:r>
          </w:p>
        </w:tc>
        <w:tc>
          <w:tcPr>
            <w:tcW w:w="1415" w:type="dxa"/>
            <w:tcBorders>
              <w:top w:val="nil"/>
              <w:left w:val="single" w:sz="4" w:space="0" w:color="BFBFBF" w:themeColor="background1" w:themeShade="BF"/>
              <w:bottom w:val="nil"/>
              <w:right w:val="single" w:sz="4" w:space="0" w:color="BFBFBF" w:themeColor="background1" w:themeShade="BF"/>
            </w:tcBorders>
            <w:shd w:val="clear" w:color="auto" w:fill="auto"/>
            <w:vAlign w:val="center"/>
          </w:tcPr>
          <w:p w14:paraId="1DE2B34D" w14:textId="77777777" w:rsidR="00F75CEC" w:rsidRPr="00D0012A" w:rsidRDefault="00F75CEC" w:rsidP="0009153F">
            <w:pPr>
              <w:widowControl w:val="0"/>
              <w:ind w:right="113"/>
              <w:jc w:val="right"/>
              <w:rPr>
                <w:rFonts w:cs="Arial"/>
                <w:sz w:val="18"/>
                <w:szCs w:val="18"/>
              </w:rPr>
            </w:pPr>
            <w:r w:rsidRPr="00D0012A">
              <w:rPr>
                <w:rFonts w:cs="Arial"/>
                <w:color w:val="000000"/>
                <w:sz w:val="18"/>
                <w:szCs w:val="18"/>
              </w:rPr>
              <w:t>2518.7</w:t>
            </w:r>
          </w:p>
        </w:tc>
        <w:tc>
          <w:tcPr>
            <w:tcW w:w="1422" w:type="dxa"/>
            <w:tcBorders>
              <w:left w:val="single" w:sz="4" w:space="0" w:color="BFBFBF" w:themeColor="background1" w:themeShade="BF"/>
            </w:tcBorders>
            <w:shd w:val="clear" w:color="auto" w:fill="auto"/>
            <w:vAlign w:val="center"/>
          </w:tcPr>
          <w:p w14:paraId="1D055C6E" w14:textId="77777777" w:rsidR="00F75CEC" w:rsidRPr="00D0012A" w:rsidRDefault="00F75CEC" w:rsidP="0009153F">
            <w:pPr>
              <w:widowControl w:val="0"/>
              <w:ind w:right="113"/>
              <w:jc w:val="right"/>
              <w:rPr>
                <w:rFonts w:cs="Arial"/>
                <w:sz w:val="18"/>
                <w:szCs w:val="18"/>
              </w:rPr>
            </w:pPr>
            <w:r w:rsidRPr="00D0012A">
              <w:rPr>
                <w:rFonts w:cs="Arial"/>
                <w:color w:val="000000"/>
                <w:sz w:val="18"/>
                <w:szCs w:val="18"/>
              </w:rPr>
              <w:t>-3.6</w:t>
            </w:r>
          </w:p>
        </w:tc>
        <w:tc>
          <w:tcPr>
            <w:tcW w:w="1091" w:type="dxa"/>
            <w:shd w:val="clear" w:color="auto" w:fill="auto"/>
            <w:vAlign w:val="center"/>
          </w:tcPr>
          <w:p w14:paraId="71B79810" w14:textId="77777777" w:rsidR="00F75CEC" w:rsidRPr="00D0012A" w:rsidRDefault="00F75CEC" w:rsidP="0009153F">
            <w:pPr>
              <w:widowControl w:val="0"/>
              <w:ind w:right="113"/>
              <w:jc w:val="right"/>
              <w:rPr>
                <w:rFonts w:cs="Arial"/>
                <w:sz w:val="18"/>
                <w:szCs w:val="18"/>
              </w:rPr>
            </w:pPr>
            <w:r w:rsidRPr="00D0012A">
              <w:rPr>
                <w:rFonts w:cs="Arial"/>
                <w:color w:val="000000"/>
                <w:sz w:val="18"/>
                <w:szCs w:val="18"/>
              </w:rPr>
              <w:t>-0.1</w:t>
            </w:r>
          </w:p>
        </w:tc>
        <w:tc>
          <w:tcPr>
            <w:tcW w:w="1462" w:type="dxa"/>
            <w:shd w:val="clear" w:color="auto" w:fill="auto"/>
            <w:vAlign w:val="center"/>
          </w:tcPr>
          <w:p w14:paraId="2B518F2E" w14:textId="77777777" w:rsidR="00F75CEC" w:rsidRPr="00D0012A" w:rsidRDefault="00F75CEC" w:rsidP="0009153F">
            <w:pPr>
              <w:widowControl w:val="0"/>
              <w:ind w:right="113"/>
              <w:jc w:val="right"/>
              <w:rPr>
                <w:rFonts w:cs="Arial"/>
                <w:sz w:val="18"/>
                <w:szCs w:val="18"/>
              </w:rPr>
            </w:pPr>
            <w:r w:rsidRPr="00D0012A">
              <w:rPr>
                <w:rFonts w:cs="Arial"/>
                <w:color w:val="000000"/>
                <w:sz w:val="18"/>
                <w:szCs w:val="18"/>
              </w:rPr>
              <w:t>16.4</w:t>
            </w:r>
          </w:p>
        </w:tc>
        <w:tc>
          <w:tcPr>
            <w:tcW w:w="907" w:type="dxa"/>
            <w:shd w:val="clear" w:color="auto" w:fill="auto"/>
            <w:vAlign w:val="center"/>
          </w:tcPr>
          <w:p w14:paraId="72EEAACE" w14:textId="77777777" w:rsidR="00F75CEC" w:rsidRPr="00D0012A" w:rsidRDefault="00F75CEC" w:rsidP="0009153F">
            <w:pPr>
              <w:widowControl w:val="0"/>
              <w:ind w:right="113"/>
              <w:jc w:val="right"/>
              <w:rPr>
                <w:rFonts w:cs="Arial"/>
                <w:sz w:val="18"/>
                <w:szCs w:val="18"/>
              </w:rPr>
            </w:pPr>
            <w:r w:rsidRPr="00D0012A">
              <w:rPr>
                <w:rFonts w:cs="Arial"/>
                <w:color w:val="000000"/>
                <w:sz w:val="18"/>
                <w:szCs w:val="18"/>
              </w:rPr>
              <w:t>0.7</w:t>
            </w:r>
          </w:p>
        </w:tc>
      </w:tr>
      <w:tr w:rsidR="00F75CEC" w:rsidRPr="00D0012A" w14:paraId="58539C4B" w14:textId="77777777" w:rsidTr="00D0012A">
        <w:trPr>
          <w:trHeight w:val="260"/>
          <w:jc w:val="center"/>
        </w:trPr>
        <w:tc>
          <w:tcPr>
            <w:tcW w:w="3915" w:type="dxa"/>
            <w:tcBorders>
              <w:right w:val="single" w:sz="4" w:space="0" w:color="BFBFBF" w:themeColor="background1" w:themeShade="BF"/>
            </w:tcBorders>
            <w:shd w:val="clear" w:color="auto" w:fill="auto"/>
            <w:vAlign w:val="center"/>
          </w:tcPr>
          <w:p w14:paraId="40C4D36C" w14:textId="77777777" w:rsidR="00F75CEC" w:rsidRPr="00D0012A" w:rsidRDefault="00F75CEC" w:rsidP="0009153F">
            <w:pPr>
              <w:widowControl w:val="0"/>
              <w:rPr>
                <w:rFonts w:cs="Arial"/>
                <w:color w:val="000000"/>
                <w:sz w:val="18"/>
                <w:szCs w:val="18"/>
              </w:rPr>
            </w:pPr>
            <w:r w:rsidRPr="00D0012A">
              <w:rPr>
                <w:rFonts w:cs="Arial"/>
                <w:color w:val="000000"/>
                <w:sz w:val="18"/>
                <w:szCs w:val="18"/>
              </w:rPr>
              <w:t xml:space="preserve">            Informally employed</w:t>
            </w:r>
          </w:p>
        </w:tc>
        <w:tc>
          <w:tcPr>
            <w:tcW w:w="1415" w:type="dxa"/>
            <w:tcBorders>
              <w:top w:val="nil"/>
              <w:left w:val="single" w:sz="4" w:space="0" w:color="BFBFBF" w:themeColor="background1" w:themeShade="BF"/>
              <w:bottom w:val="nil"/>
              <w:right w:val="single" w:sz="4" w:space="0" w:color="BFBFBF" w:themeColor="background1" w:themeShade="BF"/>
            </w:tcBorders>
            <w:shd w:val="clear" w:color="auto" w:fill="auto"/>
            <w:vAlign w:val="center"/>
          </w:tcPr>
          <w:p w14:paraId="59EFA91B" w14:textId="77777777" w:rsidR="00F75CEC" w:rsidRPr="00D0012A" w:rsidRDefault="00F75CEC" w:rsidP="0009153F">
            <w:pPr>
              <w:widowControl w:val="0"/>
              <w:ind w:right="113"/>
              <w:jc w:val="right"/>
              <w:rPr>
                <w:rFonts w:cs="Arial"/>
                <w:sz w:val="18"/>
                <w:szCs w:val="18"/>
              </w:rPr>
            </w:pPr>
            <w:r w:rsidRPr="00D0012A">
              <w:rPr>
                <w:rFonts w:cs="Arial"/>
                <w:color w:val="000000"/>
                <w:sz w:val="18"/>
                <w:szCs w:val="18"/>
              </w:rPr>
              <w:t>369.9</w:t>
            </w:r>
          </w:p>
        </w:tc>
        <w:tc>
          <w:tcPr>
            <w:tcW w:w="1422" w:type="dxa"/>
            <w:tcBorders>
              <w:left w:val="single" w:sz="4" w:space="0" w:color="BFBFBF" w:themeColor="background1" w:themeShade="BF"/>
            </w:tcBorders>
            <w:shd w:val="clear" w:color="auto" w:fill="auto"/>
            <w:vAlign w:val="center"/>
          </w:tcPr>
          <w:p w14:paraId="5A37469A" w14:textId="77777777" w:rsidR="00F75CEC" w:rsidRPr="00D0012A" w:rsidRDefault="00F75CEC" w:rsidP="0009153F">
            <w:pPr>
              <w:widowControl w:val="0"/>
              <w:ind w:right="113"/>
              <w:jc w:val="right"/>
              <w:rPr>
                <w:rFonts w:cs="Arial"/>
                <w:sz w:val="18"/>
                <w:szCs w:val="18"/>
              </w:rPr>
            </w:pPr>
            <w:r w:rsidRPr="00D0012A">
              <w:rPr>
                <w:rFonts w:cs="Arial"/>
                <w:color w:val="000000"/>
                <w:sz w:val="18"/>
                <w:szCs w:val="18"/>
              </w:rPr>
              <w:t>15.5</w:t>
            </w:r>
          </w:p>
        </w:tc>
        <w:tc>
          <w:tcPr>
            <w:tcW w:w="1091" w:type="dxa"/>
            <w:shd w:val="clear" w:color="auto" w:fill="auto"/>
            <w:vAlign w:val="center"/>
          </w:tcPr>
          <w:p w14:paraId="159C5AF7" w14:textId="77777777" w:rsidR="00F75CEC" w:rsidRPr="00D0012A" w:rsidRDefault="00F75CEC" w:rsidP="0009153F">
            <w:pPr>
              <w:widowControl w:val="0"/>
              <w:ind w:right="113"/>
              <w:jc w:val="right"/>
              <w:rPr>
                <w:rFonts w:cs="Arial"/>
                <w:sz w:val="18"/>
                <w:szCs w:val="18"/>
              </w:rPr>
            </w:pPr>
            <w:r w:rsidRPr="00D0012A">
              <w:rPr>
                <w:rFonts w:cs="Arial"/>
                <w:color w:val="000000"/>
                <w:sz w:val="18"/>
                <w:szCs w:val="18"/>
              </w:rPr>
              <w:t>4.4</w:t>
            </w:r>
          </w:p>
        </w:tc>
        <w:tc>
          <w:tcPr>
            <w:tcW w:w="1462" w:type="dxa"/>
            <w:shd w:val="clear" w:color="auto" w:fill="auto"/>
            <w:vAlign w:val="center"/>
          </w:tcPr>
          <w:p w14:paraId="2A5A611E" w14:textId="77777777" w:rsidR="00F75CEC" w:rsidRPr="00D0012A" w:rsidRDefault="00F75CEC" w:rsidP="0009153F">
            <w:pPr>
              <w:widowControl w:val="0"/>
              <w:ind w:right="113"/>
              <w:jc w:val="right"/>
              <w:rPr>
                <w:rFonts w:cs="Arial"/>
                <w:sz w:val="18"/>
                <w:szCs w:val="18"/>
              </w:rPr>
            </w:pPr>
            <w:r w:rsidRPr="00D0012A">
              <w:rPr>
                <w:rFonts w:cs="Arial"/>
                <w:color w:val="000000"/>
                <w:sz w:val="18"/>
                <w:szCs w:val="18"/>
              </w:rPr>
              <w:t>-13.3</w:t>
            </w:r>
          </w:p>
        </w:tc>
        <w:tc>
          <w:tcPr>
            <w:tcW w:w="907" w:type="dxa"/>
            <w:shd w:val="clear" w:color="auto" w:fill="auto"/>
            <w:vAlign w:val="center"/>
          </w:tcPr>
          <w:p w14:paraId="684C75E4" w14:textId="77777777" w:rsidR="00F75CEC" w:rsidRPr="00D0012A" w:rsidRDefault="00F75CEC" w:rsidP="0009153F">
            <w:pPr>
              <w:widowControl w:val="0"/>
              <w:ind w:right="113"/>
              <w:jc w:val="right"/>
              <w:rPr>
                <w:rFonts w:cs="Arial"/>
                <w:sz w:val="18"/>
                <w:szCs w:val="18"/>
              </w:rPr>
            </w:pPr>
            <w:r w:rsidRPr="00D0012A">
              <w:rPr>
                <w:rFonts w:cs="Arial"/>
                <w:color w:val="000000"/>
                <w:sz w:val="18"/>
                <w:szCs w:val="18"/>
              </w:rPr>
              <w:t>-3.5</w:t>
            </w:r>
          </w:p>
        </w:tc>
      </w:tr>
      <w:tr w:rsidR="00F75CEC" w:rsidRPr="00D0012A" w14:paraId="6278E4A4" w14:textId="77777777" w:rsidTr="00D0012A">
        <w:trPr>
          <w:trHeight w:val="259"/>
          <w:jc w:val="center"/>
        </w:trPr>
        <w:tc>
          <w:tcPr>
            <w:tcW w:w="3915" w:type="dxa"/>
            <w:tcBorders>
              <w:right w:val="single" w:sz="4" w:space="0" w:color="BFBFBF" w:themeColor="background1" w:themeShade="BF"/>
            </w:tcBorders>
            <w:shd w:val="clear" w:color="auto" w:fill="auto"/>
            <w:vAlign w:val="center"/>
          </w:tcPr>
          <w:p w14:paraId="1A9FDBBD" w14:textId="77777777" w:rsidR="00F75CEC" w:rsidRPr="00D0012A" w:rsidRDefault="00F75CEC" w:rsidP="0009153F">
            <w:pPr>
              <w:widowControl w:val="0"/>
              <w:rPr>
                <w:rFonts w:cs="Arial"/>
                <w:color w:val="000000"/>
                <w:sz w:val="18"/>
                <w:szCs w:val="18"/>
              </w:rPr>
            </w:pPr>
            <w:r w:rsidRPr="00D0012A">
              <w:rPr>
                <w:rFonts w:cs="Arial"/>
                <w:color w:val="000000"/>
                <w:sz w:val="18"/>
                <w:szCs w:val="18"/>
              </w:rPr>
              <w:t xml:space="preserve">        Unemployed</w:t>
            </w:r>
          </w:p>
        </w:tc>
        <w:tc>
          <w:tcPr>
            <w:tcW w:w="1415" w:type="dxa"/>
            <w:tcBorders>
              <w:top w:val="nil"/>
              <w:left w:val="single" w:sz="4" w:space="0" w:color="BFBFBF" w:themeColor="background1" w:themeShade="BF"/>
              <w:bottom w:val="nil"/>
              <w:right w:val="single" w:sz="4" w:space="0" w:color="BFBFBF" w:themeColor="background1" w:themeShade="BF"/>
            </w:tcBorders>
            <w:shd w:val="clear" w:color="auto" w:fill="auto"/>
            <w:vAlign w:val="center"/>
          </w:tcPr>
          <w:p w14:paraId="01BDAA1F" w14:textId="77777777" w:rsidR="00F75CEC" w:rsidRPr="00D0012A" w:rsidRDefault="00F75CEC" w:rsidP="0009153F">
            <w:pPr>
              <w:widowControl w:val="0"/>
              <w:ind w:right="113"/>
              <w:jc w:val="right"/>
              <w:rPr>
                <w:rFonts w:cs="Arial"/>
                <w:sz w:val="18"/>
                <w:szCs w:val="18"/>
              </w:rPr>
            </w:pPr>
            <w:r w:rsidRPr="00D0012A">
              <w:rPr>
                <w:rFonts w:cs="Arial"/>
                <w:color w:val="000000"/>
                <w:sz w:val="18"/>
                <w:szCs w:val="18"/>
              </w:rPr>
              <w:t>285.7</w:t>
            </w:r>
          </w:p>
        </w:tc>
        <w:tc>
          <w:tcPr>
            <w:tcW w:w="1422" w:type="dxa"/>
            <w:tcBorders>
              <w:left w:val="single" w:sz="4" w:space="0" w:color="BFBFBF" w:themeColor="background1" w:themeShade="BF"/>
            </w:tcBorders>
            <w:shd w:val="clear" w:color="auto" w:fill="auto"/>
            <w:vAlign w:val="center"/>
          </w:tcPr>
          <w:p w14:paraId="64340D2C" w14:textId="77777777" w:rsidR="00F75CEC" w:rsidRPr="00D0012A" w:rsidRDefault="00F75CEC" w:rsidP="0009153F">
            <w:pPr>
              <w:widowControl w:val="0"/>
              <w:ind w:right="113"/>
              <w:jc w:val="right"/>
              <w:rPr>
                <w:rFonts w:cs="Arial"/>
                <w:sz w:val="18"/>
                <w:szCs w:val="18"/>
              </w:rPr>
            </w:pPr>
            <w:r w:rsidRPr="00D0012A">
              <w:rPr>
                <w:rFonts w:cs="Arial"/>
                <w:color w:val="000000"/>
                <w:sz w:val="18"/>
                <w:szCs w:val="18"/>
              </w:rPr>
              <w:t>-20.9</w:t>
            </w:r>
          </w:p>
        </w:tc>
        <w:tc>
          <w:tcPr>
            <w:tcW w:w="1091" w:type="dxa"/>
            <w:shd w:val="clear" w:color="auto" w:fill="auto"/>
            <w:vAlign w:val="center"/>
          </w:tcPr>
          <w:p w14:paraId="3BEA4DBE" w14:textId="77777777" w:rsidR="00F75CEC" w:rsidRPr="00D0012A" w:rsidRDefault="00F75CEC" w:rsidP="0009153F">
            <w:pPr>
              <w:widowControl w:val="0"/>
              <w:ind w:right="113"/>
              <w:jc w:val="right"/>
              <w:rPr>
                <w:rFonts w:cs="Arial"/>
                <w:sz w:val="18"/>
                <w:szCs w:val="18"/>
              </w:rPr>
            </w:pPr>
            <w:r w:rsidRPr="00D0012A">
              <w:rPr>
                <w:rFonts w:cs="Arial"/>
                <w:color w:val="000000"/>
                <w:sz w:val="18"/>
                <w:szCs w:val="18"/>
              </w:rPr>
              <w:t>-6.8</w:t>
            </w:r>
          </w:p>
        </w:tc>
        <w:tc>
          <w:tcPr>
            <w:tcW w:w="1462" w:type="dxa"/>
            <w:shd w:val="clear" w:color="auto" w:fill="auto"/>
            <w:vAlign w:val="center"/>
          </w:tcPr>
          <w:p w14:paraId="26B54D10" w14:textId="77777777" w:rsidR="00F75CEC" w:rsidRPr="00D0012A" w:rsidRDefault="00F75CEC" w:rsidP="0009153F">
            <w:pPr>
              <w:widowControl w:val="0"/>
              <w:ind w:right="113"/>
              <w:jc w:val="right"/>
              <w:rPr>
                <w:rFonts w:cs="Arial"/>
                <w:sz w:val="18"/>
                <w:szCs w:val="18"/>
              </w:rPr>
            </w:pPr>
            <w:r w:rsidRPr="00D0012A">
              <w:rPr>
                <w:rFonts w:cs="Arial"/>
                <w:color w:val="000000"/>
                <w:sz w:val="18"/>
                <w:szCs w:val="18"/>
              </w:rPr>
              <w:t>0.9</w:t>
            </w:r>
          </w:p>
        </w:tc>
        <w:tc>
          <w:tcPr>
            <w:tcW w:w="907" w:type="dxa"/>
            <w:shd w:val="clear" w:color="auto" w:fill="auto"/>
            <w:vAlign w:val="center"/>
          </w:tcPr>
          <w:p w14:paraId="145A2CE4" w14:textId="77777777" w:rsidR="00F75CEC" w:rsidRPr="00D0012A" w:rsidRDefault="00F75CEC" w:rsidP="0009153F">
            <w:pPr>
              <w:widowControl w:val="0"/>
              <w:ind w:right="113"/>
              <w:jc w:val="right"/>
              <w:rPr>
                <w:rFonts w:cs="Arial"/>
                <w:sz w:val="18"/>
                <w:szCs w:val="18"/>
              </w:rPr>
            </w:pPr>
            <w:r w:rsidRPr="00D0012A">
              <w:rPr>
                <w:rFonts w:cs="Arial"/>
                <w:color w:val="000000"/>
                <w:sz w:val="18"/>
                <w:szCs w:val="18"/>
              </w:rPr>
              <w:t>0.3</w:t>
            </w:r>
          </w:p>
        </w:tc>
      </w:tr>
      <w:tr w:rsidR="00F75CEC" w:rsidRPr="00D0012A" w14:paraId="54AB5F44" w14:textId="77777777" w:rsidTr="00D0012A">
        <w:trPr>
          <w:trHeight w:val="259"/>
          <w:jc w:val="center"/>
        </w:trPr>
        <w:tc>
          <w:tcPr>
            <w:tcW w:w="3915" w:type="dxa"/>
            <w:tcBorders>
              <w:right w:val="single" w:sz="4" w:space="0" w:color="BFBFBF" w:themeColor="background1" w:themeShade="BF"/>
            </w:tcBorders>
            <w:shd w:val="clear" w:color="auto" w:fill="auto"/>
            <w:vAlign w:val="center"/>
          </w:tcPr>
          <w:p w14:paraId="52E86229" w14:textId="77777777" w:rsidR="00F75CEC" w:rsidRPr="00D0012A" w:rsidRDefault="00F75CEC" w:rsidP="0009153F">
            <w:pPr>
              <w:widowControl w:val="0"/>
              <w:rPr>
                <w:rFonts w:cs="Arial"/>
                <w:color w:val="000000"/>
                <w:sz w:val="18"/>
                <w:szCs w:val="18"/>
              </w:rPr>
            </w:pPr>
            <w:r w:rsidRPr="00D0012A">
              <w:rPr>
                <w:rFonts w:cs="Arial"/>
                <w:color w:val="000000"/>
                <w:sz w:val="18"/>
                <w:szCs w:val="18"/>
              </w:rPr>
              <w:t>Outside the labour force</w:t>
            </w:r>
          </w:p>
        </w:tc>
        <w:tc>
          <w:tcPr>
            <w:tcW w:w="1415" w:type="dxa"/>
            <w:tcBorders>
              <w:top w:val="nil"/>
              <w:left w:val="single" w:sz="4" w:space="0" w:color="BFBFBF" w:themeColor="background1" w:themeShade="BF"/>
              <w:bottom w:val="nil"/>
              <w:right w:val="single" w:sz="4" w:space="0" w:color="BFBFBF" w:themeColor="background1" w:themeShade="BF"/>
            </w:tcBorders>
            <w:shd w:val="clear" w:color="auto" w:fill="auto"/>
            <w:vAlign w:val="center"/>
          </w:tcPr>
          <w:p w14:paraId="380A9F07" w14:textId="77777777" w:rsidR="00F75CEC" w:rsidRPr="00D0012A" w:rsidRDefault="00F75CEC" w:rsidP="0009153F">
            <w:pPr>
              <w:widowControl w:val="0"/>
              <w:ind w:right="113"/>
              <w:jc w:val="right"/>
              <w:rPr>
                <w:rFonts w:cs="Arial"/>
                <w:sz w:val="18"/>
                <w:szCs w:val="18"/>
              </w:rPr>
            </w:pPr>
            <w:r w:rsidRPr="00D0012A">
              <w:rPr>
                <w:rFonts w:cs="Arial"/>
                <w:color w:val="000000"/>
                <w:sz w:val="18"/>
                <w:szCs w:val="18"/>
              </w:rPr>
              <w:t>2519.3</w:t>
            </w:r>
          </w:p>
        </w:tc>
        <w:tc>
          <w:tcPr>
            <w:tcW w:w="1422" w:type="dxa"/>
            <w:tcBorders>
              <w:left w:val="single" w:sz="4" w:space="0" w:color="BFBFBF" w:themeColor="background1" w:themeShade="BF"/>
            </w:tcBorders>
            <w:shd w:val="clear" w:color="auto" w:fill="auto"/>
            <w:vAlign w:val="center"/>
          </w:tcPr>
          <w:p w14:paraId="0A83AB1C" w14:textId="77777777" w:rsidR="00F75CEC" w:rsidRPr="00D0012A" w:rsidRDefault="00F75CEC" w:rsidP="0009153F">
            <w:pPr>
              <w:widowControl w:val="0"/>
              <w:ind w:right="113"/>
              <w:jc w:val="right"/>
              <w:rPr>
                <w:rFonts w:cs="Arial"/>
                <w:sz w:val="18"/>
                <w:szCs w:val="18"/>
              </w:rPr>
            </w:pPr>
            <w:r w:rsidRPr="00D0012A">
              <w:rPr>
                <w:rFonts w:cs="Arial"/>
                <w:color w:val="000000"/>
                <w:sz w:val="18"/>
                <w:szCs w:val="18"/>
              </w:rPr>
              <w:t>-2.3</w:t>
            </w:r>
          </w:p>
        </w:tc>
        <w:tc>
          <w:tcPr>
            <w:tcW w:w="1091" w:type="dxa"/>
            <w:shd w:val="clear" w:color="auto" w:fill="auto"/>
            <w:vAlign w:val="center"/>
          </w:tcPr>
          <w:p w14:paraId="7848034C" w14:textId="77777777" w:rsidR="00F75CEC" w:rsidRPr="00D0012A" w:rsidRDefault="00F75CEC" w:rsidP="0009153F">
            <w:pPr>
              <w:widowControl w:val="0"/>
              <w:ind w:right="113"/>
              <w:jc w:val="right"/>
              <w:rPr>
                <w:rFonts w:cs="Arial"/>
                <w:sz w:val="18"/>
                <w:szCs w:val="18"/>
              </w:rPr>
            </w:pPr>
            <w:r w:rsidRPr="00D0012A">
              <w:rPr>
                <w:rFonts w:cs="Arial"/>
                <w:color w:val="000000"/>
                <w:sz w:val="18"/>
                <w:szCs w:val="18"/>
              </w:rPr>
              <w:t>-0.1</w:t>
            </w:r>
          </w:p>
        </w:tc>
        <w:tc>
          <w:tcPr>
            <w:tcW w:w="1462" w:type="dxa"/>
            <w:shd w:val="clear" w:color="auto" w:fill="auto"/>
            <w:vAlign w:val="center"/>
          </w:tcPr>
          <w:p w14:paraId="7DB3684D" w14:textId="77777777" w:rsidR="00F75CEC" w:rsidRPr="00D0012A" w:rsidRDefault="00F75CEC" w:rsidP="0009153F">
            <w:pPr>
              <w:widowControl w:val="0"/>
              <w:ind w:right="113"/>
              <w:jc w:val="right"/>
              <w:rPr>
                <w:rFonts w:cs="Arial"/>
                <w:sz w:val="18"/>
                <w:szCs w:val="18"/>
              </w:rPr>
            </w:pPr>
            <w:r w:rsidRPr="00D0012A">
              <w:rPr>
                <w:rFonts w:cs="Arial"/>
                <w:color w:val="000000"/>
                <w:sz w:val="18"/>
                <w:szCs w:val="18"/>
              </w:rPr>
              <w:t>-60.8</w:t>
            </w:r>
          </w:p>
        </w:tc>
        <w:tc>
          <w:tcPr>
            <w:tcW w:w="907" w:type="dxa"/>
            <w:shd w:val="clear" w:color="auto" w:fill="auto"/>
            <w:vAlign w:val="center"/>
          </w:tcPr>
          <w:p w14:paraId="66B54F2D" w14:textId="77777777" w:rsidR="00F75CEC" w:rsidRPr="00D0012A" w:rsidRDefault="00F75CEC" w:rsidP="0009153F">
            <w:pPr>
              <w:widowControl w:val="0"/>
              <w:ind w:right="113"/>
              <w:jc w:val="right"/>
              <w:rPr>
                <w:rFonts w:cs="Arial"/>
                <w:sz w:val="18"/>
                <w:szCs w:val="18"/>
              </w:rPr>
            </w:pPr>
            <w:r w:rsidRPr="00D0012A">
              <w:rPr>
                <w:rFonts w:cs="Arial"/>
                <w:color w:val="000000"/>
                <w:sz w:val="18"/>
                <w:szCs w:val="18"/>
              </w:rPr>
              <w:t>-2.4</w:t>
            </w:r>
          </w:p>
        </w:tc>
      </w:tr>
      <w:tr w:rsidR="00F75CEC" w:rsidRPr="00D0012A" w14:paraId="19CE77C7" w14:textId="77777777" w:rsidTr="00D0012A">
        <w:trPr>
          <w:trHeight w:val="273"/>
          <w:jc w:val="center"/>
        </w:trPr>
        <w:tc>
          <w:tcPr>
            <w:tcW w:w="3915" w:type="dxa"/>
            <w:tcBorders>
              <w:right w:val="single" w:sz="4" w:space="0" w:color="BFBFBF" w:themeColor="background1" w:themeShade="BF"/>
            </w:tcBorders>
            <w:shd w:val="clear" w:color="auto" w:fill="auto"/>
            <w:vAlign w:val="center"/>
          </w:tcPr>
          <w:p w14:paraId="4D729F73" w14:textId="77777777" w:rsidR="00F75CEC" w:rsidRPr="00D0012A" w:rsidRDefault="00F75CEC" w:rsidP="0009153F">
            <w:pPr>
              <w:widowControl w:val="0"/>
              <w:rPr>
                <w:rFonts w:cs="Arial"/>
                <w:color w:val="000000"/>
                <w:sz w:val="18"/>
                <w:szCs w:val="18"/>
              </w:rPr>
            </w:pPr>
          </w:p>
        </w:tc>
        <w:tc>
          <w:tcPr>
            <w:tcW w:w="1415" w:type="dxa"/>
            <w:tcBorders>
              <w:top w:val="nil"/>
              <w:left w:val="single" w:sz="4" w:space="0" w:color="BFBFBF" w:themeColor="background1" w:themeShade="BF"/>
              <w:bottom w:val="nil"/>
              <w:right w:val="single" w:sz="4" w:space="0" w:color="BFBFBF" w:themeColor="background1" w:themeShade="BF"/>
            </w:tcBorders>
            <w:shd w:val="clear" w:color="auto" w:fill="auto"/>
          </w:tcPr>
          <w:p w14:paraId="415BE042" w14:textId="77777777" w:rsidR="00F75CEC" w:rsidRPr="00D0012A" w:rsidRDefault="00F75CEC" w:rsidP="0009153F">
            <w:pPr>
              <w:widowControl w:val="0"/>
              <w:spacing w:before="60" w:after="60"/>
              <w:jc w:val="center"/>
              <w:rPr>
                <w:rFonts w:cs="Arial"/>
                <w:bCs/>
                <w:color w:val="000000"/>
              </w:rPr>
            </w:pPr>
            <w:r w:rsidRPr="00D0012A">
              <w:rPr>
                <w:rFonts w:cs="Arial"/>
              </w:rPr>
              <w:t>%</w:t>
            </w:r>
          </w:p>
        </w:tc>
        <w:tc>
          <w:tcPr>
            <w:tcW w:w="4882" w:type="dxa"/>
            <w:gridSpan w:val="4"/>
            <w:tcBorders>
              <w:left w:val="single" w:sz="4" w:space="0" w:color="BFBFBF" w:themeColor="background1" w:themeShade="BF"/>
            </w:tcBorders>
            <w:shd w:val="clear" w:color="auto" w:fill="auto"/>
          </w:tcPr>
          <w:p w14:paraId="7CB729E0" w14:textId="77777777" w:rsidR="00F75CEC" w:rsidRPr="00D0012A" w:rsidRDefault="00F75CEC" w:rsidP="0009153F">
            <w:pPr>
              <w:widowControl w:val="0"/>
              <w:spacing w:before="60" w:after="60"/>
              <w:jc w:val="center"/>
              <w:rPr>
                <w:rFonts w:cs="Arial"/>
              </w:rPr>
            </w:pPr>
            <w:r w:rsidRPr="00D0012A">
              <w:rPr>
                <w:rFonts w:cs="Arial"/>
              </w:rPr>
              <w:t>(p.p.)</w:t>
            </w:r>
          </w:p>
        </w:tc>
      </w:tr>
      <w:tr w:rsidR="00F75CEC" w:rsidRPr="00D0012A" w14:paraId="58872278" w14:textId="77777777" w:rsidTr="00D0012A">
        <w:trPr>
          <w:trHeight w:val="260"/>
          <w:jc w:val="center"/>
        </w:trPr>
        <w:tc>
          <w:tcPr>
            <w:tcW w:w="3915" w:type="dxa"/>
            <w:tcBorders>
              <w:right w:val="single" w:sz="4" w:space="0" w:color="BFBFBF" w:themeColor="background1" w:themeShade="BF"/>
            </w:tcBorders>
            <w:shd w:val="clear" w:color="auto" w:fill="auto"/>
            <w:vAlign w:val="center"/>
          </w:tcPr>
          <w:p w14:paraId="20D5DB72" w14:textId="77777777" w:rsidR="00F75CEC" w:rsidRPr="00D0012A" w:rsidRDefault="00F75CEC" w:rsidP="0009153F">
            <w:pPr>
              <w:widowControl w:val="0"/>
              <w:rPr>
                <w:rFonts w:cs="Arial"/>
                <w:sz w:val="18"/>
                <w:szCs w:val="18"/>
              </w:rPr>
            </w:pPr>
            <w:r w:rsidRPr="00D0012A">
              <w:rPr>
                <w:rFonts w:cs="Arial"/>
                <w:sz w:val="18"/>
                <w:szCs w:val="18"/>
              </w:rPr>
              <w:t>Activity rate</w:t>
            </w:r>
          </w:p>
        </w:tc>
        <w:tc>
          <w:tcPr>
            <w:tcW w:w="1415" w:type="dxa"/>
            <w:tcBorders>
              <w:top w:val="nil"/>
              <w:left w:val="single" w:sz="4" w:space="0" w:color="BFBFBF" w:themeColor="background1" w:themeShade="BF"/>
              <w:bottom w:val="nil"/>
              <w:right w:val="single" w:sz="4" w:space="0" w:color="BFBFBF" w:themeColor="background1" w:themeShade="BF"/>
            </w:tcBorders>
            <w:shd w:val="clear" w:color="auto" w:fill="auto"/>
            <w:vAlign w:val="center"/>
          </w:tcPr>
          <w:p w14:paraId="47506933" w14:textId="77777777" w:rsidR="00F75CEC" w:rsidRPr="00D0012A" w:rsidRDefault="00F75CEC" w:rsidP="0009153F">
            <w:pPr>
              <w:widowControl w:val="0"/>
              <w:ind w:right="113"/>
              <w:jc w:val="right"/>
              <w:rPr>
                <w:rFonts w:cs="Arial"/>
                <w:sz w:val="18"/>
                <w:szCs w:val="18"/>
              </w:rPr>
            </w:pPr>
            <w:r w:rsidRPr="00D0012A">
              <w:rPr>
                <w:rFonts w:cs="Arial"/>
                <w:color w:val="000000"/>
                <w:sz w:val="18"/>
                <w:szCs w:val="18"/>
              </w:rPr>
              <w:t>55.8</w:t>
            </w:r>
          </w:p>
        </w:tc>
        <w:tc>
          <w:tcPr>
            <w:tcW w:w="1422" w:type="dxa"/>
            <w:tcBorders>
              <w:left w:val="single" w:sz="4" w:space="0" w:color="BFBFBF" w:themeColor="background1" w:themeShade="BF"/>
            </w:tcBorders>
            <w:shd w:val="clear" w:color="auto" w:fill="auto"/>
            <w:vAlign w:val="bottom"/>
          </w:tcPr>
          <w:p w14:paraId="72E0999F" w14:textId="77777777" w:rsidR="00F75CEC" w:rsidRPr="00D0012A" w:rsidRDefault="00F75CEC" w:rsidP="0009153F">
            <w:pPr>
              <w:widowControl w:val="0"/>
              <w:ind w:right="113"/>
              <w:jc w:val="right"/>
              <w:rPr>
                <w:rFonts w:cs="Arial"/>
                <w:sz w:val="18"/>
                <w:szCs w:val="18"/>
              </w:rPr>
            </w:pPr>
          </w:p>
        </w:tc>
        <w:tc>
          <w:tcPr>
            <w:tcW w:w="1091" w:type="dxa"/>
            <w:shd w:val="clear" w:color="auto" w:fill="auto"/>
            <w:vAlign w:val="center"/>
          </w:tcPr>
          <w:p w14:paraId="2D726FA2" w14:textId="77777777" w:rsidR="00F75CEC" w:rsidRPr="00D0012A" w:rsidRDefault="00F75CEC" w:rsidP="0009153F">
            <w:pPr>
              <w:widowControl w:val="0"/>
              <w:ind w:right="113"/>
              <w:jc w:val="right"/>
              <w:rPr>
                <w:rFonts w:cs="Arial"/>
                <w:sz w:val="18"/>
                <w:szCs w:val="18"/>
              </w:rPr>
            </w:pPr>
            <w:r w:rsidRPr="00D0012A">
              <w:rPr>
                <w:rFonts w:cs="Arial"/>
                <w:color w:val="000000"/>
                <w:sz w:val="18"/>
                <w:szCs w:val="18"/>
              </w:rPr>
              <w:t>0.0</w:t>
            </w:r>
          </w:p>
        </w:tc>
        <w:tc>
          <w:tcPr>
            <w:tcW w:w="1462" w:type="dxa"/>
            <w:shd w:val="clear" w:color="auto" w:fill="auto"/>
            <w:vAlign w:val="bottom"/>
          </w:tcPr>
          <w:p w14:paraId="1A3171E5" w14:textId="77777777" w:rsidR="00F75CEC" w:rsidRPr="00D0012A" w:rsidRDefault="00F75CEC" w:rsidP="0009153F">
            <w:pPr>
              <w:widowControl w:val="0"/>
              <w:ind w:right="113"/>
              <w:jc w:val="right"/>
              <w:rPr>
                <w:rFonts w:cs="Arial"/>
                <w:sz w:val="18"/>
                <w:szCs w:val="18"/>
              </w:rPr>
            </w:pPr>
          </w:p>
        </w:tc>
        <w:tc>
          <w:tcPr>
            <w:tcW w:w="907" w:type="dxa"/>
            <w:shd w:val="clear" w:color="auto" w:fill="auto"/>
            <w:vAlign w:val="center"/>
          </w:tcPr>
          <w:p w14:paraId="75EB2213" w14:textId="4C5A7FB0" w:rsidR="00F75CEC" w:rsidRPr="00D0012A" w:rsidRDefault="00F75CEC" w:rsidP="0009153F">
            <w:pPr>
              <w:widowControl w:val="0"/>
              <w:ind w:right="113"/>
              <w:jc w:val="right"/>
              <w:rPr>
                <w:rFonts w:cs="Arial"/>
                <w:sz w:val="18"/>
                <w:szCs w:val="18"/>
              </w:rPr>
            </w:pPr>
            <w:r w:rsidRPr="00D0012A">
              <w:rPr>
                <w:rFonts w:cs="Arial"/>
                <w:color w:val="000000"/>
                <w:sz w:val="18"/>
                <w:szCs w:val="18"/>
              </w:rPr>
              <w:t>0.</w:t>
            </w:r>
            <w:r w:rsidR="00791755">
              <w:rPr>
                <w:rFonts w:cs="Arial"/>
                <w:color w:val="000000"/>
                <w:sz w:val="18"/>
                <w:szCs w:val="18"/>
              </w:rPr>
              <w:t>7</w:t>
            </w:r>
          </w:p>
        </w:tc>
      </w:tr>
      <w:tr w:rsidR="00F75CEC" w:rsidRPr="00D0012A" w14:paraId="19C97ED9" w14:textId="77777777" w:rsidTr="00D0012A">
        <w:trPr>
          <w:trHeight w:val="260"/>
          <w:jc w:val="center"/>
        </w:trPr>
        <w:tc>
          <w:tcPr>
            <w:tcW w:w="3915" w:type="dxa"/>
            <w:tcBorders>
              <w:right w:val="single" w:sz="4" w:space="0" w:color="BFBFBF" w:themeColor="background1" w:themeShade="BF"/>
            </w:tcBorders>
            <w:shd w:val="clear" w:color="auto" w:fill="auto"/>
            <w:vAlign w:val="center"/>
          </w:tcPr>
          <w:p w14:paraId="53424144" w14:textId="77777777" w:rsidR="00F75CEC" w:rsidRPr="00D0012A" w:rsidRDefault="00F75CEC" w:rsidP="0009153F">
            <w:pPr>
              <w:widowControl w:val="0"/>
              <w:rPr>
                <w:rFonts w:cs="Arial"/>
                <w:sz w:val="18"/>
                <w:szCs w:val="18"/>
              </w:rPr>
            </w:pPr>
            <w:r w:rsidRPr="00D0012A">
              <w:rPr>
                <w:rFonts w:cs="Arial"/>
                <w:sz w:val="18"/>
                <w:szCs w:val="18"/>
              </w:rPr>
              <w:t>Employment rate</w:t>
            </w:r>
          </w:p>
        </w:tc>
        <w:tc>
          <w:tcPr>
            <w:tcW w:w="1415" w:type="dxa"/>
            <w:tcBorders>
              <w:top w:val="nil"/>
              <w:left w:val="single" w:sz="4" w:space="0" w:color="BFBFBF" w:themeColor="background1" w:themeShade="BF"/>
              <w:bottom w:val="nil"/>
              <w:right w:val="single" w:sz="4" w:space="0" w:color="BFBFBF" w:themeColor="background1" w:themeShade="BF"/>
            </w:tcBorders>
            <w:shd w:val="clear" w:color="auto" w:fill="auto"/>
            <w:vAlign w:val="center"/>
          </w:tcPr>
          <w:p w14:paraId="2FCEA838" w14:textId="77777777" w:rsidR="00F75CEC" w:rsidRPr="00D0012A" w:rsidRDefault="00F75CEC" w:rsidP="0009153F">
            <w:pPr>
              <w:widowControl w:val="0"/>
              <w:ind w:right="113"/>
              <w:jc w:val="right"/>
              <w:rPr>
                <w:rFonts w:cs="Arial"/>
                <w:sz w:val="18"/>
                <w:szCs w:val="18"/>
              </w:rPr>
            </w:pPr>
            <w:r w:rsidRPr="00D0012A">
              <w:rPr>
                <w:rFonts w:cs="Arial"/>
                <w:color w:val="000000"/>
                <w:sz w:val="18"/>
                <w:szCs w:val="18"/>
              </w:rPr>
              <w:t>50.7</w:t>
            </w:r>
          </w:p>
        </w:tc>
        <w:tc>
          <w:tcPr>
            <w:tcW w:w="1422" w:type="dxa"/>
            <w:tcBorders>
              <w:left w:val="single" w:sz="4" w:space="0" w:color="BFBFBF" w:themeColor="background1" w:themeShade="BF"/>
            </w:tcBorders>
            <w:shd w:val="clear" w:color="auto" w:fill="auto"/>
            <w:vAlign w:val="bottom"/>
          </w:tcPr>
          <w:p w14:paraId="26183002" w14:textId="77777777" w:rsidR="00F75CEC" w:rsidRPr="00D0012A" w:rsidRDefault="00F75CEC" w:rsidP="0009153F">
            <w:pPr>
              <w:widowControl w:val="0"/>
              <w:ind w:right="113"/>
              <w:jc w:val="right"/>
              <w:rPr>
                <w:rFonts w:cs="Arial"/>
                <w:sz w:val="18"/>
                <w:szCs w:val="18"/>
              </w:rPr>
            </w:pPr>
          </w:p>
        </w:tc>
        <w:tc>
          <w:tcPr>
            <w:tcW w:w="1091" w:type="dxa"/>
            <w:shd w:val="clear" w:color="auto" w:fill="auto"/>
            <w:vAlign w:val="center"/>
          </w:tcPr>
          <w:p w14:paraId="08F67108" w14:textId="77777777" w:rsidR="00F75CEC" w:rsidRPr="00D0012A" w:rsidRDefault="00F75CEC" w:rsidP="0009153F">
            <w:pPr>
              <w:widowControl w:val="0"/>
              <w:ind w:right="113"/>
              <w:jc w:val="right"/>
              <w:rPr>
                <w:rFonts w:cs="Arial"/>
                <w:sz w:val="18"/>
                <w:szCs w:val="18"/>
              </w:rPr>
            </w:pPr>
            <w:r w:rsidRPr="00D0012A">
              <w:rPr>
                <w:rFonts w:cs="Arial"/>
                <w:color w:val="000000"/>
                <w:sz w:val="18"/>
                <w:szCs w:val="18"/>
              </w:rPr>
              <w:t>0.3</w:t>
            </w:r>
          </w:p>
        </w:tc>
        <w:tc>
          <w:tcPr>
            <w:tcW w:w="1462" w:type="dxa"/>
            <w:shd w:val="clear" w:color="auto" w:fill="auto"/>
            <w:vAlign w:val="bottom"/>
          </w:tcPr>
          <w:p w14:paraId="715AEB23" w14:textId="77777777" w:rsidR="00F75CEC" w:rsidRPr="00D0012A" w:rsidRDefault="00F75CEC" w:rsidP="0009153F">
            <w:pPr>
              <w:widowControl w:val="0"/>
              <w:ind w:right="113"/>
              <w:jc w:val="right"/>
              <w:rPr>
                <w:rFonts w:cs="Arial"/>
                <w:sz w:val="18"/>
                <w:szCs w:val="18"/>
              </w:rPr>
            </w:pPr>
          </w:p>
        </w:tc>
        <w:tc>
          <w:tcPr>
            <w:tcW w:w="907" w:type="dxa"/>
            <w:shd w:val="clear" w:color="auto" w:fill="auto"/>
            <w:vAlign w:val="center"/>
          </w:tcPr>
          <w:p w14:paraId="47FB9680" w14:textId="519C6E57" w:rsidR="00F75CEC" w:rsidRPr="00D0012A" w:rsidRDefault="00F75CEC" w:rsidP="0009153F">
            <w:pPr>
              <w:widowControl w:val="0"/>
              <w:ind w:right="113"/>
              <w:jc w:val="right"/>
              <w:rPr>
                <w:rFonts w:cs="Arial"/>
                <w:sz w:val="18"/>
                <w:szCs w:val="18"/>
              </w:rPr>
            </w:pPr>
            <w:r w:rsidRPr="00D0012A">
              <w:rPr>
                <w:rFonts w:cs="Arial"/>
                <w:color w:val="000000"/>
                <w:sz w:val="18"/>
                <w:szCs w:val="18"/>
              </w:rPr>
              <w:t>0.</w:t>
            </w:r>
            <w:r w:rsidR="00791755">
              <w:rPr>
                <w:rFonts w:cs="Arial"/>
                <w:color w:val="000000"/>
                <w:sz w:val="18"/>
                <w:szCs w:val="18"/>
              </w:rPr>
              <w:t>5</w:t>
            </w:r>
          </w:p>
        </w:tc>
      </w:tr>
      <w:tr w:rsidR="00F75CEC" w:rsidRPr="00D0012A" w14:paraId="704D7F3B" w14:textId="77777777" w:rsidTr="00D0012A">
        <w:trPr>
          <w:trHeight w:val="260"/>
          <w:jc w:val="center"/>
        </w:trPr>
        <w:tc>
          <w:tcPr>
            <w:tcW w:w="3915" w:type="dxa"/>
            <w:tcBorders>
              <w:right w:val="single" w:sz="4" w:space="0" w:color="BFBFBF" w:themeColor="background1" w:themeShade="BF"/>
            </w:tcBorders>
            <w:shd w:val="clear" w:color="auto" w:fill="auto"/>
            <w:vAlign w:val="center"/>
          </w:tcPr>
          <w:p w14:paraId="62141635" w14:textId="77777777" w:rsidR="00F75CEC" w:rsidRPr="00D0012A" w:rsidRDefault="00F75CEC" w:rsidP="0009153F">
            <w:pPr>
              <w:widowControl w:val="0"/>
              <w:rPr>
                <w:rFonts w:cs="Arial"/>
                <w:color w:val="000000"/>
                <w:sz w:val="18"/>
                <w:szCs w:val="18"/>
              </w:rPr>
            </w:pPr>
            <w:r w:rsidRPr="00D0012A">
              <w:rPr>
                <w:rFonts w:cs="Arial"/>
                <w:color w:val="000000"/>
                <w:sz w:val="18"/>
                <w:szCs w:val="18"/>
              </w:rPr>
              <w:t xml:space="preserve">    Informal employment rate</w:t>
            </w:r>
          </w:p>
        </w:tc>
        <w:tc>
          <w:tcPr>
            <w:tcW w:w="1415" w:type="dxa"/>
            <w:tcBorders>
              <w:top w:val="nil"/>
              <w:left w:val="single" w:sz="4" w:space="0" w:color="BFBFBF" w:themeColor="background1" w:themeShade="BF"/>
              <w:bottom w:val="nil"/>
              <w:right w:val="single" w:sz="4" w:space="0" w:color="BFBFBF" w:themeColor="background1" w:themeShade="BF"/>
            </w:tcBorders>
            <w:shd w:val="clear" w:color="auto" w:fill="auto"/>
            <w:vAlign w:val="center"/>
          </w:tcPr>
          <w:p w14:paraId="37A4E51E" w14:textId="77777777" w:rsidR="00F75CEC" w:rsidRPr="00D0012A" w:rsidRDefault="00F75CEC" w:rsidP="0009153F">
            <w:pPr>
              <w:widowControl w:val="0"/>
              <w:ind w:right="113"/>
              <w:jc w:val="right"/>
              <w:rPr>
                <w:rFonts w:cs="Arial"/>
                <w:sz w:val="18"/>
                <w:szCs w:val="18"/>
              </w:rPr>
            </w:pPr>
            <w:r w:rsidRPr="00D0012A">
              <w:rPr>
                <w:rFonts w:cs="Arial"/>
                <w:color w:val="000000"/>
                <w:sz w:val="18"/>
                <w:szCs w:val="18"/>
              </w:rPr>
              <w:t>12.8</w:t>
            </w:r>
          </w:p>
        </w:tc>
        <w:tc>
          <w:tcPr>
            <w:tcW w:w="1422" w:type="dxa"/>
            <w:tcBorders>
              <w:left w:val="single" w:sz="4" w:space="0" w:color="BFBFBF" w:themeColor="background1" w:themeShade="BF"/>
            </w:tcBorders>
            <w:shd w:val="clear" w:color="auto" w:fill="auto"/>
            <w:vAlign w:val="center"/>
          </w:tcPr>
          <w:p w14:paraId="4BF67F06" w14:textId="77777777" w:rsidR="00F75CEC" w:rsidRPr="00D0012A" w:rsidRDefault="00F75CEC" w:rsidP="0009153F">
            <w:pPr>
              <w:widowControl w:val="0"/>
              <w:ind w:right="113"/>
              <w:jc w:val="right"/>
              <w:rPr>
                <w:rFonts w:cs="Arial"/>
                <w:sz w:val="18"/>
                <w:szCs w:val="18"/>
              </w:rPr>
            </w:pPr>
          </w:p>
        </w:tc>
        <w:tc>
          <w:tcPr>
            <w:tcW w:w="1091" w:type="dxa"/>
            <w:shd w:val="clear" w:color="auto" w:fill="auto"/>
            <w:vAlign w:val="center"/>
          </w:tcPr>
          <w:p w14:paraId="4A73DBD3" w14:textId="77777777" w:rsidR="00F75CEC" w:rsidRPr="00D0012A" w:rsidRDefault="00F75CEC" w:rsidP="0009153F">
            <w:pPr>
              <w:widowControl w:val="0"/>
              <w:ind w:right="113"/>
              <w:jc w:val="right"/>
              <w:rPr>
                <w:rFonts w:cs="Arial"/>
                <w:sz w:val="18"/>
                <w:szCs w:val="18"/>
              </w:rPr>
            </w:pPr>
            <w:r w:rsidRPr="00D0012A">
              <w:rPr>
                <w:rFonts w:cs="Arial"/>
                <w:color w:val="000000"/>
                <w:sz w:val="18"/>
                <w:szCs w:val="18"/>
              </w:rPr>
              <w:t>0.5</w:t>
            </w:r>
          </w:p>
        </w:tc>
        <w:tc>
          <w:tcPr>
            <w:tcW w:w="1462" w:type="dxa"/>
            <w:shd w:val="clear" w:color="auto" w:fill="auto"/>
            <w:vAlign w:val="center"/>
          </w:tcPr>
          <w:p w14:paraId="59C514E7" w14:textId="77777777" w:rsidR="00F75CEC" w:rsidRPr="00D0012A" w:rsidRDefault="00F75CEC" w:rsidP="0009153F">
            <w:pPr>
              <w:widowControl w:val="0"/>
              <w:ind w:right="113"/>
              <w:jc w:val="right"/>
              <w:rPr>
                <w:rFonts w:cs="Arial"/>
                <w:sz w:val="18"/>
                <w:szCs w:val="18"/>
              </w:rPr>
            </w:pPr>
          </w:p>
        </w:tc>
        <w:tc>
          <w:tcPr>
            <w:tcW w:w="907" w:type="dxa"/>
            <w:shd w:val="clear" w:color="auto" w:fill="auto"/>
            <w:vAlign w:val="center"/>
          </w:tcPr>
          <w:p w14:paraId="78BFC74B" w14:textId="77777777" w:rsidR="00F75CEC" w:rsidRPr="00D0012A" w:rsidRDefault="00F75CEC" w:rsidP="0009153F">
            <w:pPr>
              <w:widowControl w:val="0"/>
              <w:ind w:right="113"/>
              <w:jc w:val="right"/>
              <w:rPr>
                <w:rFonts w:cs="Arial"/>
                <w:sz w:val="18"/>
                <w:szCs w:val="18"/>
              </w:rPr>
            </w:pPr>
            <w:r w:rsidRPr="00D0012A">
              <w:rPr>
                <w:rFonts w:cs="Arial"/>
                <w:color w:val="000000"/>
                <w:sz w:val="18"/>
                <w:szCs w:val="18"/>
              </w:rPr>
              <w:t>-0.5</w:t>
            </w:r>
          </w:p>
        </w:tc>
      </w:tr>
      <w:tr w:rsidR="00F75CEC" w:rsidRPr="00D0012A" w14:paraId="59C60947" w14:textId="77777777" w:rsidTr="00D0012A">
        <w:trPr>
          <w:trHeight w:val="260"/>
          <w:jc w:val="center"/>
        </w:trPr>
        <w:tc>
          <w:tcPr>
            <w:tcW w:w="3915" w:type="dxa"/>
            <w:tcBorders>
              <w:right w:val="single" w:sz="4" w:space="0" w:color="BFBFBF" w:themeColor="background1" w:themeShade="BF"/>
            </w:tcBorders>
            <w:shd w:val="clear" w:color="auto" w:fill="auto"/>
            <w:vAlign w:val="center"/>
          </w:tcPr>
          <w:p w14:paraId="6816E55B" w14:textId="77777777" w:rsidR="00F75CEC" w:rsidRPr="00D0012A" w:rsidRDefault="00F75CEC" w:rsidP="0009153F">
            <w:pPr>
              <w:widowControl w:val="0"/>
              <w:rPr>
                <w:rFonts w:cs="Arial"/>
                <w:color w:val="000000"/>
                <w:sz w:val="18"/>
                <w:szCs w:val="18"/>
              </w:rPr>
            </w:pPr>
            <w:r w:rsidRPr="00D0012A">
              <w:rPr>
                <w:rFonts w:cs="Arial"/>
                <w:color w:val="000000"/>
                <w:sz w:val="18"/>
                <w:szCs w:val="18"/>
              </w:rPr>
              <w:t>Unemployment rate</w:t>
            </w:r>
          </w:p>
        </w:tc>
        <w:tc>
          <w:tcPr>
            <w:tcW w:w="1415" w:type="dxa"/>
            <w:tcBorders>
              <w:top w:val="nil"/>
              <w:left w:val="single" w:sz="4" w:space="0" w:color="BFBFBF" w:themeColor="background1" w:themeShade="BF"/>
              <w:bottom w:val="nil"/>
              <w:right w:val="single" w:sz="4" w:space="0" w:color="BFBFBF" w:themeColor="background1" w:themeShade="BF"/>
            </w:tcBorders>
            <w:shd w:val="clear" w:color="auto" w:fill="auto"/>
            <w:vAlign w:val="center"/>
          </w:tcPr>
          <w:p w14:paraId="5169B5B0" w14:textId="77777777" w:rsidR="00F75CEC" w:rsidRPr="00D0012A" w:rsidRDefault="00F75CEC" w:rsidP="0009153F">
            <w:pPr>
              <w:widowControl w:val="0"/>
              <w:ind w:right="113"/>
              <w:jc w:val="right"/>
              <w:rPr>
                <w:rFonts w:cs="Arial"/>
                <w:sz w:val="18"/>
                <w:szCs w:val="18"/>
              </w:rPr>
            </w:pPr>
            <w:r w:rsidRPr="00D0012A">
              <w:rPr>
                <w:rFonts w:cs="Arial"/>
                <w:color w:val="000000"/>
                <w:sz w:val="18"/>
                <w:szCs w:val="18"/>
              </w:rPr>
              <w:t>9.0</w:t>
            </w:r>
          </w:p>
        </w:tc>
        <w:tc>
          <w:tcPr>
            <w:tcW w:w="1422" w:type="dxa"/>
            <w:tcBorders>
              <w:left w:val="single" w:sz="4" w:space="0" w:color="BFBFBF" w:themeColor="background1" w:themeShade="BF"/>
            </w:tcBorders>
            <w:shd w:val="clear" w:color="auto" w:fill="auto"/>
            <w:vAlign w:val="bottom"/>
          </w:tcPr>
          <w:p w14:paraId="5F6C14C6" w14:textId="77777777" w:rsidR="00F75CEC" w:rsidRPr="00D0012A" w:rsidRDefault="00F75CEC" w:rsidP="0009153F">
            <w:pPr>
              <w:widowControl w:val="0"/>
              <w:ind w:right="113"/>
              <w:jc w:val="right"/>
              <w:rPr>
                <w:rFonts w:cs="Arial"/>
                <w:sz w:val="18"/>
                <w:szCs w:val="18"/>
              </w:rPr>
            </w:pPr>
          </w:p>
        </w:tc>
        <w:tc>
          <w:tcPr>
            <w:tcW w:w="1091" w:type="dxa"/>
            <w:shd w:val="clear" w:color="auto" w:fill="auto"/>
            <w:vAlign w:val="center"/>
          </w:tcPr>
          <w:p w14:paraId="5065E917" w14:textId="77777777" w:rsidR="00F75CEC" w:rsidRPr="00D0012A" w:rsidRDefault="00F75CEC" w:rsidP="0009153F">
            <w:pPr>
              <w:widowControl w:val="0"/>
              <w:ind w:right="113"/>
              <w:jc w:val="right"/>
              <w:rPr>
                <w:rFonts w:cs="Arial"/>
                <w:sz w:val="18"/>
                <w:szCs w:val="18"/>
              </w:rPr>
            </w:pPr>
            <w:r w:rsidRPr="00D0012A">
              <w:rPr>
                <w:rFonts w:cs="Arial"/>
                <w:color w:val="000000"/>
                <w:sz w:val="18"/>
                <w:szCs w:val="18"/>
              </w:rPr>
              <w:t>-0.6</w:t>
            </w:r>
          </w:p>
        </w:tc>
        <w:tc>
          <w:tcPr>
            <w:tcW w:w="1462" w:type="dxa"/>
            <w:shd w:val="clear" w:color="auto" w:fill="auto"/>
            <w:vAlign w:val="bottom"/>
          </w:tcPr>
          <w:p w14:paraId="70ABE62D" w14:textId="77777777" w:rsidR="00F75CEC" w:rsidRPr="00D0012A" w:rsidRDefault="00F75CEC" w:rsidP="0009153F">
            <w:pPr>
              <w:widowControl w:val="0"/>
              <w:ind w:right="113"/>
              <w:jc w:val="right"/>
              <w:rPr>
                <w:rFonts w:cs="Arial"/>
                <w:sz w:val="18"/>
                <w:szCs w:val="18"/>
              </w:rPr>
            </w:pPr>
          </w:p>
        </w:tc>
        <w:tc>
          <w:tcPr>
            <w:tcW w:w="907" w:type="dxa"/>
            <w:shd w:val="clear" w:color="auto" w:fill="auto"/>
            <w:vAlign w:val="center"/>
          </w:tcPr>
          <w:p w14:paraId="0DAA4FDA" w14:textId="77777777" w:rsidR="00F75CEC" w:rsidRPr="00D0012A" w:rsidRDefault="00F75CEC" w:rsidP="0009153F">
            <w:pPr>
              <w:widowControl w:val="0"/>
              <w:ind w:right="113"/>
              <w:jc w:val="right"/>
              <w:rPr>
                <w:rFonts w:cs="Arial"/>
                <w:sz w:val="18"/>
                <w:szCs w:val="18"/>
              </w:rPr>
            </w:pPr>
            <w:r w:rsidRPr="00D0012A">
              <w:rPr>
                <w:rFonts w:cs="Arial"/>
                <w:color w:val="000000"/>
                <w:sz w:val="18"/>
                <w:szCs w:val="18"/>
              </w:rPr>
              <w:t>0.0</w:t>
            </w:r>
          </w:p>
        </w:tc>
      </w:tr>
      <w:tr w:rsidR="00F75CEC" w:rsidRPr="00D0012A" w14:paraId="61C80D33" w14:textId="77777777" w:rsidTr="00D0012A">
        <w:trPr>
          <w:trHeight w:val="273"/>
          <w:jc w:val="center"/>
        </w:trPr>
        <w:tc>
          <w:tcPr>
            <w:tcW w:w="3915" w:type="dxa"/>
            <w:tcBorders>
              <w:right w:val="single" w:sz="4" w:space="0" w:color="BFBFBF" w:themeColor="background1" w:themeShade="BF"/>
            </w:tcBorders>
            <w:shd w:val="clear" w:color="auto" w:fill="auto"/>
            <w:vAlign w:val="center"/>
          </w:tcPr>
          <w:p w14:paraId="1D5ED3A5" w14:textId="77777777" w:rsidR="00F75CEC" w:rsidRPr="00D0012A" w:rsidRDefault="00F75CEC" w:rsidP="00D0012A">
            <w:pPr>
              <w:widowControl w:val="0"/>
              <w:spacing w:after="120"/>
              <w:rPr>
                <w:rFonts w:cs="Arial"/>
                <w:color w:val="000000"/>
                <w:sz w:val="18"/>
                <w:szCs w:val="18"/>
              </w:rPr>
            </w:pPr>
            <w:r w:rsidRPr="00D0012A">
              <w:rPr>
                <w:rFonts w:cs="Arial"/>
                <w:color w:val="000000"/>
                <w:sz w:val="18"/>
                <w:szCs w:val="18"/>
              </w:rPr>
              <w:t>Outside the labour force rate</w:t>
            </w:r>
          </w:p>
        </w:tc>
        <w:tc>
          <w:tcPr>
            <w:tcW w:w="1415" w:type="dxa"/>
            <w:tcBorders>
              <w:top w:val="nil"/>
              <w:left w:val="single" w:sz="4" w:space="0" w:color="BFBFBF" w:themeColor="background1" w:themeShade="BF"/>
              <w:bottom w:val="single" w:sz="4" w:space="0" w:color="2E71AC"/>
              <w:right w:val="single" w:sz="4" w:space="0" w:color="BFBFBF" w:themeColor="background1" w:themeShade="BF"/>
            </w:tcBorders>
            <w:shd w:val="clear" w:color="auto" w:fill="auto"/>
            <w:vAlign w:val="center"/>
          </w:tcPr>
          <w:p w14:paraId="59EA152A" w14:textId="77777777" w:rsidR="00F75CEC" w:rsidRPr="00D0012A" w:rsidRDefault="00F75CEC" w:rsidP="00D0012A">
            <w:pPr>
              <w:widowControl w:val="0"/>
              <w:spacing w:after="120"/>
              <w:ind w:right="113"/>
              <w:jc w:val="right"/>
              <w:rPr>
                <w:rFonts w:cs="Arial"/>
                <w:sz w:val="18"/>
                <w:szCs w:val="18"/>
              </w:rPr>
            </w:pPr>
            <w:r w:rsidRPr="00D0012A">
              <w:rPr>
                <w:rFonts w:cs="Arial"/>
                <w:color w:val="000000"/>
                <w:sz w:val="18"/>
                <w:szCs w:val="18"/>
              </w:rPr>
              <w:t>44.2</w:t>
            </w:r>
          </w:p>
        </w:tc>
        <w:tc>
          <w:tcPr>
            <w:tcW w:w="1422" w:type="dxa"/>
            <w:tcBorders>
              <w:left w:val="single" w:sz="4" w:space="0" w:color="BFBFBF" w:themeColor="background1" w:themeShade="BF"/>
            </w:tcBorders>
            <w:shd w:val="clear" w:color="auto" w:fill="auto"/>
            <w:vAlign w:val="center"/>
          </w:tcPr>
          <w:p w14:paraId="043ADD41" w14:textId="77777777" w:rsidR="00F75CEC" w:rsidRPr="00D0012A" w:rsidRDefault="00F75CEC" w:rsidP="00D0012A">
            <w:pPr>
              <w:widowControl w:val="0"/>
              <w:spacing w:after="120"/>
              <w:ind w:right="113"/>
              <w:jc w:val="right"/>
              <w:rPr>
                <w:rFonts w:cs="Arial"/>
                <w:sz w:val="18"/>
                <w:szCs w:val="18"/>
              </w:rPr>
            </w:pPr>
          </w:p>
        </w:tc>
        <w:tc>
          <w:tcPr>
            <w:tcW w:w="1091" w:type="dxa"/>
            <w:shd w:val="clear" w:color="auto" w:fill="auto"/>
            <w:vAlign w:val="center"/>
          </w:tcPr>
          <w:p w14:paraId="6146B6CA" w14:textId="77777777" w:rsidR="00F75CEC" w:rsidRPr="00D0012A" w:rsidRDefault="00F75CEC" w:rsidP="00D0012A">
            <w:pPr>
              <w:widowControl w:val="0"/>
              <w:spacing w:after="120"/>
              <w:ind w:right="113"/>
              <w:jc w:val="right"/>
              <w:rPr>
                <w:rFonts w:cs="Arial"/>
                <w:sz w:val="18"/>
                <w:szCs w:val="18"/>
              </w:rPr>
            </w:pPr>
            <w:r w:rsidRPr="00D0012A">
              <w:rPr>
                <w:rFonts w:cs="Arial"/>
                <w:color w:val="000000"/>
                <w:sz w:val="18"/>
                <w:szCs w:val="18"/>
              </w:rPr>
              <w:t>0.0</w:t>
            </w:r>
          </w:p>
        </w:tc>
        <w:tc>
          <w:tcPr>
            <w:tcW w:w="1462" w:type="dxa"/>
            <w:shd w:val="clear" w:color="auto" w:fill="auto"/>
            <w:vAlign w:val="center"/>
          </w:tcPr>
          <w:p w14:paraId="70DF5BB7" w14:textId="77777777" w:rsidR="00F75CEC" w:rsidRPr="00D0012A" w:rsidRDefault="00F75CEC" w:rsidP="00D0012A">
            <w:pPr>
              <w:widowControl w:val="0"/>
              <w:spacing w:after="120"/>
              <w:ind w:right="113"/>
              <w:jc w:val="right"/>
              <w:rPr>
                <w:rFonts w:cs="Arial"/>
                <w:sz w:val="18"/>
                <w:szCs w:val="18"/>
              </w:rPr>
            </w:pPr>
          </w:p>
        </w:tc>
        <w:tc>
          <w:tcPr>
            <w:tcW w:w="907" w:type="dxa"/>
            <w:shd w:val="clear" w:color="auto" w:fill="auto"/>
            <w:vAlign w:val="center"/>
          </w:tcPr>
          <w:p w14:paraId="43CE70BE" w14:textId="6E95F834" w:rsidR="00F75CEC" w:rsidRPr="00D0012A" w:rsidRDefault="00F75CEC" w:rsidP="00D0012A">
            <w:pPr>
              <w:widowControl w:val="0"/>
              <w:spacing w:after="120"/>
              <w:ind w:right="113"/>
              <w:jc w:val="right"/>
              <w:rPr>
                <w:rFonts w:cs="Arial"/>
                <w:sz w:val="18"/>
                <w:szCs w:val="18"/>
              </w:rPr>
            </w:pPr>
            <w:r w:rsidRPr="00D0012A">
              <w:rPr>
                <w:rFonts w:cs="Arial"/>
                <w:color w:val="000000"/>
                <w:sz w:val="18"/>
                <w:szCs w:val="18"/>
              </w:rPr>
              <w:t>-0.</w:t>
            </w:r>
            <w:r w:rsidR="00791755">
              <w:rPr>
                <w:rFonts w:cs="Arial"/>
                <w:color w:val="000000"/>
                <w:sz w:val="18"/>
                <w:szCs w:val="18"/>
              </w:rPr>
              <w:t>7</w:t>
            </w:r>
          </w:p>
        </w:tc>
      </w:tr>
    </w:tbl>
    <w:p w14:paraId="4F8C14F8" w14:textId="0C122A34" w:rsidR="00B570AF" w:rsidRPr="00D0012A" w:rsidRDefault="00B570AF" w:rsidP="00D0012A">
      <w:pPr>
        <w:spacing w:before="360" w:after="120"/>
        <w:jc w:val="both"/>
        <w:rPr>
          <w:rFonts w:cs="Arial"/>
        </w:rPr>
      </w:pPr>
      <w:r w:rsidRPr="00D0012A">
        <w:rPr>
          <w:rFonts w:cs="Arial"/>
        </w:rPr>
        <w:t>In the third quarter of 2023, the Survey was conducted on the sample of 11 423 households, i.e. 24 959 persons aged 15 and over.</w:t>
      </w:r>
    </w:p>
    <w:p w14:paraId="7119E7C3" w14:textId="6AEC67FF" w:rsidR="006D04F3" w:rsidRPr="00D0012A" w:rsidRDefault="007E139D" w:rsidP="00D0012A">
      <w:pPr>
        <w:spacing w:before="120" w:after="120"/>
        <w:jc w:val="both"/>
        <w:rPr>
          <w:rFonts w:cs="Arial"/>
        </w:rPr>
      </w:pPr>
      <w:r w:rsidRPr="00D0012A">
        <w:rPr>
          <w:rFonts w:cs="Arial"/>
        </w:rPr>
        <w:t>Detailed data are available in the tables being part of the statistical release from the Labour Force Survey for the second quarter 2023 (RS10), at:</w:t>
      </w:r>
      <w:r w:rsidRPr="00D0012A">
        <w:rPr>
          <w:rFonts w:cs="Arial"/>
          <w:color w:val="2E71AC"/>
        </w:rPr>
        <w:t xml:space="preserve"> </w:t>
      </w:r>
      <w:hyperlink r:id="rId10" w:history="1">
        <w:r w:rsidR="00506404" w:rsidRPr="00D0012A">
          <w:rPr>
            <w:rStyle w:val="Hyperlink"/>
            <w:rFonts w:cs="Arial"/>
            <w:color w:val="2E71AC"/>
          </w:rPr>
          <w:t>http://publikacije.stat.gov.rs/G2022/Xls/G20231327.xlsx</w:t>
        </w:r>
      </w:hyperlink>
      <w:r w:rsidRPr="00D0012A">
        <w:rPr>
          <w:rFonts w:cs="Arial"/>
        </w:rPr>
        <w:t>.</w:t>
      </w:r>
    </w:p>
    <w:p w14:paraId="09DD26E5" w14:textId="77777777" w:rsidR="006D04F3" w:rsidRPr="00D0012A" w:rsidRDefault="006D04F3">
      <w:pPr>
        <w:spacing w:before="120" w:after="120"/>
        <w:ind w:firstLine="403"/>
        <w:jc w:val="both"/>
        <w:rPr>
          <w:rFonts w:cs="Arial"/>
        </w:rPr>
      </w:pPr>
    </w:p>
    <w:p w14:paraId="0429C6D5" w14:textId="77777777" w:rsidR="006D04F3" w:rsidRPr="00D0012A" w:rsidRDefault="007E139D">
      <w:pPr>
        <w:spacing w:before="120" w:after="120"/>
        <w:ind w:firstLine="403"/>
        <w:jc w:val="both"/>
        <w:rPr>
          <w:rFonts w:cs="Arial"/>
          <w:b/>
        </w:rPr>
      </w:pPr>
      <w:r w:rsidRPr="00D0012A">
        <w:rPr>
          <w:rFonts w:cs="Arial"/>
        </w:rPr>
        <w:br w:type="page"/>
      </w:r>
    </w:p>
    <w:p w14:paraId="51BD903A" w14:textId="77777777" w:rsidR="006D04F3" w:rsidRPr="00D0012A" w:rsidRDefault="007E139D">
      <w:pPr>
        <w:spacing w:after="160" w:line="259" w:lineRule="auto"/>
        <w:rPr>
          <w:rFonts w:cs="Arial"/>
          <w:color w:val="2E71AC"/>
          <w:sz w:val="22"/>
          <w:szCs w:val="22"/>
        </w:rPr>
      </w:pPr>
      <w:r w:rsidRPr="00D0012A">
        <w:rPr>
          <w:rFonts w:cs="Arial"/>
          <w:color w:val="2E71AC"/>
          <w:sz w:val="22"/>
          <w:szCs w:val="22"/>
        </w:rPr>
        <w:lastRenderedPageBreak/>
        <w:t>Methodological notes</w:t>
      </w:r>
    </w:p>
    <w:p w14:paraId="7052D968" w14:textId="77777777" w:rsidR="006D04F3" w:rsidRPr="00D0012A" w:rsidRDefault="007E139D" w:rsidP="00D0012A">
      <w:pPr>
        <w:spacing w:before="120" w:after="120"/>
        <w:jc w:val="both"/>
        <w:rPr>
          <w:rFonts w:eastAsia="Calibri" w:cs="Arial"/>
        </w:rPr>
      </w:pPr>
      <w:r w:rsidRPr="00D0012A">
        <w:rPr>
          <w:rFonts w:eastAsia="Calibri" w:cs="Arial"/>
        </w:rPr>
        <w:t xml:space="preserve">Labour Force Survey (LFS) is the most complex and the only internationally comparable instrument for labour trends monitoring, registering demographic and socio–economic characteristics of population aged 15 and over.  </w:t>
      </w:r>
    </w:p>
    <w:p w14:paraId="356B70E7" w14:textId="77777777" w:rsidR="006D04F3" w:rsidRPr="00D0012A" w:rsidRDefault="007E139D" w:rsidP="00D0012A">
      <w:pPr>
        <w:spacing w:before="120" w:after="120"/>
        <w:jc w:val="both"/>
        <w:rPr>
          <w:rFonts w:eastAsia="Calibri" w:cs="Arial"/>
        </w:rPr>
      </w:pPr>
      <w:r w:rsidRPr="00D0012A">
        <w:rPr>
          <w:rFonts w:eastAsia="Calibri" w:cs="Arial"/>
        </w:rPr>
        <w:t xml:space="preserve">The main aim of the survey is estimating the labour force volume, i.e. employed and unemployed population, where employment relates to work in both formal and informal sector. </w:t>
      </w:r>
    </w:p>
    <w:p w14:paraId="75D72D26" w14:textId="7303BC77" w:rsidR="006D04F3" w:rsidRPr="00D0012A" w:rsidRDefault="007E139D" w:rsidP="00D0012A">
      <w:pPr>
        <w:spacing w:before="120" w:after="120"/>
        <w:jc w:val="both"/>
        <w:rPr>
          <w:rFonts w:eastAsia="Calibri" w:cs="Arial"/>
        </w:rPr>
      </w:pPr>
      <w:r w:rsidRPr="00D0012A">
        <w:rPr>
          <w:rFonts w:eastAsia="Calibri" w:cs="Arial"/>
        </w:rPr>
        <w:t xml:space="preserve">Additionally, LFS deals with characteristics of employment (professional status of the employed persons, their activity, occupation, rights realized at work…) and unemployment (acquired education, duration of job seeking, previous working experience…), as well as characteristics of outside the </w:t>
      </w:r>
      <w:r w:rsidR="001E6133" w:rsidRPr="00D0012A">
        <w:rPr>
          <w:rFonts w:eastAsia="Calibri" w:cs="Arial"/>
        </w:rPr>
        <w:t>labour</w:t>
      </w:r>
      <w:r w:rsidRPr="00D0012A">
        <w:rPr>
          <w:rFonts w:eastAsia="Calibri" w:cs="Arial"/>
        </w:rPr>
        <w:t xml:space="preserve"> force population – their education, age, income source and readiness for involvement in labour market.</w:t>
      </w:r>
    </w:p>
    <w:p w14:paraId="5AEC05D6" w14:textId="77777777" w:rsidR="006D04F3" w:rsidRPr="00D0012A" w:rsidRDefault="007E139D" w:rsidP="00D0012A">
      <w:pPr>
        <w:spacing w:before="120" w:after="120"/>
        <w:jc w:val="both"/>
        <w:rPr>
          <w:rFonts w:eastAsia="Calibri" w:cs="Arial"/>
        </w:rPr>
      </w:pPr>
      <w:r w:rsidRPr="00D0012A">
        <w:rPr>
          <w:rFonts w:eastAsia="Calibri" w:cs="Arial"/>
        </w:rPr>
        <w:t xml:space="preserve">Persons (aged 15-89) who performed at least for one hour paid work (for cash or in kind) in the reference week, as well as persons who had an employment, but were temporarily absent from work in that week, are counted as </w:t>
      </w:r>
      <w:r w:rsidRPr="00D0012A">
        <w:rPr>
          <w:rFonts w:eastAsia="Calibri" w:cs="Arial"/>
          <w:b/>
          <w:bCs/>
        </w:rPr>
        <w:t>employed persons</w:t>
      </w:r>
      <w:r w:rsidRPr="00D0012A">
        <w:rPr>
          <w:rFonts w:eastAsia="Calibri" w:cs="Arial"/>
        </w:rPr>
        <w:t>.</w:t>
      </w:r>
    </w:p>
    <w:p w14:paraId="2BA8C679" w14:textId="77777777" w:rsidR="006D04F3" w:rsidRPr="00D0012A" w:rsidRDefault="007E139D" w:rsidP="00D0012A">
      <w:pPr>
        <w:spacing w:before="120" w:after="120"/>
        <w:jc w:val="both"/>
        <w:rPr>
          <w:rFonts w:cs="Arial"/>
        </w:rPr>
      </w:pPr>
      <w:r w:rsidRPr="00D0012A">
        <w:rPr>
          <w:rFonts w:cs="Arial"/>
          <w:b/>
          <w:bCs/>
        </w:rPr>
        <w:t xml:space="preserve">Employment rate </w:t>
      </w:r>
      <w:r w:rsidRPr="00D0012A">
        <w:rPr>
          <w:rFonts w:cs="Arial"/>
        </w:rPr>
        <w:t>is the percentage share of employed in the total population aged 15 and over.</w:t>
      </w:r>
    </w:p>
    <w:p w14:paraId="04D2E0BC" w14:textId="77777777" w:rsidR="006D04F3" w:rsidRPr="00D0012A" w:rsidRDefault="007E139D" w:rsidP="00D0012A">
      <w:pPr>
        <w:spacing w:before="120" w:after="120"/>
        <w:jc w:val="both"/>
        <w:rPr>
          <w:rFonts w:cs="Arial"/>
        </w:rPr>
      </w:pPr>
      <w:r w:rsidRPr="00D0012A">
        <w:rPr>
          <w:rFonts w:cs="Arial"/>
          <w:b/>
        </w:rPr>
        <w:t>Informal employment</w:t>
      </w:r>
      <w:r w:rsidRPr="00D0012A">
        <w:rPr>
          <w:rFonts w:cs="Arial"/>
        </w:rPr>
        <w:t xml:space="preserve"> is considered to be work in unregistered companies, work in registered companies without an employment contract, as well as the work of unpaid family workers.</w:t>
      </w:r>
    </w:p>
    <w:p w14:paraId="2904386E" w14:textId="77777777" w:rsidR="006D04F3" w:rsidRPr="00D0012A" w:rsidRDefault="007E139D" w:rsidP="00D0012A">
      <w:pPr>
        <w:spacing w:before="120" w:after="120"/>
        <w:jc w:val="both"/>
        <w:rPr>
          <w:rFonts w:cs="Arial"/>
          <w:b/>
          <w:bCs/>
          <w:spacing w:val="-4"/>
        </w:rPr>
      </w:pPr>
      <w:r w:rsidRPr="00D0012A">
        <w:rPr>
          <w:rFonts w:cs="Arial"/>
          <w:b/>
          <w:bCs/>
        </w:rPr>
        <w:t>Informal employment rate</w:t>
      </w:r>
      <w:r w:rsidRPr="00D0012A">
        <w:rPr>
          <w:rFonts w:cs="Arial"/>
        </w:rPr>
        <w:t xml:space="preserve"> is the percentage share of informally employed in total employment.</w:t>
      </w:r>
    </w:p>
    <w:p w14:paraId="21F5AD47" w14:textId="77777777" w:rsidR="006D04F3" w:rsidRPr="00D0012A" w:rsidRDefault="007E139D" w:rsidP="00D0012A">
      <w:pPr>
        <w:spacing w:before="120" w:after="120"/>
        <w:jc w:val="both"/>
        <w:rPr>
          <w:rFonts w:cs="Arial"/>
        </w:rPr>
      </w:pPr>
      <w:r w:rsidRPr="00D0012A">
        <w:rPr>
          <w:rFonts w:cs="Arial"/>
          <w:b/>
          <w:bCs/>
        </w:rPr>
        <w:t>Unemployed persons</w:t>
      </w:r>
      <w:r w:rsidRPr="00D0012A">
        <w:rPr>
          <w:rFonts w:cs="Arial"/>
        </w:rPr>
        <w:t xml:space="preserve"> are the persons who, in the respective week, did no work for remuneration, who undertook active steps to find a job during four-week period preceding the respective week and who were able to start working in two-week time after the referent week.</w:t>
      </w:r>
    </w:p>
    <w:p w14:paraId="6905440C" w14:textId="77777777" w:rsidR="006D04F3" w:rsidRPr="00D0012A" w:rsidRDefault="007E139D" w:rsidP="00D0012A">
      <w:pPr>
        <w:keepNext/>
        <w:keepLines/>
        <w:spacing w:before="120" w:after="120"/>
        <w:jc w:val="both"/>
        <w:outlineLvl w:val="3"/>
        <w:rPr>
          <w:rFonts w:eastAsiaTheme="majorEastAsia" w:cs="Arial"/>
          <w:iCs/>
        </w:rPr>
      </w:pPr>
      <w:r w:rsidRPr="00D0012A">
        <w:rPr>
          <w:rFonts w:eastAsiaTheme="majorEastAsia" w:cs="Arial"/>
          <w:b/>
          <w:bCs/>
          <w:iCs/>
        </w:rPr>
        <w:t xml:space="preserve">Unemployment rate </w:t>
      </w:r>
      <w:r w:rsidRPr="00D0012A">
        <w:rPr>
          <w:rFonts w:eastAsiaTheme="majorEastAsia" w:cs="Arial"/>
          <w:iCs/>
        </w:rPr>
        <w:t>presents the percentage share of unemployed population in labour force (employed and unemployed).</w:t>
      </w:r>
    </w:p>
    <w:p w14:paraId="0A10769A" w14:textId="77777777" w:rsidR="006D04F3" w:rsidRPr="00D0012A" w:rsidRDefault="007E139D" w:rsidP="00D0012A">
      <w:pPr>
        <w:spacing w:before="120" w:after="120"/>
        <w:jc w:val="both"/>
        <w:rPr>
          <w:rFonts w:cs="Arial"/>
        </w:rPr>
      </w:pPr>
      <w:r w:rsidRPr="00D0012A">
        <w:rPr>
          <w:rFonts w:cs="Arial"/>
          <w:b/>
          <w:bCs/>
        </w:rPr>
        <w:t>Long-term unemployment rate</w:t>
      </w:r>
      <w:r w:rsidRPr="00D0012A">
        <w:rPr>
          <w:rFonts w:cs="Arial"/>
        </w:rPr>
        <w:t xml:space="preserve"> presents the percentage share of the unemployed for one year and more, in labour force (employed and unemployed).</w:t>
      </w:r>
    </w:p>
    <w:p w14:paraId="34A29730" w14:textId="77777777" w:rsidR="006D04F3" w:rsidRPr="00D0012A" w:rsidRDefault="007E139D" w:rsidP="00D0012A">
      <w:pPr>
        <w:spacing w:before="120" w:after="120"/>
        <w:jc w:val="both"/>
        <w:rPr>
          <w:rFonts w:eastAsia="Calibri" w:cs="Arial"/>
        </w:rPr>
      </w:pPr>
      <w:r w:rsidRPr="00D0012A">
        <w:rPr>
          <w:rFonts w:eastAsia="Calibri" w:cs="Arial"/>
          <w:b/>
          <w:bCs/>
        </w:rPr>
        <w:t xml:space="preserve">NEET rate – </w:t>
      </w:r>
      <w:r w:rsidRPr="00D0012A">
        <w:rPr>
          <w:rFonts w:eastAsia="Calibri" w:cs="Arial"/>
        </w:rPr>
        <w:t>refers to share of persons aged 15 to 24 (or 15 - 29) neither employed, nor in education, training, in total population of that age.</w:t>
      </w:r>
    </w:p>
    <w:p w14:paraId="5C8ECA7A" w14:textId="77777777" w:rsidR="006D04F3" w:rsidRPr="00D0012A" w:rsidRDefault="007E139D" w:rsidP="00D0012A">
      <w:pPr>
        <w:spacing w:before="120" w:after="120"/>
        <w:jc w:val="both"/>
        <w:rPr>
          <w:rFonts w:cs="Arial"/>
        </w:rPr>
      </w:pPr>
      <w:r w:rsidRPr="00D0012A">
        <w:rPr>
          <w:rFonts w:cs="Arial"/>
          <w:b/>
          <w:bCs/>
        </w:rPr>
        <w:t>Active population</w:t>
      </w:r>
      <w:r w:rsidRPr="00D0012A">
        <w:rPr>
          <w:rFonts w:cs="Arial"/>
        </w:rPr>
        <w:t xml:space="preserve"> (</w:t>
      </w:r>
      <w:r w:rsidRPr="00D0012A">
        <w:rPr>
          <w:rFonts w:cs="Arial"/>
          <w:b/>
          <w:bCs/>
        </w:rPr>
        <w:t>labour force</w:t>
      </w:r>
      <w:r w:rsidRPr="00D0012A">
        <w:rPr>
          <w:rFonts w:cs="Arial"/>
        </w:rPr>
        <w:t>) includes all employed and unemployed persons.</w:t>
      </w:r>
    </w:p>
    <w:p w14:paraId="6CFA9371" w14:textId="77777777" w:rsidR="006D04F3" w:rsidRPr="00D0012A" w:rsidRDefault="007E139D" w:rsidP="00D0012A">
      <w:pPr>
        <w:keepNext/>
        <w:keepLines/>
        <w:spacing w:before="120" w:after="120"/>
        <w:jc w:val="both"/>
        <w:outlineLvl w:val="3"/>
        <w:rPr>
          <w:rFonts w:eastAsiaTheme="majorEastAsia" w:cs="Arial"/>
          <w:iCs/>
          <w:spacing w:val="-4"/>
        </w:rPr>
      </w:pPr>
      <w:r w:rsidRPr="00D0012A">
        <w:rPr>
          <w:rFonts w:eastAsiaTheme="majorEastAsia" w:cs="Arial"/>
          <w:b/>
          <w:bCs/>
          <w:iCs/>
          <w:spacing w:val="-4"/>
        </w:rPr>
        <w:t>Activity rate (share of labour force)</w:t>
      </w:r>
      <w:r w:rsidRPr="00D0012A">
        <w:rPr>
          <w:rFonts w:eastAsiaTheme="majorEastAsia" w:cs="Arial"/>
          <w:iCs/>
          <w:spacing w:val="-4"/>
        </w:rPr>
        <w:t xml:space="preserve"> presents the percentage share of active population in the referent population aged 15 and over.</w:t>
      </w:r>
    </w:p>
    <w:p w14:paraId="63F7502F" w14:textId="77777777" w:rsidR="006D04F3" w:rsidRPr="00D0012A" w:rsidRDefault="007E139D" w:rsidP="00D0012A">
      <w:pPr>
        <w:spacing w:before="120" w:after="120"/>
        <w:jc w:val="both"/>
        <w:rPr>
          <w:rFonts w:cs="Arial"/>
        </w:rPr>
      </w:pPr>
      <w:r w:rsidRPr="00D0012A">
        <w:rPr>
          <w:rFonts w:cs="Arial"/>
          <w:b/>
          <w:bCs/>
        </w:rPr>
        <w:t>Outside the labour force population</w:t>
      </w:r>
      <w:r w:rsidRPr="00D0012A">
        <w:rPr>
          <w:rFonts w:cs="Arial"/>
        </w:rPr>
        <w:t xml:space="preserve"> includes all persons in the observed population (aged 15 and over) who are not classified in employed and unemployed population. Out of the labour force population comprises students, pensioners, persons performing household tasks, as well as all other persons who performed no paid job in the observed week, did not actively seek a job and who were not able to start working in two-week time after the observed week.</w:t>
      </w:r>
    </w:p>
    <w:p w14:paraId="21CBF7EA" w14:textId="71FFB382" w:rsidR="006D04F3" w:rsidRPr="00D0012A" w:rsidRDefault="007E139D" w:rsidP="00D0012A">
      <w:pPr>
        <w:keepNext/>
        <w:keepLines/>
        <w:spacing w:before="120" w:after="120"/>
        <w:jc w:val="both"/>
        <w:outlineLvl w:val="0"/>
        <w:rPr>
          <w:rFonts w:cs="Arial"/>
          <w:i/>
          <w:iCs/>
        </w:rPr>
      </w:pPr>
      <w:r w:rsidRPr="00D0012A">
        <w:rPr>
          <w:rFonts w:cs="Arial"/>
          <w:b/>
          <w:bCs/>
        </w:rPr>
        <w:t xml:space="preserve">Outside the labour force rate </w:t>
      </w:r>
      <w:r w:rsidRPr="00D0012A">
        <w:rPr>
          <w:rFonts w:cs="Arial"/>
        </w:rPr>
        <w:t xml:space="preserve">presents the percentage share of outside the </w:t>
      </w:r>
      <w:r w:rsidR="001E6133" w:rsidRPr="00D0012A">
        <w:rPr>
          <w:rFonts w:cs="Arial"/>
        </w:rPr>
        <w:t>labour</w:t>
      </w:r>
      <w:r w:rsidRPr="00D0012A">
        <w:rPr>
          <w:rFonts w:cs="Arial"/>
        </w:rPr>
        <w:t xml:space="preserve"> force population in total referent population aged 15 and over.</w:t>
      </w:r>
    </w:p>
    <w:p w14:paraId="28F28182" w14:textId="77777777" w:rsidR="006D04F3" w:rsidRPr="00D0012A" w:rsidRDefault="007E139D" w:rsidP="00D0012A">
      <w:pPr>
        <w:spacing w:before="120" w:after="120"/>
        <w:rPr>
          <w:rFonts w:cs="Arial"/>
          <w:color w:val="2E71AC"/>
        </w:rPr>
      </w:pPr>
      <w:r w:rsidRPr="00D0012A">
        <w:rPr>
          <w:rFonts w:cs="Arial"/>
        </w:rPr>
        <w:t xml:space="preserve">More detailed description of the Survey methodology can be found at the link </w:t>
      </w:r>
      <w:r w:rsidRPr="00D0012A">
        <w:rPr>
          <w:rFonts w:cs="Arial"/>
          <w:color w:val="2E71AC"/>
        </w:rPr>
        <w:t>https://data.stat.gov.rs/Metadata/24_Zarade/Html/240003_ESMS_G0_2021_3.html</w:t>
      </w:r>
    </w:p>
    <w:p w14:paraId="7A5F2639" w14:textId="77777777" w:rsidR="006D04F3" w:rsidRPr="00D0012A" w:rsidRDefault="006D04F3">
      <w:pPr>
        <w:spacing w:before="120" w:after="120" w:line="264" w:lineRule="auto"/>
        <w:ind w:firstLine="403"/>
        <w:jc w:val="both"/>
        <w:rPr>
          <w:rFonts w:cs="Arial"/>
        </w:rPr>
      </w:pPr>
    </w:p>
    <w:p w14:paraId="2F4A5C48" w14:textId="77777777" w:rsidR="006D04F3" w:rsidRPr="00D0012A" w:rsidRDefault="007E139D" w:rsidP="00D0012A">
      <w:pPr>
        <w:spacing w:before="120" w:after="120" w:line="264" w:lineRule="auto"/>
        <w:jc w:val="both"/>
        <w:rPr>
          <w:rFonts w:cs="Arial"/>
          <w:sz w:val="18"/>
          <w:szCs w:val="18"/>
        </w:rPr>
      </w:pPr>
      <w:r w:rsidRPr="00D0012A">
        <w:rPr>
          <w:rFonts w:cs="Arial"/>
        </w:rPr>
        <w:t xml:space="preserve">Starting from 1999 the Statistical Office of the Republic of Serbia has not at disposal and may not provide available certain data relative to AP Kosovo and Metohija and therefore these data are not included in the coverage for the Republic of Serbia (total). </w:t>
      </w:r>
    </w:p>
    <w:p w14:paraId="52C30E7F" w14:textId="77777777" w:rsidR="006D04F3" w:rsidRPr="00D0012A" w:rsidRDefault="006D04F3">
      <w:pPr>
        <w:ind w:left="1416" w:firstLine="708"/>
        <w:rPr>
          <w:rFonts w:cs="Arial"/>
          <w:sz w:val="18"/>
          <w:szCs w:val="18"/>
        </w:rPr>
      </w:pPr>
    </w:p>
    <w:p w14:paraId="200FFDE6" w14:textId="77777777" w:rsidR="006D04F3" w:rsidRPr="00D0012A" w:rsidRDefault="006D04F3">
      <w:pPr>
        <w:ind w:left="1416" w:firstLine="708"/>
        <w:rPr>
          <w:rFonts w:cs="Arial"/>
          <w:sz w:val="18"/>
          <w:szCs w:val="18"/>
        </w:rPr>
      </w:pPr>
    </w:p>
    <w:p w14:paraId="208C1947" w14:textId="77777777" w:rsidR="006D04F3" w:rsidRPr="00D0012A" w:rsidRDefault="006D04F3">
      <w:pPr>
        <w:ind w:left="1416" w:firstLine="708"/>
        <w:rPr>
          <w:rFonts w:cs="Arial"/>
          <w:sz w:val="18"/>
          <w:szCs w:val="18"/>
        </w:rPr>
      </w:pPr>
    </w:p>
    <w:p w14:paraId="39B27F87" w14:textId="77777777" w:rsidR="006D04F3" w:rsidRPr="00D0012A" w:rsidRDefault="006D04F3">
      <w:pPr>
        <w:ind w:left="1416" w:firstLine="708"/>
        <w:rPr>
          <w:rFonts w:cs="Arial"/>
          <w:sz w:val="18"/>
          <w:szCs w:val="18"/>
        </w:rPr>
      </w:pPr>
    </w:p>
    <w:p w14:paraId="0FD32381" w14:textId="77777777" w:rsidR="006D04F3" w:rsidRPr="00D0012A" w:rsidRDefault="006D04F3">
      <w:pPr>
        <w:ind w:left="1416" w:firstLine="708"/>
        <w:rPr>
          <w:rFonts w:cs="Arial"/>
          <w:sz w:val="18"/>
          <w:szCs w:val="18"/>
        </w:rPr>
      </w:pPr>
    </w:p>
    <w:p w14:paraId="3205CDF4" w14:textId="78233BDA" w:rsidR="006D04F3" w:rsidRPr="00D0012A" w:rsidRDefault="00B971E2">
      <w:pPr>
        <w:ind w:left="1416" w:firstLine="708"/>
        <w:rPr>
          <w:rFonts w:cs="Arial"/>
          <w:sz w:val="18"/>
          <w:szCs w:val="18"/>
        </w:rPr>
      </w:pPr>
      <w:r>
        <w:rPr>
          <w:rFonts w:cs="Arial"/>
        </w:rPr>
        <w:pict w14:anchorId="61B652A1">
          <v:line id="Straight Connector 8" o:spid="_x0000_s1026" style="position:absolute;left:0;text-align:left;z-index:3;visibility:visible;mso-wrap-style:square;mso-wrap-distance-left:.5pt;mso-wrap-distance-top:.55pt;mso-wrap-distance-right:.5pt;mso-wrap-distance-bottom:.55pt;mso-position-horizontal:absolute;mso-position-horizontal-relative:text;mso-position-vertical:absolute;mso-position-vertical-relative:text" from="1.7pt,5.45pt" to="508.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" strokecolor="#7f7f7f" strokeweight=".35mm"/>
        </w:pict>
      </w:r>
    </w:p>
    <w:p w14:paraId="23BAC510" w14:textId="77777777" w:rsidR="006D04F3" w:rsidRPr="00D0012A" w:rsidRDefault="007E139D">
      <w:pPr>
        <w:ind w:left="1416" w:firstLine="708"/>
        <w:rPr>
          <w:rFonts w:cs="Arial"/>
          <w:sz w:val="18"/>
          <w:szCs w:val="18"/>
        </w:rPr>
      </w:pPr>
      <w:r w:rsidRPr="00D0012A">
        <w:rPr>
          <w:rFonts w:cs="Arial"/>
          <w:sz w:val="18"/>
          <w:szCs w:val="18"/>
        </w:rPr>
        <w:t xml:space="preserve">Contact: </w:t>
      </w:r>
      <w:hyperlink r:id="rId11">
        <w:r w:rsidRPr="00D0012A">
          <w:rPr>
            <w:rFonts w:cs="Arial"/>
            <w:sz w:val="18"/>
            <w:szCs w:val="18"/>
          </w:rPr>
          <w:t>ars@stat.gov.rs</w:t>
        </w:r>
      </w:hyperlink>
      <w:r w:rsidRPr="00D0012A">
        <w:rPr>
          <w:rStyle w:val="Hyperlink"/>
          <w:rFonts w:eastAsia="Calibri" w:cs="Arial"/>
          <w:sz w:val="18"/>
          <w:szCs w:val="18"/>
        </w:rPr>
        <w:t>,</w:t>
      </w:r>
      <w:r w:rsidRPr="00D0012A">
        <w:rPr>
          <w:rFonts w:cs="Arial"/>
          <w:sz w:val="18"/>
          <w:szCs w:val="18"/>
        </w:rPr>
        <w:t xml:space="preserve"> Phone: +381 11 2412 922, ext. 372</w:t>
      </w:r>
    </w:p>
    <w:p w14:paraId="4F26ABDC" w14:textId="77777777" w:rsidR="006D04F3" w:rsidRPr="00D0012A" w:rsidRDefault="007E139D">
      <w:pPr>
        <w:jc w:val="center"/>
        <w:rPr>
          <w:rFonts w:cs="Arial"/>
          <w:iCs/>
          <w:sz w:val="18"/>
          <w:szCs w:val="18"/>
        </w:rPr>
      </w:pPr>
      <w:r w:rsidRPr="00D0012A">
        <w:rPr>
          <w:rFonts w:cs="Arial"/>
          <w:iCs/>
          <w:sz w:val="18"/>
          <w:szCs w:val="18"/>
        </w:rPr>
        <w:t>Published and printed by: Statistical Office of the Republic of Serbia, 11 050 Belgrade, MilanaRakica 5</w:t>
      </w:r>
    </w:p>
    <w:p w14:paraId="199C07D7" w14:textId="77777777" w:rsidR="006D04F3" w:rsidRPr="00D0012A" w:rsidRDefault="007E139D">
      <w:pPr>
        <w:jc w:val="center"/>
        <w:rPr>
          <w:rFonts w:cs="Arial"/>
          <w:iCs/>
          <w:sz w:val="18"/>
          <w:szCs w:val="18"/>
        </w:rPr>
      </w:pPr>
      <w:r w:rsidRPr="00D0012A">
        <w:rPr>
          <w:rFonts w:cs="Arial"/>
          <w:iCs/>
          <w:sz w:val="18"/>
          <w:szCs w:val="18"/>
        </w:rPr>
        <w:t xml:space="preserve">Phone: +381 11 2412922 </w:t>
      </w:r>
      <w:r w:rsidRPr="00D0012A">
        <w:rPr>
          <w:rFonts w:cs="Arial"/>
          <w:sz w:val="18"/>
          <w:szCs w:val="18"/>
        </w:rPr>
        <w:t xml:space="preserve">(telephone exchange) </w:t>
      </w:r>
      <w:r w:rsidRPr="00D0012A">
        <w:rPr>
          <w:rFonts w:cs="Arial"/>
          <w:iCs/>
          <w:sz w:val="18"/>
          <w:szCs w:val="18"/>
        </w:rPr>
        <w:t xml:space="preserve">● Fax: +381 11 2411260 ● stat.gov.rs  </w:t>
      </w:r>
    </w:p>
    <w:p w14:paraId="11E592AF" w14:textId="77777777" w:rsidR="006D04F3" w:rsidRPr="00D0012A" w:rsidRDefault="007E139D">
      <w:pPr>
        <w:jc w:val="center"/>
        <w:rPr>
          <w:rFonts w:cs="Arial"/>
          <w:iCs/>
          <w:sz w:val="18"/>
          <w:szCs w:val="18"/>
        </w:rPr>
      </w:pPr>
      <w:r w:rsidRPr="00D0012A">
        <w:rPr>
          <w:rFonts w:cs="Arial"/>
          <w:iCs/>
          <w:sz w:val="18"/>
          <w:szCs w:val="18"/>
        </w:rPr>
        <w:t>Responsible: Dr Miladin Kovačević, Director</w:t>
      </w:r>
    </w:p>
    <w:p w14:paraId="2F38F34E" w14:textId="77777777" w:rsidR="006D04F3" w:rsidRPr="00D0012A" w:rsidRDefault="007E139D">
      <w:pPr>
        <w:spacing w:after="60"/>
        <w:jc w:val="center"/>
        <w:rPr>
          <w:rFonts w:cs="Arial"/>
          <w:sz w:val="18"/>
          <w:szCs w:val="18"/>
        </w:rPr>
      </w:pPr>
      <w:r w:rsidRPr="00D0012A">
        <w:rPr>
          <w:rFonts w:cs="Arial"/>
          <w:sz w:val="18"/>
          <w:szCs w:val="18"/>
        </w:rPr>
        <w:t>Circulation: 20 • Periodicity: quarterly</w:t>
      </w:r>
    </w:p>
    <w:p w14:paraId="36DAC5DD" w14:textId="77777777" w:rsidR="006D04F3" w:rsidRPr="00D0012A" w:rsidRDefault="006D04F3">
      <w:pPr>
        <w:spacing w:before="120" w:after="120" w:line="264" w:lineRule="auto"/>
        <w:ind w:firstLine="397"/>
        <w:jc w:val="both"/>
        <w:rPr>
          <w:rFonts w:cs="Arial"/>
        </w:rPr>
      </w:pPr>
    </w:p>
    <w:sectPr w:rsidR="006D04F3" w:rsidRPr="00D0012A">
      <w:footerReference w:type="even" r:id="rId12"/>
      <w:footerReference w:type="default" r:id="rId13"/>
      <w:pgSz w:w="11906" w:h="16838"/>
      <w:pgMar w:top="907" w:right="851" w:bottom="907" w:left="851" w:header="0"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2A139" w14:textId="77777777" w:rsidR="007A7133" w:rsidRDefault="007A7133">
      <w:r>
        <w:separator/>
      </w:r>
    </w:p>
  </w:endnote>
  <w:endnote w:type="continuationSeparator" w:id="0">
    <w:p w14:paraId="42783046" w14:textId="77777777" w:rsidR="007A7133" w:rsidRDefault="007A7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C3605" w14:textId="5EE95A4E" w:rsidR="006D04F3" w:rsidRDefault="007E139D">
    <w:pPr>
      <w:pStyle w:val="Footer"/>
      <w:pBdr>
        <w:top w:val="single" w:sz="4" w:space="1" w:color="000000"/>
      </w:pBdr>
      <w:spacing w:before="120"/>
      <w:rPr>
        <w:rFonts w:ascii="Arial" w:hAnsi="Arial" w:cs="Arial"/>
        <w:sz w:val="16"/>
        <w:szCs w:val="16"/>
        <w:lang w:val="sr-Latn-RS"/>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B971E2">
      <w:rPr>
        <w:rFonts w:ascii="Arial" w:hAnsi="Arial" w:cs="Arial"/>
        <w:noProof/>
        <w:sz w:val="16"/>
        <w:szCs w:val="16"/>
      </w:rPr>
      <w:t>4</w:t>
    </w:r>
    <w:r>
      <w:rPr>
        <w:rFonts w:ascii="Arial" w:hAnsi="Arial" w:cs="Arial"/>
        <w:sz w:val="16"/>
        <w:szCs w:val="16"/>
      </w:rPr>
      <w:fldChar w:fldCharType="end"/>
    </w:r>
    <w:r>
      <w:rPr>
        <w:rFonts w:ascii="Arial" w:eastAsia="Times New Roman" w:hAnsi="Arial" w:cs="Arial"/>
        <w:sz w:val="16"/>
        <w:szCs w:val="16"/>
      </w:rPr>
      <w:t xml:space="preserve">                                                                                                                                                                                               СРБ</w:t>
    </w:r>
    <w:r w:rsidR="00506404">
      <w:rPr>
        <w:rFonts w:ascii="Arial" w:eastAsia="Times New Roman" w:hAnsi="Arial" w:cs="Arial"/>
        <w:sz w:val="16"/>
        <w:szCs w:val="16"/>
        <w:lang w:val="sr-Latn-RS"/>
      </w:rPr>
      <w:t>327</w:t>
    </w:r>
    <w:r>
      <w:rPr>
        <w:rFonts w:ascii="Arial" w:eastAsia="Times New Roman" w:hAnsi="Arial" w:cs="Arial"/>
        <w:sz w:val="16"/>
        <w:szCs w:val="16"/>
      </w:rPr>
      <w:t xml:space="preserve"> РС10 </w:t>
    </w:r>
    <w:r w:rsidR="00B971E2">
      <w:rPr>
        <w:rFonts w:ascii="Arial" w:eastAsia="Times New Roman" w:hAnsi="Arial" w:cs="Arial"/>
        <w:sz w:val="16"/>
        <w:szCs w:val="16"/>
        <w:lang w:val="sr-Latn-RS"/>
      </w:rPr>
      <w:t>301123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69A3D" w14:textId="32EFB8FF" w:rsidR="006D04F3" w:rsidRDefault="007E139D">
    <w:pPr>
      <w:pStyle w:val="Footer"/>
      <w:pBdr>
        <w:top w:val="single" w:sz="4" w:space="1" w:color="000000"/>
      </w:pBdr>
      <w:spacing w:before="120"/>
      <w:rPr>
        <w:rFonts w:ascii="Arial" w:hAnsi="Arial" w:cs="Arial"/>
        <w:sz w:val="16"/>
        <w:szCs w:val="16"/>
      </w:rPr>
    </w:pPr>
    <w:r>
      <w:rPr>
        <w:rFonts w:ascii="Arial" w:eastAsia="Times New Roman" w:hAnsi="Arial" w:cs="Arial"/>
        <w:sz w:val="16"/>
        <w:szCs w:val="16"/>
      </w:rPr>
      <w:t>СРБ</w:t>
    </w:r>
    <w:r w:rsidR="00506404">
      <w:rPr>
        <w:rFonts w:ascii="Arial" w:eastAsia="Times New Roman" w:hAnsi="Arial" w:cs="Arial"/>
        <w:sz w:val="16"/>
        <w:szCs w:val="16"/>
        <w:lang w:val="sr-Latn-RS"/>
      </w:rPr>
      <w:t>327</w:t>
    </w:r>
    <w:r>
      <w:rPr>
        <w:rFonts w:ascii="Arial" w:eastAsia="Times New Roman" w:hAnsi="Arial" w:cs="Arial"/>
        <w:sz w:val="16"/>
        <w:szCs w:val="16"/>
      </w:rPr>
      <w:t xml:space="preserve"> РС10 </w:t>
    </w:r>
    <w:r w:rsidR="00B971E2">
      <w:rPr>
        <w:rFonts w:ascii="Arial" w:eastAsia="Times New Roman" w:hAnsi="Arial" w:cs="Arial"/>
        <w:sz w:val="16"/>
        <w:szCs w:val="16"/>
      </w:rPr>
      <w:t>301123</w:t>
    </w:r>
    <w:r>
      <w:rPr>
        <w:rFonts w:ascii="Arial" w:eastAsia="Times New Roman" w:hAnsi="Arial" w:cs="Arial"/>
        <w:sz w:val="16"/>
        <w:szCs w:val="16"/>
      </w:rPr>
      <w:t xml:space="preserve">                                                                                                                                                                              </w:t>
    </w:r>
    <w:r>
      <w:rPr>
        <w:rFonts w:ascii="Arial" w:eastAsia="Times New Roman" w:hAnsi="Arial" w:cs="Arial"/>
        <w:sz w:val="16"/>
        <w:szCs w:val="16"/>
        <w:lang w:val="sr-Latn-RS"/>
      </w:rPr>
      <w:t xml:space="preserve">    </w:t>
    </w:r>
    <w:r>
      <w:rPr>
        <w:rFonts w:ascii="Arial" w:eastAsia="Times New Roman"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B971E2">
      <w:rPr>
        <w:rFonts w:ascii="Arial" w:hAnsi="Arial" w:cs="Arial"/>
        <w:noProof/>
        <w:sz w:val="16"/>
        <w:szCs w:val="16"/>
      </w:rPr>
      <w:t>5</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AE84E" w14:textId="77777777" w:rsidR="007A7133" w:rsidRDefault="007A7133">
      <w:r>
        <w:separator/>
      </w:r>
    </w:p>
  </w:footnote>
  <w:footnote w:type="continuationSeparator" w:id="0">
    <w:p w14:paraId="57130D04" w14:textId="77777777" w:rsidR="007A7133" w:rsidRDefault="007A71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6D04F3"/>
    <w:rsid w:val="00013F76"/>
    <w:rsid w:val="00020D84"/>
    <w:rsid w:val="00036BF6"/>
    <w:rsid w:val="000629DD"/>
    <w:rsid w:val="0007392A"/>
    <w:rsid w:val="000816EF"/>
    <w:rsid w:val="000874AD"/>
    <w:rsid w:val="000A7D4E"/>
    <w:rsid w:val="00147A9E"/>
    <w:rsid w:val="001676E5"/>
    <w:rsid w:val="00193BDE"/>
    <w:rsid w:val="001950E7"/>
    <w:rsid w:val="001E6133"/>
    <w:rsid w:val="0021530F"/>
    <w:rsid w:val="00215795"/>
    <w:rsid w:val="002476EB"/>
    <w:rsid w:val="0026657F"/>
    <w:rsid w:val="002B243A"/>
    <w:rsid w:val="002B2A62"/>
    <w:rsid w:val="00304F12"/>
    <w:rsid w:val="00312248"/>
    <w:rsid w:val="003369EB"/>
    <w:rsid w:val="0037104B"/>
    <w:rsid w:val="00390490"/>
    <w:rsid w:val="0039121A"/>
    <w:rsid w:val="003921F8"/>
    <w:rsid w:val="003D53BD"/>
    <w:rsid w:val="00425148"/>
    <w:rsid w:val="004622E3"/>
    <w:rsid w:val="00495B68"/>
    <w:rsid w:val="004B572D"/>
    <w:rsid w:val="00506404"/>
    <w:rsid w:val="00537A28"/>
    <w:rsid w:val="005A4A79"/>
    <w:rsid w:val="005D6E89"/>
    <w:rsid w:val="00617840"/>
    <w:rsid w:val="00620D8D"/>
    <w:rsid w:val="006266DB"/>
    <w:rsid w:val="00643300"/>
    <w:rsid w:val="006C0208"/>
    <w:rsid w:val="006C67B7"/>
    <w:rsid w:val="006D04F3"/>
    <w:rsid w:val="006F7279"/>
    <w:rsid w:val="007157B1"/>
    <w:rsid w:val="00791755"/>
    <w:rsid w:val="007A7133"/>
    <w:rsid w:val="007E139D"/>
    <w:rsid w:val="00812EF5"/>
    <w:rsid w:val="00837B42"/>
    <w:rsid w:val="00881884"/>
    <w:rsid w:val="0088201F"/>
    <w:rsid w:val="0088418D"/>
    <w:rsid w:val="008A647A"/>
    <w:rsid w:val="008E405F"/>
    <w:rsid w:val="008F22A8"/>
    <w:rsid w:val="0091624C"/>
    <w:rsid w:val="009718A8"/>
    <w:rsid w:val="009B3E4B"/>
    <w:rsid w:val="009F1C99"/>
    <w:rsid w:val="00A15846"/>
    <w:rsid w:val="00A23AAB"/>
    <w:rsid w:val="00A2752C"/>
    <w:rsid w:val="00A543AB"/>
    <w:rsid w:val="00A8559F"/>
    <w:rsid w:val="00A96237"/>
    <w:rsid w:val="00AB21D3"/>
    <w:rsid w:val="00B166E2"/>
    <w:rsid w:val="00B570AF"/>
    <w:rsid w:val="00B618FB"/>
    <w:rsid w:val="00B8402E"/>
    <w:rsid w:val="00B9637A"/>
    <w:rsid w:val="00B971E2"/>
    <w:rsid w:val="00BA29BF"/>
    <w:rsid w:val="00BA69EB"/>
    <w:rsid w:val="00BB2BAE"/>
    <w:rsid w:val="00BB55A0"/>
    <w:rsid w:val="00C63162"/>
    <w:rsid w:val="00CD6A44"/>
    <w:rsid w:val="00D0012A"/>
    <w:rsid w:val="00D23077"/>
    <w:rsid w:val="00D46754"/>
    <w:rsid w:val="00E17742"/>
    <w:rsid w:val="00E26BEA"/>
    <w:rsid w:val="00E4630C"/>
    <w:rsid w:val="00F05729"/>
    <w:rsid w:val="00F148E4"/>
    <w:rsid w:val="00F23B0A"/>
    <w:rsid w:val="00F3071C"/>
    <w:rsid w:val="00F47930"/>
    <w:rsid w:val="00F75CE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C1D64C3"/>
  <w15:docId w15:val="{2C1F3F88-388F-4105-B51D-84539A80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F7"/>
    <w:rPr>
      <w:rFonts w:ascii="Arial" w:eastAsia="Times New Roman" w:hAnsi="Arial" w:cs="Times New Roman"/>
      <w:sz w:val="20"/>
      <w:szCs w:val="20"/>
      <w:lang w:val="en-GB"/>
    </w:rPr>
  </w:style>
  <w:style w:type="paragraph" w:styleId="Heading1">
    <w:name w:val="heading 1"/>
    <w:basedOn w:val="Normal"/>
    <w:next w:val="Normal"/>
    <w:link w:val="Heading1Char"/>
    <w:uiPriority w:val="9"/>
    <w:qFormat/>
    <w:rsid w:val="008F1FDB"/>
    <w:pPr>
      <w:keepNext/>
      <w:keepLines/>
      <w:spacing w:before="480" w:line="276" w:lineRule="auto"/>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F1FDB"/>
    <w:rPr>
      <w:rFonts w:ascii="Cambria" w:eastAsia="Times New Roman" w:hAnsi="Cambria" w:cs="Times New Roman"/>
      <w:b/>
      <w:bCs/>
      <w:color w:val="365F91"/>
      <w:sz w:val="28"/>
      <w:szCs w:val="28"/>
    </w:rPr>
  </w:style>
  <w:style w:type="character" w:customStyle="1" w:styleId="PlainTextChar">
    <w:name w:val="Plain Text Char"/>
    <w:basedOn w:val="DefaultParagraphFont"/>
    <w:link w:val="PlainText"/>
    <w:uiPriority w:val="99"/>
    <w:qFormat/>
    <w:rsid w:val="008F1FDB"/>
    <w:rPr>
      <w:rFonts w:ascii="Calibri" w:eastAsia="Calibri" w:hAnsi="Calibri" w:cs="Times New Roman"/>
      <w:lang w:val="x-none" w:eastAsia="x-none"/>
    </w:rPr>
  </w:style>
  <w:style w:type="character" w:customStyle="1" w:styleId="FootnoteTextChar">
    <w:name w:val="Footnote Text Char"/>
    <w:basedOn w:val="DefaultParagraphFont"/>
    <w:link w:val="FootnoteText"/>
    <w:uiPriority w:val="99"/>
    <w:qFormat/>
    <w:rsid w:val="008F1FDB"/>
    <w:rPr>
      <w:rFonts w:ascii="Calibri" w:eastAsia="Calibri" w:hAnsi="Calibri" w:cs="Times New Roman"/>
      <w:sz w:val="20"/>
      <w:szCs w:val="20"/>
    </w:rPr>
  </w:style>
  <w:style w:type="character" w:customStyle="1" w:styleId="a">
    <w:name w:val="Знакови фусноте"/>
    <w:uiPriority w:val="99"/>
    <w:unhideWhenUsed/>
    <w:qFormat/>
    <w:rsid w:val="008F1FDB"/>
    <w:rPr>
      <w:vertAlign w:val="superscript"/>
    </w:rPr>
  </w:style>
  <w:style w:type="character" w:styleId="FootnoteReference">
    <w:name w:val="footnote reference"/>
    <w:rPr>
      <w:vertAlign w:val="superscript"/>
    </w:rPr>
  </w:style>
  <w:style w:type="character" w:customStyle="1" w:styleId="BalloonTextChar">
    <w:name w:val="Balloon Text Char"/>
    <w:basedOn w:val="DefaultParagraphFont"/>
    <w:link w:val="BalloonText"/>
    <w:uiPriority w:val="99"/>
    <w:semiHidden/>
    <w:qFormat/>
    <w:rsid w:val="008F1FDB"/>
    <w:rPr>
      <w:rFonts w:ascii="Tahoma" w:eastAsia="Calibri" w:hAnsi="Tahoma" w:cs="Tahoma"/>
      <w:sz w:val="16"/>
      <w:szCs w:val="16"/>
    </w:rPr>
  </w:style>
  <w:style w:type="character" w:customStyle="1" w:styleId="HeaderChar">
    <w:name w:val="Header Char"/>
    <w:basedOn w:val="DefaultParagraphFont"/>
    <w:link w:val="Header"/>
    <w:uiPriority w:val="99"/>
    <w:qFormat/>
    <w:rsid w:val="008F1FDB"/>
    <w:rPr>
      <w:rFonts w:ascii="Calibri" w:eastAsia="Calibri" w:hAnsi="Calibri" w:cs="Times New Roman"/>
    </w:rPr>
  </w:style>
  <w:style w:type="character" w:customStyle="1" w:styleId="FooterChar">
    <w:name w:val="Footer Char"/>
    <w:basedOn w:val="DefaultParagraphFont"/>
    <w:link w:val="Footer"/>
    <w:uiPriority w:val="99"/>
    <w:qFormat/>
    <w:rsid w:val="008F1FDB"/>
    <w:rPr>
      <w:rFonts w:ascii="Calibri" w:eastAsia="Calibri" w:hAnsi="Calibri" w:cs="Times New Roman"/>
    </w:rPr>
  </w:style>
  <w:style w:type="character" w:styleId="Hyperlink">
    <w:name w:val="Hyperlink"/>
    <w:qFormat/>
    <w:rsid w:val="008F1FDB"/>
    <w:rPr>
      <w:color w:val="0000FF"/>
      <w:u w:val="single"/>
    </w:rPr>
  </w:style>
  <w:style w:type="character" w:customStyle="1" w:styleId="EndnoteTextChar">
    <w:name w:val="Endnote Text Char"/>
    <w:basedOn w:val="DefaultParagraphFont"/>
    <w:link w:val="EndnoteText"/>
    <w:uiPriority w:val="99"/>
    <w:semiHidden/>
    <w:qFormat/>
    <w:rsid w:val="008F1FDB"/>
    <w:rPr>
      <w:rFonts w:ascii="Calibri" w:eastAsia="Calibri" w:hAnsi="Calibri" w:cs="Times New Roman"/>
      <w:sz w:val="20"/>
      <w:szCs w:val="20"/>
    </w:rPr>
  </w:style>
  <w:style w:type="character" w:customStyle="1" w:styleId="a0">
    <w:name w:val="Знаци ендноте"/>
    <w:uiPriority w:val="99"/>
    <w:semiHidden/>
    <w:unhideWhenUsed/>
    <w:qFormat/>
    <w:rsid w:val="008F1FDB"/>
    <w:rPr>
      <w:vertAlign w:val="superscript"/>
    </w:rPr>
  </w:style>
  <w:style w:type="character" w:styleId="EndnoteReference">
    <w:name w:val="endnote reference"/>
    <w:rPr>
      <w:vertAlign w:val="superscript"/>
    </w:rPr>
  </w:style>
  <w:style w:type="character" w:styleId="CommentReference">
    <w:name w:val="annotation reference"/>
    <w:unhideWhenUsed/>
    <w:qFormat/>
    <w:rsid w:val="008F1FDB"/>
    <w:rPr>
      <w:sz w:val="16"/>
      <w:szCs w:val="16"/>
    </w:rPr>
  </w:style>
  <w:style w:type="character" w:customStyle="1" w:styleId="CommentTextChar">
    <w:name w:val="Comment Text Char"/>
    <w:basedOn w:val="DefaultParagraphFont"/>
    <w:link w:val="CommentText"/>
    <w:qFormat/>
    <w:rsid w:val="008F1FDB"/>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qFormat/>
    <w:rsid w:val="008F1FDB"/>
    <w:rPr>
      <w:rFonts w:ascii="Calibri" w:eastAsia="Calibri" w:hAnsi="Calibri" w:cs="Times New Roman"/>
      <w:b/>
      <w:bCs/>
      <w:sz w:val="20"/>
      <w:szCs w:val="20"/>
    </w:rPr>
  </w:style>
  <w:style w:type="character" w:styleId="IntenseEmphasis">
    <w:name w:val="Intense Emphasis"/>
    <w:uiPriority w:val="21"/>
    <w:qFormat/>
    <w:rsid w:val="00DD30B9"/>
    <w:rPr>
      <w:i/>
      <w:iCs/>
      <w:color w:val="5B9BD5"/>
    </w:rPr>
  </w:style>
  <w:style w:type="character" w:styleId="IntenseReference">
    <w:name w:val="Intense Reference"/>
    <w:uiPriority w:val="32"/>
    <w:qFormat/>
    <w:rsid w:val="00E263C3"/>
    <w:rPr>
      <w:b/>
      <w:bCs/>
      <w:smallCaps/>
      <w:color w:val="5B9BD5"/>
      <w:spacing w:val="5"/>
    </w:rPr>
  </w:style>
  <w:style w:type="character" w:styleId="FollowedHyperlink">
    <w:name w:val="FollowedHyperlink"/>
    <w:basedOn w:val="DefaultParagraphFont"/>
    <w:uiPriority w:val="99"/>
    <w:semiHidden/>
    <w:unhideWhenUsed/>
    <w:rsid w:val="00227336"/>
    <w:rPr>
      <w:color w:val="954F72" w:themeColor="followedHyperlink"/>
      <w:u w:val="single"/>
    </w:rPr>
  </w:style>
  <w:style w:type="character" w:customStyle="1" w:styleId="IntenseEmphasis1">
    <w:name w:val="Intense Emphasis1"/>
    <w:uiPriority w:val="21"/>
    <w:qFormat/>
    <w:rsid w:val="00D019F6"/>
    <w:rPr>
      <w:i/>
      <w:iCs/>
      <w:color w:val="5B9BD5"/>
    </w:rPr>
  </w:style>
  <w:style w:type="paragraph" w:customStyle="1" w:styleId="a1">
    <w:name w:val="Насловљавање"/>
    <w:basedOn w:val="Normal"/>
    <w:next w:val="BodyText"/>
    <w:qFormat/>
    <w:pPr>
      <w:keepNext/>
      <w:spacing w:before="240" w:after="120"/>
    </w:pPr>
    <w:rPr>
      <w:rFonts w:ascii="Liberation Sans" w:eastAsia="Noto Sans CJK SC"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a2">
    <w:name w:val="Попис"/>
    <w:basedOn w:val="Normal"/>
    <w:qFormat/>
    <w:pPr>
      <w:suppressLineNumbers/>
    </w:pPr>
    <w:rPr>
      <w:rFonts w:cs="FreeSans"/>
    </w:rPr>
  </w:style>
  <w:style w:type="paragraph" w:customStyle="1" w:styleId="caption1">
    <w:name w:val="caption1"/>
    <w:basedOn w:val="Normal"/>
    <w:qFormat/>
    <w:pPr>
      <w:suppressLineNumbers/>
      <w:spacing w:before="120" w:after="120"/>
    </w:pPr>
    <w:rPr>
      <w:rFonts w:cs="FreeSans"/>
      <w:i/>
      <w:iCs/>
      <w:sz w:val="24"/>
      <w:szCs w:val="24"/>
    </w:rPr>
  </w:style>
  <w:style w:type="paragraph" w:styleId="PlainText">
    <w:name w:val="Plain Text"/>
    <w:basedOn w:val="Normal"/>
    <w:link w:val="PlainTextChar"/>
    <w:uiPriority w:val="99"/>
    <w:unhideWhenUsed/>
    <w:qFormat/>
    <w:rsid w:val="008F1FDB"/>
    <w:rPr>
      <w:rFonts w:ascii="Calibri" w:eastAsia="Calibri" w:hAnsi="Calibri"/>
      <w:sz w:val="22"/>
      <w:szCs w:val="22"/>
      <w:lang w:val="x-none" w:eastAsia="x-none"/>
    </w:rPr>
  </w:style>
  <w:style w:type="paragraph" w:styleId="ListParagraph">
    <w:name w:val="List Paragraph"/>
    <w:basedOn w:val="Normal"/>
    <w:uiPriority w:val="34"/>
    <w:qFormat/>
    <w:rsid w:val="008F1FDB"/>
    <w:pPr>
      <w:ind w:left="720"/>
      <w:contextualSpacing/>
    </w:pPr>
    <w:rPr>
      <w:rFonts w:ascii="Calibri" w:eastAsia="Calibri" w:hAnsi="Calibri"/>
      <w:sz w:val="24"/>
      <w:szCs w:val="24"/>
    </w:rPr>
  </w:style>
  <w:style w:type="paragraph" w:customStyle="1" w:styleId="Default">
    <w:name w:val="Default"/>
    <w:qFormat/>
    <w:rsid w:val="008F1FDB"/>
    <w:pPr>
      <w:widowControl w:val="0"/>
    </w:pPr>
    <w:rPr>
      <w:rFonts w:ascii="Times New Roman" w:eastAsia="Calibri" w:hAnsi="Times New Roman" w:cs="Times New Roman"/>
      <w:color w:val="000000"/>
      <w:sz w:val="24"/>
      <w:szCs w:val="24"/>
    </w:rPr>
  </w:style>
  <w:style w:type="paragraph" w:styleId="NormalWeb">
    <w:name w:val="Normal (Web)"/>
    <w:basedOn w:val="Normal"/>
    <w:uiPriority w:val="99"/>
    <w:qFormat/>
    <w:rsid w:val="008F1FDB"/>
    <w:rPr>
      <w:rFonts w:ascii="Times" w:eastAsia="Calibri" w:hAnsi="Times"/>
    </w:rPr>
  </w:style>
  <w:style w:type="paragraph" w:styleId="FootnoteText">
    <w:name w:val="footnote text"/>
    <w:basedOn w:val="Normal"/>
    <w:link w:val="FootnoteTextChar"/>
    <w:uiPriority w:val="99"/>
    <w:unhideWhenUsed/>
    <w:rsid w:val="008F1FDB"/>
    <w:rPr>
      <w:rFonts w:ascii="Calibri" w:eastAsia="Calibri" w:hAnsi="Calibri"/>
    </w:rPr>
  </w:style>
  <w:style w:type="paragraph" w:styleId="BalloonText">
    <w:name w:val="Balloon Text"/>
    <w:basedOn w:val="Normal"/>
    <w:link w:val="BalloonTextChar"/>
    <w:uiPriority w:val="99"/>
    <w:semiHidden/>
    <w:unhideWhenUsed/>
    <w:qFormat/>
    <w:rsid w:val="008F1FDB"/>
    <w:rPr>
      <w:rFonts w:ascii="Tahoma" w:eastAsia="Calibri" w:hAnsi="Tahoma" w:cs="Tahoma"/>
      <w:sz w:val="16"/>
      <w:szCs w:val="16"/>
    </w:rPr>
  </w:style>
  <w:style w:type="paragraph" w:customStyle="1" w:styleId="a3">
    <w:name w:val="Заглавље и подножје"/>
    <w:basedOn w:val="Normal"/>
    <w:qFormat/>
  </w:style>
  <w:style w:type="paragraph" w:styleId="Header">
    <w:name w:val="header"/>
    <w:basedOn w:val="Normal"/>
    <w:link w:val="HeaderChar"/>
    <w:uiPriority w:val="99"/>
    <w:unhideWhenUsed/>
    <w:rsid w:val="008F1FDB"/>
    <w:pPr>
      <w:tabs>
        <w:tab w:val="center" w:pos="4680"/>
        <w:tab w:val="right" w:pos="9360"/>
      </w:tabs>
    </w:pPr>
    <w:rPr>
      <w:rFonts w:ascii="Calibri" w:eastAsia="Calibri" w:hAnsi="Calibri"/>
      <w:sz w:val="22"/>
      <w:szCs w:val="22"/>
    </w:rPr>
  </w:style>
  <w:style w:type="paragraph" w:styleId="Footer">
    <w:name w:val="footer"/>
    <w:basedOn w:val="Normal"/>
    <w:link w:val="FooterChar"/>
    <w:uiPriority w:val="99"/>
    <w:unhideWhenUsed/>
    <w:rsid w:val="008F1FDB"/>
    <w:pPr>
      <w:tabs>
        <w:tab w:val="center" w:pos="4680"/>
        <w:tab w:val="right" w:pos="9360"/>
      </w:tabs>
    </w:pPr>
    <w:rPr>
      <w:rFonts w:ascii="Calibri" w:eastAsia="Calibri" w:hAnsi="Calibri"/>
      <w:sz w:val="22"/>
      <w:szCs w:val="22"/>
    </w:rPr>
  </w:style>
  <w:style w:type="paragraph" w:styleId="EndnoteText">
    <w:name w:val="endnote text"/>
    <w:basedOn w:val="Normal"/>
    <w:link w:val="EndnoteTextChar"/>
    <w:uiPriority w:val="99"/>
    <w:semiHidden/>
    <w:unhideWhenUsed/>
    <w:rsid w:val="008F1FDB"/>
    <w:rPr>
      <w:rFonts w:ascii="Calibri" w:eastAsia="Calibri" w:hAnsi="Calibri"/>
    </w:rPr>
  </w:style>
  <w:style w:type="paragraph" w:customStyle="1" w:styleId="CharCharCharChar">
    <w:name w:val="Char Char Char Char"/>
    <w:basedOn w:val="Normal"/>
    <w:qFormat/>
    <w:rsid w:val="008C52F9"/>
    <w:pPr>
      <w:spacing w:after="160" w:line="240" w:lineRule="exact"/>
    </w:pPr>
    <w:rPr>
      <w:rFonts w:ascii="Verdana" w:hAnsi="Verdana"/>
      <w:i/>
    </w:rPr>
  </w:style>
  <w:style w:type="paragraph" w:styleId="CommentText">
    <w:name w:val="annotation text"/>
    <w:basedOn w:val="Normal"/>
    <w:link w:val="CommentTextChar"/>
    <w:unhideWhenUsed/>
    <w:qFormat/>
    <w:rsid w:val="008F1FDB"/>
    <w:pPr>
      <w:spacing w:after="200"/>
    </w:pPr>
    <w:rPr>
      <w:rFonts w:ascii="Calibri" w:eastAsia="Calibri" w:hAnsi="Calibri"/>
    </w:rPr>
  </w:style>
  <w:style w:type="paragraph" w:styleId="CommentSubject">
    <w:name w:val="annotation subject"/>
    <w:basedOn w:val="CommentText"/>
    <w:next w:val="CommentText"/>
    <w:link w:val="CommentSubjectChar"/>
    <w:uiPriority w:val="99"/>
    <w:semiHidden/>
    <w:unhideWhenUsed/>
    <w:qFormat/>
    <w:rsid w:val="008F1FDB"/>
    <w:rPr>
      <w:b/>
      <w:bCs/>
    </w:rPr>
  </w:style>
  <w:style w:type="paragraph" w:styleId="Revision">
    <w:name w:val="Revision"/>
    <w:uiPriority w:val="99"/>
    <w:semiHidden/>
    <w:qFormat/>
    <w:rsid w:val="0028259F"/>
    <w:rPr>
      <w:rFonts w:ascii="Arial" w:eastAsia="Times New Roman" w:hAnsi="Arial" w:cs="Times New Roman"/>
      <w:sz w:val="20"/>
      <w:szCs w:val="20"/>
    </w:rPr>
  </w:style>
  <w:style w:type="paragraph" w:customStyle="1" w:styleId="a4">
    <w:name w:val="Садржај оквира"/>
    <w:basedOn w:val="Normal"/>
    <w:qFormat/>
  </w:style>
  <w:style w:type="table" w:styleId="TableGrid">
    <w:name w:val="Table Grid"/>
    <w:basedOn w:val="TableNormal"/>
    <w:uiPriority w:val="59"/>
    <w:rsid w:val="008F1FD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rs@stat.gov.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ublikacije.stat.gov.rs/G2022/Xls/G20231327.xlsx"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autoTitleDeleted val="1"/>
    <c:plotArea>
      <c:layout>
        <c:manualLayout>
          <c:layoutTarget val="inner"/>
          <c:xMode val="edge"/>
          <c:yMode val="edge"/>
          <c:x val="5.9812499999999998E-2"/>
          <c:y val="5.1222222222222197E-2"/>
          <c:w val="0.88924999999999998"/>
          <c:h val="0.54055555555555601"/>
        </c:manualLayout>
      </c:layout>
      <c:barChart>
        <c:barDir val="col"/>
        <c:grouping val="clustered"/>
        <c:varyColors val="0"/>
        <c:ser>
          <c:idx val="0"/>
          <c:order val="0"/>
          <c:tx>
            <c:strRef>
              <c:f>label 0</c:f>
              <c:strCache>
                <c:ptCount val="1"/>
                <c:pt idx="0">
                  <c:v>Unemployment rate - revised data</c:v>
                </c:pt>
              </c:strCache>
            </c:strRef>
          </c:tx>
          <c:spPr>
            <a:solidFill>
              <a:srgbClr val="00B050"/>
            </a:solidFill>
            <a:ln w="0">
              <a:noFill/>
            </a:ln>
          </c:spPr>
          <c:invertIfNegative val="0"/>
          <c:dLbls>
            <c:numFmt formatCode="0.0" sourceLinked="0"/>
            <c:spPr>
              <a:noFill/>
              <a:ln>
                <a:noFill/>
              </a:ln>
              <a:effectLst/>
            </c:spPr>
            <c:txPr>
              <a:bodyPr wrap="square"/>
              <a:lstStyle/>
              <a:p>
                <a:pPr>
                  <a:defRPr sz="800" b="0" strike="noStrike" spc="-1">
                    <a:solidFill>
                      <a:srgbClr val="000000"/>
                    </a:solidFill>
                    <a:latin typeface="Calibri"/>
                  </a:defRPr>
                </a:pPr>
                <a:endParaRPr lang="en-US"/>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layout/>
                <c15:showLeaderLines val="1"/>
              </c:ext>
            </c:extLst>
          </c:dLbls>
          <c:cat>
            <c:strRef>
              <c:f>categories</c:f>
              <c:strCache>
                <c:ptCount val="4"/>
                <c:pt idx="0">
                  <c:v>IQ 2022</c:v>
                </c:pt>
                <c:pt idx="1">
                  <c:v>II Q2022</c:v>
                </c:pt>
                <c:pt idx="2">
                  <c:v>III Q 2022</c:v>
                </c:pt>
                <c:pt idx="3">
                  <c:v>IV Q 2022</c:v>
                </c:pt>
              </c:strCache>
            </c:strRef>
          </c:cat>
          <c:val>
            <c:numRef>
              <c:f>0</c:f>
              <c:numCache>
                <c:formatCode>General</c:formatCode>
                <c:ptCount val="4"/>
                <c:pt idx="0">
                  <c:v>10.8887864279588</c:v>
                </c:pt>
                <c:pt idx="1">
                  <c:v>8.8862476779558897</c:v>
                </c:pt>
                <c:pt idx="2">
                  <c:v>9.0102135397704703</c:v>
                </c:pt>
                <c:pt idx="3">
                  <c:v>9.4125747555530399</c:v>
                </c:pt>
              </c:numCache>
            </c:numRef>
          </c:val>
          <c:extLst>
            <c:ext xmlns:c16="http://schemas.microsoft.com/office/drawing/2014/chart" uri="{C3380CC4-5D6E-409C-BE32-E72D297353CC}">
              <c16:uniqueId val="{00000000-3418-4609-940D-C0B41D3D95E9}"/>
            </c:ext>
          </c:extLst>
        </c:ser>
        <c:ser>
          <c:idx val="1"/>
          <c:order val="1"/>
          <c:tx>
            <c:strRef>
              <c:f>label 1</c:f>
              <c:strCache>
                <c:ptCount val="1"/>
                <c:pt idx="0">
                  <c:v>Unemployment rate - previous  data</c:v>
                </c:pt>
              </c:strCache>
            </c:strRef>
          </c:tx>
          <c:spPr>
            <a:solidFill>
              <a:srgbClr val="C5E0B4"/>
            </a:solidFill>
            <a:ln w="0">
              <a:noFill/>
            </a:ln>
          </c:spPr>
          <c:invertIfNegative val="0"/>
          <c:dLbls>
            <c:numFmt formatCode="0.0" sourceLinked="0"/>
            <c:spPr>
              <a:noFill/>
              <a:ln>
                <a:noFill/>
              </a:ln>
              <a:effectLst/>
            </c:spPr>
            <c:txPr>
              <a:bodyPr wrap="square"/>
              <a:lstStyle/>
              <a:p>
                <a:pPr>
                  <a:defRPr sz="800" b="0" strike="noStrike" spc="-1">
                    <a:solidFill>
                      <a:srgbClr val="000000"/>
                    </a:solidFill>
                    <a:latin typeface="Calibri"/>
                  </a:defRPr>
                </a:pPr>
                <a:endParaRPr lang="en-US"/>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layout/>
                <c15:showLeaderLines val="1"/>
              </c:ext>
            </c:extLst>
          </c:dLbls>
          <c:cat>
            <c:strRef>
              <c:f>categories</c:f>
              <c:strCache>
                <c:ptCount val="4"/>
                <c:pt idx="0">
                  <c:v>IQ 2022</c:v>
                </c:pt>
                <c:pt idx="1">
                  <c:v>II Q2022</c:v>
                </c:pt>
                <c:pt idx="2">
                  <c:v>III Q 2022</c:v>
                </c:pt>
                <c:pt idx="3">
                  <c:v>IV Q 2022</c:v>
                </c:pt>
              </c:strCache>
            </c:strRef>
          </c:cat>
          <c:val>
            <c:numRef>
              <c:f>1</c:f>
              <c:numCache>
                <c:formatCode>General</c:formatCode>
                <c:ptCount val="4"/>
                <c:pt idx="0">
                  <c:v>10.6329269238327</c:v>
                </c:pt>
                <c:pt idx="1">
                  <c:v>8.9</c:v>
                </c:pt>
                <c:pt idx="2">
                  <c:v>8.9419797334521807</c:v>
                </c:pt>
                <c:pt idx="3">
                  <c:v>9.1544560707879103</c:v>
                </c:pt>
              </c:numCache>
            </c:numRef>
          </c:val>
          <c:extLst>
            <c:ext xmlns:c16="http://schemas.microsoft.com/office/drawing/2014/chart" uri="{C3380CC4-5D6E-409C-BE32-E72D297353CC}">
              <c16:uniqueId val="{00000001-3418-4609-940D-C0B41D3D95E9}"/>
            </c:ext>
          </c:extLst>
        </c:ser>
        <c:dLbls>
          <c:showLegendKey val="0"/>
          <c:showVal val="0"/>
          <c:showCatName val="0"/>
          <c:showSerName val="0"/>
          <c:showPercent val="0"/>
          <c:showBubbleSize val="0"/>
        </c:dLbls>
        <c:gapWidth val="100"/>
        <c:axId val="64736705"/>
        <c:axId val="79977249"/>
      </c:barChart>
      <c:lineChart>
        <c:grouping val="standard"/>
        <c:varyColors val="0"/>
        <c:ser>
          <c:idx val="2"/>
          <c:order val="2"/>
          <c:tx>
            <c:strRef>
              <c:f>label 2</c:f>
              <c:strCache>
                <c:ptCount val="1"/>
                <c:pt idx="0">
                  <c:v>Employment rate - revised data</c:v>
                </c:pt>
              </c:strCache>
            </c:strRef>
          </c:tx>
          <c:spPr>
            <a:ln w="28440" cap="rnd">
              <a:solidFill>
                <a:srgbClr val="C00000"/>
              </a:solidFill>
              <a:round/>
            </a:ln>
          </c:spPr>
          <c:marker>
            <c:symbol val="circle"/>
            <c:size val="5"/>
            <c:spPr>
              <a:solidFill>
                <a:srgbClr val="C00000"/>
              </a:solidFill>
            </c:spPr>
          </c:marker>
          <c:dPt>
            <c:idx val="0"/>
            <c:bubble3D val="0"/>
            <c:extLst>
              <c:ext xmlns:c16="http://schemas.microsoft.com/office/drawing/2014/chart" uri="{C3380CC4-5D6E-409C-BE32-E72D297353CC}">
                <c16:uniqueId val="{00000002-3418-4609-940D-C0B41D3D95E9}"/>
              </c:ext>
            </c:extLst>
          </c:dPt>
          <c:dPt>
            <c:idx val="3"/>
            <c:bubble3D val="0"/>
            <c:extLst>
              <c:ext xmlns:c16="http://schemas.microsoft.com/office/drawing/2014/chart" uri="{C3380CC4-5D6E-409C-BE32-E72D297353CC}">
                <c16:uniqueId val="{00000003-3418-4609-940D-C0B41D3D95E9}"/>
              </c:ext>
            </c:extLst>
          </c:dPt>
          <c:dLbls>
            <c:dLbl>
              <c:idx val="0"/>
              <c:layout>
                <c:manualLayout>
                  <c:x val="-4.0959132685733902E-2"/>
                  <c:y val="3.1170831906881202E-2"/>
                </c:manualLayout>
              </c:layout>
              <c:numFmt formatCode="0.0" sourceLinked="0"/>
              <c:spPr/>
              <c:txPr>
                <a:bodyPr wrap="square"/>
                <a:lstStyle/>
                <a:p>
                  <a:pPr>
                    <a:defRPr sz="800" b="0" strike="noStrike" spc="-1">
                      <a:solidFill>
                        <a:srgbClr val="000000"/>
                      </a:solidFill>
                      <a:latin typeface="Calibri"/>
                    </a:defRPr>
                  </a:pPr>
                  <a:endParaRPr lang="en-US"/>
                </a:p>
              </c:txPr>
              <c:dLblPos val="r"/>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02-3418-4609-940D-C0B41D3D95E9}"/>
                </c:ext>
              </c:extLst>
            </c:dLbl>
            <c:dLbl>
              <c:idx val="3"/>
              <c:layout>
                <c:manualLayout>
                  <c:x val="-3.56930126002293E-2"/>
                  <c:y val="3.1170831906881202E-2"/>
                </c:manualLayout>
              </c:layout>
              <c:numFmt formatCode="0.0" sourceLinked="0"/>
              <c:spPr/>
              <c:txPr>
                <a:bodyPr wrap="square"/>
                <a:lstStyle/>
                <a:p>
                  <a:pPr>
                    <a:defRPr sz="800" b="0" strike="noStrike" spc="-1">
                      <a:solidFill>
                        <a:srgbClr val="000000"/>
                      </a:solidFill>
                      <a:latin typeface="Calibri"/>
                    </a:defRPr>
                  </a:pPr>
                  <a:endParaRPr lang="en-US"/>
                </a:p>
              </c:txPr>
              <c:dLblPos val="r"/>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03-3418-4609-940D-C0B41D3D95E9}"/>
                </c:ext>
              </c:extLst>
            </c:dLbl>
            <c:numFmt formatCode="0.0" sourceLinked="0"/>
            <c:spPr>
              <a:noFill/>
              <a:ln>
                <a:noFill/>
              </a:ln>
              <a:effectLst/>
            </c:spPr>
            <c:txPr>
              <a:bodyPr wrap="square"/>
              <a:lstStyle/>
              <a:p>
                <a:pPr>
                  <a:defRPr sz="800" b="0" strike="noStrike" spc="-1">
                    <a:solidFill>
                      <a:srgbClr val="000000"/>
                    </a:solidFill>
                    <a:latin typeface="Calibri"/>
                  </a:defRPr>
                </a:pPr>
                <a:endParaRPr lang="en-US"/>
              </a:p>
            </c:txPr>
            <c:dLblPos val="b"/>
            <c:showLegendKey val="0"/>
            <c:showVal val="1"/>
            <c:showCatName val="0"/>
            <c:showSerName val="0"/>
            <c:showPercent val="0"/>
            <c:showBubbleSize val="1"/>
            <c:separator>; </c:separator>
            <c:showLeaderLines val="0"/>
            <c:extLst>
              <c:ext xmlns:c15="http://schemas.microsoft.com/office/drawing/2012/chart" uri="{CE6537A1-D6FC-4f65-9D91-7224C49458BB}">
                <c15:layout/>
                <c15:showLeaderLines val="1"/>
              </c:ext>
            </c:extLst>
          </c:dLbls>
          <c:cat>
            <c:strRef>
              <c:f>categories</c:f>
              <c:strCache>
                <c:ptCount val="4"/>
                <c:pt idx="0">
                  <c:v>IQ 2022</c:v>
                </c:pt>
                <c:pt idx="1">
                  <c:v>II Q2022</c:v>
                </c:pt>
                <c:pt idx="2">
                  <c:v>III Q 2022</c:v>
                </c:pt>
                <c:pt idx="3">
                  <c:v>IV Q 2022</c:v>
                </c:pt>
              </c:strCache>
            </c:strRef>
          </c:cat>
          <c:val>
            <c:numRef>
              <c:f>2</c:f>
              <c:numCache>
                <c:formatCode>General</c:formatCode>
                <c:ptCount val="4"/>
                <c:pt idx="0">
                  <c:v>48.4785083371005</c:v>
                </c:pt>
                <c:pt idx="1">
                  <c:v>49.936723269243998</c:v>
                </c:pt>
                <c:pt idx="2">
                  <c:v>50.155390244195097</c:v>
                </c:pt>
                <c:pt idx="3">
                  <c:v>49.1312940821879</c:v>
                </c:pt>
              </c:numCache>
            </c:numRef>
          </c:val>
          <c:smooth val="0"/>
          <c:extLst>
            <c:ext xmlns:c16="http://schemas.microsoft.com/office/drawing/2014/chart" uri="{C3380CC4-5D6E-409C-BE32-E72D297353CC}">
              <c16:uniqueId val="{00000004-3418-4609-940D-C0B41D3D95E9}"/>
            </c:ext>
          </c:extLst>
        </c:ser>
        <c:ser>
          <c:idx val="3"/>
          <c:order val="3"/>
          <c:tx>
            <c:strRef>
              <c:f>label 3</c:f>
              <c:strCache>
                <c:ptCount val="1"/>
                <c:pt idx="0">
                  <c:v>Employment rate - previous  data</c:v>
                </c:pt>
              </c:strCache>
            </c:strRef>
          </c:tx>
          <c:spPr>
            <a:ln w="28440" cap="rnd">
              <a:solidFill>
                <a:srgbClr val="FF9F9F"/>
              </a:solidFill>
              <a:round/>
            </a:ln>
          </c:spPr>
          <c:marker>
            <c:symbol val="circle"/>
            <c:size val="5"/>
            <c:spPr>
              <a:solidFill>
                <a:srgbClr val="FF9F9F"/>
              </a:solidFill>
            </c:spPr>
          </c:marker>
          <c:dLbls>
            <c:numFmt formatCode="0.0" sourceLinked="0"/>
            <c:spPr>
              <a:noFill/>
              <a:ln>
                <a:noFill/>
              </a:ln>
              <a:effectLst/>
            </c:spPr>
            <c:txPr>
              <a:bodyPr wrap="square"/>
              <a:lstStyle/>
              <a:p>
                <a:pPr>
                  <a:defRPr sz="800" b="0" strike="noStrike" spc="-1">
                    <a:solidFill>
                      <a:srgbClr val="000000"/>
                    </a:solidFill>
                    <a:latin typeface="Calibri"/>
                  </a:defRPr>
                </a:pPr>
                <a:endParaRPr lang="en-US"/>
              </a:p>
            </c:txPr>
            <c:dLblPos val="t"/>
            <c:showLegendKey val="0"/>
            <c:showVal val="1"/>
            <c:showCatName val="0"/>
            <c:showSerName val="0"/>
            <c:showPercent val="0"/>
            <c:showBubbleSize val="1"/>
            <c:separator>; </c:separator>
            <c:showLeaderLines val="0"/>
            <c:extLst>
              <c:ext xmlns:c15="http://schemas.microsoft.com/office/drawing/2012/chart" uri="{CE6537A1-D6FC-4f65-9D91-7224C49458BB}">
                <c15:layout/>
                <c15:showLeaderLines val="1"/>
              </c:ext>
            </c:extLst>
          </c:dLbls>
          <c:cat>
            <c:strRef>
              <c:f>categories</c:f>
              <c:strCache>
                <c:ptCount val="4"/>
                <c:pt idx="0">
                  <c:v>IQ 2022</c:v>
                </c:pt>
                <c:pt idx="1">
                  <c:v>II Q2022</c:v>
                </c:pt>
                <c:pt idx="2">
                  <c:v>III Q 2022</c:v>
                </c:pt>
                <c:pt idx="3">
                  <c:v>IV Q 2022</c:v>
                </c:pt>
              </c:strCache>
            </c:strRef>
          </c:cat>
          <c:val>
            <c:numRef>
              <c:f>3</c:f>
              <c:numCache>
                <c:formatCode>General</c:formatCode>
                <c:ptCount val="4"/>
                <c:pt idx="0">
                  <c:v>49.297359920346203</c:v>
                </c:pt>
                <c:pt idx="1">
                  <c:v>50.9</c:v>
                </c:pt>
                <c:pt idx="2">
                  <c:v>50.8399563976797</c:v>
                </c:pt>
                <c:pt idx="3">
                  <c:v>50.065522621986403</c:v>
                </c:pt>
              </c:numCache>
            </c:numRef>
          </c:val>
          <c:smooth val="0"/>
          <c:extLst>
            <c:ext xmlns:c16="http://schemas.microsoft.com/office/drawing/2014/chart" uri="{C3380CC4-5D6E-409C-BE32-E72D297353CC}">
              <c16:uniqueId val="{00000005-3418-4609-940D-C0B41D3D95E9}"/>
            </c:ext>
          </c:extLst>
        </c:ser>
        <c:ser>
          <c:idx val="4"/>
          <c:order val="4"/>
          <c:tx>
            <c:strRef>
              <c:f>label 4</c:f>
              <c:strCache>
                <c:ptCount val="1"/>
                <c:pt idx="0">
                  <c:v>Outside labour force rate - revised data</c:v>
                </c:pt>
              </c:strCache>
            </c:strRef>
          </c:tx>
          <c:spPr>
            <a:ln w="28440" cap="rnd">
              <a:solidFill>
                <a:srgbClr val="2E75B6"/>
              </a:solidFill>
              <a:round/>
            </a:ln>
          </c:spPr>
          <c:marker>
            <c:symbol val="circle"/>
            <c:size val="5"/>
            <c:spPr>
              <a:solidFill>
                <a:srgbClr val="2E75B6"/>
              </a:solidFill>
            </c:spPr>
          </c:marker>
          <c:dPt>
            <c:idx val="0"/>
            <c:bubble3D val="0"/>
            <c:extLst>
              <c:ext xmlns:c16="http://schemas.microsoft.com/office/drawing/2014/chart" uri="{C3380CC4-5D6E-409C-BE32-E72D297353CC}">
                <c16:uniqueId val="{00000006-3418-4609-940D-C0B41D3D95E9}"/>
              </c:ext>
            </c:extLst>
          </c:dPt>
          <c:dPt>
            <c:idx val="3"/>
            <c:bubble3D val="0"/>
            <c:extLst>
              <c:ext xmlns:c16="http://schemas.microsoft.com/office/drawing/2014/chart" uri="{C3380CC4-5D6E-409C-BE32-E72D297353CC}">
                <c16:uniqueId val="{00000007-3418-4609-940D-C0B41D3D95E9}"/>
              </c:ext>
            </c:extLst>
          </c:dPt>
          <c:dLbls>
            <c:dLbl>
              <c:idx val="0"/>
              <c:layout>
                <c:manualLayout>
                  <c:x val="-4.0781448710663797E-2"/>
                  <c:y val="-3.5699817414127602E-2"/>
                </c:manualLayout>
              </c:layout>
              <c:numFmt formatCode="0.0" sourceLinked="0"/>
              <c:spPr/>
              <c:txPr>
                <a:bodyPr wrap="square"/>
                <a:lstStyle/>
                <a:p>
                  <a:pPr>
                    <a:defRPr sz="800" b="0" strike="noStrike" spc="-1">
                      <a:solidFill>
                        <a:srgbClr val="000000"/>
                      </a:solidFill>
                      <a:latin typeface="Calibri"/>
                    </a:defRPr>
                  </a:pPr>
                  <a:endParaRPr lang="en-US"/>
                </a:p>
              </c:txPr>
              <c:dLblPos val="r"/>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06-3418-4609-940D-C0B41D3D95E9}"/>
                </c:ext>
              </c:extLst>
            </c:dLbl>
            <c:dLbl>
              <c:idx val="3"/>
              <c:layout>
                <c:manualLayout>
                  <c:x val="-3.8490497966104903E-2"/>
                  <c:y val="-3.1170831906881202E-2"/>
                </c:manualLayout>
              </c:layout>
              <c:numFmt formatCode="0.0" sourceLinked="0"/>
              <c:spPr/>
              <c:txPr>
                <a:bodyPr wrap="square"/>
                <a:lstStyle/>
                <a:p>
                  <a:pPr>
                    <a:defRPr sz="800" b="0" strike="noStrike" spc="-1">
                      <a:solidFill>
                        <a:srgbClr val="000000"/>
                      </a:solidFill>
                      <a:latin typeface="Calibri"/>
                    </a:defRPr>
                  </a:pPr>
                  <a:endParaRPr lang="en-US"/>
                </a:p>
              </c:txPr>
              <c:dLblPos val="r"/>
              <c:showLegendKey val="0"/>
              <c:showVal val="1"/>
              <c:showCatName val="0"/>
              <c:showSerName val="0"/>
              <c:showPercent val="0"/>
              <c:showBubbleSize val="1"/>
              <c:separator>; </c:separator>
              <c:extLst>
                <c:ext xmlns:c15="http://schemas.microsoft.com/office/drawing/2012/chart" uri="{CE6537A1-D6FC-4f65-9D91-7224C49458BB}">
                  <c15:layout/>
                </c:ext>
                <c:ext xmlns:c16="http://schemas.microsoft.com/office/drawing/2014/chart" uri="{C3380CC4-5D6E-409C-BE32-E72D297353CC}">
                  <c16:uniqueId val="{00000007-3418-4609-940D-C0B41D3D95E9}"/>
                </c:ext>
              </c:extLst>
            </c:dLbl>
            <c:numFmt formatCode="0.0" sourceLinked="0"/>
            <c:spPr>
              <a:noFill/>
              <a:ln>
                <a:noFill/>
              </a:ln>
              <a:effectLst/>
            </c:spPr>
            <c:txPr>
              <a:bodyPr wrap="square"/>
              <a:lstStyle/>
              <a:p>
                <a:pPr>
                  <a:defRPr sz="800" b="0" strike="noStrike" spc="-1">
                    <a:solidFill>
                      <a:srgbClr val="000000"/>
                    </a:solidFill>
                    <a:latin typeface="Calibri"/>
                  </a:defRPr>
                </a:pPr>
                <a:endParaRPr lang="en-US"/>
              </a:p>
            </c:txPr>
            <c:dLblPos val="t"/>
            <c:showLegendKey val="0"/>
            <c:showVal val="1"/>
            <c:showCatName val="0"/>
            <c:showSerName val="0"/>
            <c:showPercent val="0"/>
            <c:showBubbleSize val="1"/>
            <c:separator>; </c:separator>
            <c:showLeaderLines val="0"/>
            <c:extLst>
              <c:ext xmlns:c15="http://schemas.microsoft.com/office/drawing/2012/chart" uri="{CE6537A1-D6FC-4f65-9D91-7224C49458BB}">
                <c15:layout/>
                <c15:showLeaderLines val="1"/>
              </c:ext>
            </c:extLst>
          </c:dLbls>
          <c:cat>
            <c:strRef>
              <c:f>categories</c:f>
              <c:strCache>
                <c:ptCount val="4"/>
                <c:pt idx="0">
                  <c:v>IQ 2022</c:v>
                </c:pt>
                <c:pt idx="1">
                  <c:v>II Q2022</c:v>
                </c:pt>
                <c:pt idx="2">
                  <c:v>III Q 2022</c:v>
                </c:pt>
                <c:pt idx="3">
                  <c:v>IV Q 2022</c:v>
                </c:pt>
              </c:strCache>
            </c:strRef>
          </c:cat>
          <c:val>
            <c:numRef>
              <c:f>4</c:f>
              <c:numCache>
                <c:formatCode>General</c:formatCode>
                <c:ptCount val="4"/>
                <c:pt idx="0">
                  <c:v>45.597746463290598</c:v>
                </c:pt>
                <c:pt idx="1">
                  <c:v>45.192971055338703</c:v>
                </c:pt>
                <c:pt idx="2">
                  <c:v>44.877999833401802</c:v>
                </c:pt>
                <c:pt idx="3">
                  <c:v>45.763670896254297</c:v>
                </c:pt>
              </c:numCache>
            </c:numRef>
          </c:val>
          <c:smooth val="0"/>
          <c:extLst>
            <c:ext xmlns:c16="http://schemas.microsoft.com/office/drawing/2014/chart" uri="{C3380CC4-5D6E-409C-BE32-E72D297353CC}">
              <c16:uniqueId val="{00000008-3418-4609-940D-C0B41D3D95E9}"/>
            </c:ext>
          </c:extLst>
        </c:ser>
        <c:ser>
          <c:idx val="5"/>
          <c:order val="5"/>
          <c:tx>
            <c:strRef>
              <c:f>label 5</c:f>
              <c:strCache>
                <c:ptCount val="1"/>
                <c:pt idx="0">
                  <c:v>Outside labour force rate - previous  data</c:v>
                </c:pt>
              </c:strCache>
            </c:strRef>
          </c:tx>
          <c:spPr>
            <a:ln w="28440" cap="rnd">
              <a:solidFill>
                <a:srgbClr val="9DC3E6"/>
              </a:solidFill>
              <a:round/>
            </a:ln>
          </c:spPr>
          <c:marker>
            <c:symbol val="circle"/>
            <c:size val="5"/>
            <c:spPr>
              <a:solidFill>
                <a:srgbClr val="9DC3E6"/>
              </a:solidFill>
            </c:spPr>
          </c:marker>
          <c:dLbls>
            <c:numFmt formatCode="0.0" sourceLinked="0"/>
            <c:spPr>
              <a:noFill/>
              <a:ln>
                <a:noFill/>
              </a:ln>
              <a:effectLst/>
            </c:spPr>
            <c:txPr>
              <a:bodyPr wrap="square"/>
              <a:lstStyle/>
              <a:p>
                <a:pPr>
                  <a:defRPr sz="800" b="0" strike="noStrike" spc="-1">
                    <a:solidFill>
                      <a:srgbClr val="000000"/>
                    </a:solidFill>
                    <a:latin typeface="Calibri"/>
                  </a:defRPr>
                </a:pPr>
                <a:endParaRPr lang="en-US"/>
              </a:p>
            </c:txPr>
            <c:dLblPos val="b"/>
            <c:showLegendKey val="0"/>
            <c:showVal val="1"/>
            <c:showCatName val="0"/>
            <c:showSerName val="0"/>
            <c:showPercent val="0"/>
            <c:showBubbleSize val="1"/>
            <c:separator>; </c:separator>
            <c:showLeaderLines val="0"/>
            <c:extLst>
              <c:ext xmlns:c15="http://schemas.microsoft.com/office/drawing/2012/chart" uri="{CE6537A1-D6FC-4f65-9D91-7224C49458BB}">
                <c15:layout/>
                <c15:showLeaderLines val="1"/>
              </c:ext>
            </c:extLst>
          </c:dLbls>
          <c:cat>
            <c:strRef>
              <c:f>categories</c:f>
              <c:strCache>
                <c:ptCount val="4"/>
                <c:pt idx="0">
                  <c:v>IQ 2022</c:v>
                </c:pt>
                <c:pt idx="1">
                  <c:v>II Q2022</c:v>
                </c:pt>
                <c:pt idx="2">
                  <c:v>III Q 2022</c:v>
                </c:pt>
                <c:pt idx="3">
                  <c:v>IV Q 2022</c:v>
                </c:pt>
              </c:strCache>
            </c:strRef>
          </c:cat>
          <c:val>
            <c:numRef>
              <c:f>5</c:f>
              <c:numCache>
                <c:formatCode>General</c:formatCode>
                <c:ptCount val="4"/>
                <c:pt idx="0">
                  <c:v>44.837222230238901</c:v>
                </c:pt>
                <c:pt idx="1">
                  <c:v>44.2</c:v>
                </c:pt>
                <c:pt idx="2">
                  <c:v>44.167532998965903</c:v>
                </c:pt>
                <c:pt idx="3">
                  <c:v>44.889382804805003</c:v>
                </c:pt>
              </c:numCache>
            </c:numRef>
          </c:val>
          <c:smooth val="0"/>
          <c:extLst>
            <c:ext xmlns:c16="http://schemas.microsoft.com/office/drawing/2014/chart" uri="{C3380CC4-5D6E-409C-BE32-E72D297353CC}">
              <c16:uniqueId val="{00000009-3418-4609-940D-C0B41D3D95E9}"/>
            </c:ext>
          </c:extLst>
        </c:ser>
        <c:dLbls>
          <c:showLegendKey val="0"/>
          <c:showVal val="0"/>
          <c:showCatName val="0"/>
          <c:showSerName val="0"/>
          <c:showPercent val="0"/>
          <c:showBubbleSize val="0"/>
        </c:dLbls>
        <c:hiLowLines>
          <c:spPr>
            <a:ln w="0">
              <a:noFill/>
            </a:ln>
          </c:spPr>
        </c:hiLowLines>
        <c:marker val="1"/>
        <c:smooth val="0"/>
        <c:axId val="23147732"/>
        <c:axId val="21230704"/>
      </c:lineChart>
      <c:catAx>
        <c:axId val="64736705"/>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sz="800" b="0" strike="noStrike" spc="-1">
                <a:solidFill>
                  <a:srgbClr val="000000"/>
                </a:solidFill>
                <a:latin typeface="Calibri"/>
              </a:defRPr>
            </a:pPr>
            <a:endParaRPr lang="en-US"/>
          </a:p>
        </c:txPr>
        <c:crossAx val="79977249"/>
        <c:crosses val="autoZero"/>
        <c:auto val="1"/>
        <c:lblAlgn val="ctr"/>
        <c:lblOffset val="100"/>
        <c:noMultiLvlLbl val="0"/>
      </c:catAx>
      <c:valAx>
        <c:axId val="79977249"/>
        <c:scaling>
          <c:orientation val="minMax"/>
          <c:max val="120"/>
          <c:min val="0"/>
        </c:scaling>
        <c:delete val="0"/>
        <c:axPos val="l"/>
        <c:majorGridlines>
          <c:spPr>
            <a:ln w="9360">
              <a:solidFill>
                <a:srgbClr val="D9D9D9"/>
              </a:solidFill>
              <a:round/>
            </a:ln>
          </c:spPr>
        </c:majorGridlines>
        <c:numFmt formatCode="0.0" sourceLinked="0"/>
        <c:majorTickMark val="none"/>
        <c:minorTickMark val="none"/>
        <c:tickLblPos val="nextTo"/>
        <c:spPr>
          <a:ln w="6480">
            <a:noFill/>
          </a:ln>
        </c:spPr>
        <c:txPr>
          <a:bodyPr/>
          <a:lstStyle/>
          <a:p>
            <a:pPr>
              <a:defRPr sz="800" b="0" strike="noStrike" spc="-1">
                <a:solidFill>
                  <a:srgbClr val="FFFFFF"/>
                </a:solidFill>
                <a:latin typeface="Calibri"/>
              </a:defRPr>
            </a:pPr>
            <a:endParaRPr lang="en-US"/>
          </a:p>
        </c:txPr>
        <c:crossAx val="64736705"/>
        <c:crosses val="autoZero"/>
        <c:crossBetween val="between"/>
      </c:valAx>
      <c:catAx>
        <c:axId val="23147732"/>
        <c:scaling>
          <c:orientation val="minMax"/>
        </c:scaling>
        <c:delete val="1"/>
        <c:axPos val="b"/>
        <c:numFmt formatCode="General" sourceLinked="1"/>
        <c:majorTickMark val="out"/>
        <c:minorTickMark val="none"/>
        <c:tickLblPos val="nextTo"/>
        <c:crossAx val="21230704"/>
        <c:crosses val="autoZero"/>
        <c:auto val="1"/>
        <c:lblAlgn val="ctr"/>
        <c:lblOffset val="100"/>
        <c:noMultiLvlLbl val="0"/>
      </c:catAx>
      <c:valAx>
        <c:axId val="21230704"/>
        <c:scaling>
          <c:orientation val="minMax"/>
        </c:scaling>
        <c:delete val="0"/>
        <c:axPos val="r"/>
        <c:numFmt formatCode="0.0" sourceLinked="0"/>
        <c:majorTickMark val="out"/>
        <c:minorTickMark val="none"/>
        <c:tickLblPos val="nextTo"/>
        <c:spPr>
          <a:ln w="6480">
            <a:noFill/>
          </a:ln>
        </c:spPr>
        <c:txPr>
          <a:bodyPr/>
          <a:lstStyle/>
          <a:p>
            <a:pPr>
              <a:defRPr sz="800" b="0" strike="noStrike" spc="-1">
                <a:solidFill>
                  <a:srgbClr val="FFFFFF"/>
                </a:solidFill>
                <a:latin typeface="Calibri"/>
              </a:defRPr>
            </a:pPr>
            <a:endParaRPr lang="en-US"/>
          </a:p>
        </c:txPr>
        <c:crossAx val="23147732"/>
        <c:crosses val="max"/>
        <c:crossBetween val="between"/>
      </c:valAx>
      <c:spPr>
        <a:noFill/>
        <a:ln w="0">
          <a:noFill/>
        </a:ln>
      </c:spPr>
    </c:plotArea>
    <c:legend>
      <c:legendPos val="b"/>
      <c:layout>
        <c:manualLayout>
          <c:xMode val="edge"/>
          <c:yMode val="edge"/>
          <c:x val="0.20856250000000001"/>
          <c:y val="0.753"/>
          <c:w val="0.54528408025501596"/>
          <c:h val="0.22880320035559501"/>
        </c:manualLayout>
      </c:layout>
      <c:overlay val="0"/>
      <c:spPr>
        <a:noFill/>
        <a:ln w="0">
          <a:noFill/>
        </a:ln>
      </c:spPr>
      <c:txPr>
        <a:bodyPr/>
        <a:lstStyle/>
        <a:p>
          <a:pPr>
            <a:defRPr sz="700" b="0" strike="noStrike" spc="-1">
              <a:solidFill>
                <a:srgbClr val="000000"/>
              </a:solidFill>
              <a:latin typeface="Calibri"/>
            </a:defRPr>
          </a:pPr>
          <a:endParaRPr lang="en-US"/>
        </a:p>
      </c:txPr>
    </c:legend>
    <c:plotVisOnly val="1"/>
    <c:dispBlanksAs val="gap"/>
    <c:showDLblsOverMax val="1"/>
  </c:chart>
  <c:spPr>
    <a:solidFill>
      <a:srgbClr val="FFFFFF"/>
    </a:solidFill>
    <a:ln w="9360">
      <a:solidFill>
        <a:srgbClr val="D9D9D9"/>
      </a:solidFill>
      <a:round/>
    </a:ln>
  </c:spPr>
</c:chartSpace>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A0A9E-E6EB-408B-88D9-94D81AF6C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5</Pages>
  <Words>2537</Words>
  <Characters>12512</Characters>
  <Application>Microsoft Office Word</Application>
  <DocSecurity>0</DocSecurity>
  <Lines>266</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Savkovic</dc:creator>
  <dc:description/>
  <cp:lastModifiedBy>Irena Dimic</cp:lastModifiedBy>
  <cp:revision>82</cp:revision>
  <cp:lastPrinted>2019-11-19T07:39:00Z</cp:lastPrinted>
  <dcterms:created xsi:type="dcterms:W3CDTF">2023-08-25T09:38:00Z</dcterms:created>
  <dcterms:modified xsi:type="dcterms:W3CDTF">2023-11-30T09:08:00Z</dcterms:modified>
  <dc:language>sr-RS</dc:language>
</cp:coreProperties>
</file>