
<file path=[Content_Types].xml><?xml version="1.0" encoding="utf-8"?>
<Types xmlns="http://schemas.openxmlformats.org/package/2006/content-types">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jc w:val="center"/>
        <w:tblBorders>
          <w:top w:val="single" w:sz="18" w:space="0" w:color="auto"/>
          <w:left w:val="single" w:sz="4" w:space="0" w:color="auto"/>
          <w:bottom w:val="single" w:sz="18" w:space="0" w:color="auto"/>
          <w:right w:val="single" w:sz="4" w:space="0" w:color="auto"/>
        </w:tblBorders>
        <w:tblCellMar>
          <w:left w:w="28" w:type="dxa"/>
          <w:right w:w="28" w:type="dxa"/>
        </w:tblCellMar>
        <w:tblLook w:val="04A0" w:firstRow="1" w:lastRow="0" w:firstColumn="1" w:lastColumn="0" w:noHBand="0" w:noVBand="1"/>
      </w:tblPr>
      <w:tblGrid>
        <w:gridCol w:w="1639"/>
        <w:gridCol w:w="5166"/>
        <w:gridCol w:w="3288"/>
      </w:tblGrid>
      <w:tr w:rsidR="006A38BB">
        <w:trPr>
          <w:cantSplit/>
          <w:trHeight w:val="631"/>
          <w:jc w:val="center"/>
        </w:trPr>
        <w:tc>
          <w:tcPr>
            <w:tcW w:w="812" w:type="pct"/>
            <w:tcBorders>
              <w:top w:val="single" w:sz="12" w:space="0" w:color="808080"/>
              <w:left w:val="nil"/>
              <w:bottom w:val="nil"/>
            </w:tcBorders>
            <w:vAlign w:val="center"/>
          </w:tcPr>
          <w:p w:rsidR="006A38BB" w:rsidRDefault="000107C1">
            <w:r>
              <w:rPr>
                <w:noProof/>
                <w:lang w:val="en-US"/>
              </w:rPr>
              <w:drawing>
                <wp:anchor distT="0" distB="0" distL="114300" distR="114300" simplePos="0" relativeHeight="251659264" behindDoc="0" locked="0" layoutInCell="1" allowOverlap="1">
                  <wp:simplePos x="0" y="0"/>
                  <wp:positionH relativeFrom="character">
                    <wp:posOffset>0</wp:posOffset>
                  </wp:positionH>
                  <wp:positionV relativeFrom="line">
                    <wp:posOffset>0</wp:posOffset>
                  </wp:positionV>
                  <wp:extent cx="904875" cy="219075"/>
                  <wp:effectExtent l="0" t="0" r="0" b="0"/>
                  <wp:wrapNone/>
                  <wp:docPr id="6" name="Picture 2" descr="ZnakRZ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 descr="ZnakRZ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904875" cy="219075"/>
                          </a:xfrm>
                          <a:prstGeom prst="rect">
                            <a:avLst/>
                          </a:prstGeom>
                          <a:noFill/>
                          <a:ln>
                            <a:noFill/>
                          </a:ln>
                        </pic:spPr>
                      </pic:pic>
                    </a:graphicData>
                  </a:graphic>
                </wp:anchor>
              </w:drawing>
            </w:r>
            <w:r>
              <w:rPr>
                <w:noProof/>
                <w:lang w:val="en-US"/>
              </w:rPr>
              <w:drawing>
                <wp:inline distT="0" distB="0" distL="0" distR="0">
                  <wp:extent cx="869950" cy="20955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8">
                            <a:extLst>
                              <a:ext uri="{28A0092B-C50C-407E-A947-70E740481C1C}">
                                <a14:useLocalDpi xmlns:a14="http://schemas.microsoft.com/office/drawing/2010/main" val="0"/>
                              </a:ext>
                            </a:extLst>
                          </a:blip>
                          <a:srcRect t="-99939" b="99939"/>
                          <a:stretch>
                            <a:fillRect/>
                          </a:stretch>
                        </pic:blipFill>
                        <pic:spPr>
                          <a:xfrm>
                            <a:off x="0" y="0"/>
                            <a:ext cx="869950" cy="209550"/>
                          </a:xfrm>
                          <a:prstGeom prst="rect">
                            <a:avLst/>
                          </a:prstGeom>
                          <a:noFill/>
                          <a:ln>
                            <a:noFill/>
                          </a:ln>
                        </pic:spPr>
                      </pic:pic>
                    </a:graphicData>
                  </a:graphic>
                </wp:inline>
              </w:drawing>
            </w:r>
          </w:p>
        </w:tc>
        <w:tc>
          <w:tcPr>
            <w:tcW w:w="2559" w:type="pct"/>
            <w:tcBorders>
              <w:top w:val="single" w:sz="12" w:space="0" w:color="808080"/>
              <w:left w:val="nil"/>
              <w:bottom w:val="nil"/>
            </w:tcBorders>
            <w:vAlign w:val="center"/>
          </w:tcPr>
          <w:p w:rsidR="006A38BB" w:rsidRDefault="000107C1">
            <w:r>
              <w:t>Statistical Office of the Republic of Serbia</w:t>
            </w:r>
          </w:p>
        </w:tc>
        <w:tc>
          <w:tcPr>
            <w:tcW w:w="0" w:type="auto"/>
            <w:tcBorders>
              <w:top w:val="single" w:sz="12" w:space="0" w:color="808080"/>
              <w:bottom w:val="nil"/>
              <w:right w:val="nil"/>
            </w:tcBorders>
            <w:vAlign w:val="center"/>
          </w:tcPr>
          <w:p w:rsidR="006A38BB" w:rsidRDefault="000107C1">
            <w:pPr>
              <w:jc w:val="right"/>
              <w:rPr>
                <w:b/>
                <w:bCs/>
              </w:rPr>
            </w:pPr>
            <w:r>
              <w:t>ISSN 0353-9555</w:t>
            </w:r>
          </w:p>
        </w:tc>
      </w:tr>
      <w:tr w:rsidR="006A38BB">
        <w:trPr>
          <w:cantSplit/>
          <w:trHeight w:val="695"/>
          <w:jc w:val="center"/>
        </w:trPr>
        <w:tc>
          <w:tcPr>
            <w:tcW w:w="0" w:type="auto"/>
            <w:gridSpan w:val="2"/>
            <w:tcBorders>
              <w:top w:val="nil"/>
              <w:left w:val="nil"/>
              <w:right w:val="nil"/>
            </w:tcBorders>
            <w:vAlign w:val="center"/>
          </w:tcPr>
          <w:p w:rsidR="006A38BB" w:rsidRDefault="000107C1">
            <w:pPr>
              <w:rPr>
                <w:color w:val="808080"/>
              </w:rPr>
            </w:pPr>
            <w:r>
              <w:rPr>
                <w:b/>
                <w:bCs/>
                <w:color w:val="808080"/>
                <w:sz w:val="48"/>
                <w:szCs w:val="48"/>
              </w:rPr>
              <w:t>STATISTICAL RELEASE</w:t>
            </w:r>
          </w:p>
        </w:tc>
        <w:tc>
          <w:tcPr>
            <w:tcW w:w="0" w:type="auto"/>
            <w:tcBorders>
              <w:top w:val="nil"/>
              <w:left w:val="nil"/>
              <w:right w:val="nil"/>
            </w:tcBorders>
            <w:vAlign w:val="center"/>
          </w:tcPr>
          <w:p w:rsidR="006A38BB" w:rsidRDefault="000107C1">
            <w:pPr>
              <w:jc w:val="right"/>
              <w:rPr>
                <w:b/>
                <w:bCs/>
                <w:color w:val="808080"/>
                <w:sz w:val="12"/>
                <w:szCs w:val="12"/>
              </w:rPr>
            </w:pPr>
            <w:r>
              <w:rPr>
                <w:b/>
                <w:bCs/>
                <w:color w:val="808080"/>
                <w:sz w:val="48"/>
                <w:szCs w:val="48"/>
              </w:rPr>
              <w:t>ZS91</w:t>
            </w:r>
          </w:p>
        </w:tc>
      </w:tr>
      <w:tr w:rsidR="006A38BB">
        <w:trPr>
          <w:cantSplit/>
          <w:trHeight w:hRule="exact" w:val="279"/>
          <w:jc w:val="center"/>
        </w:trPr>
        <w:tc>
          <w:tcPr>
            <w:tcW w:w="0" w:type="auto"/>
            <w:gridSpan w:val="2"/>
            <w:tcBorders>
              <w:top w:val="nil"/>
              <w:left w:val="nil"/>
              <w:bottom w:val="nil"/>
              <w:right w:val="nil"/>
            </w:tcBorders>
            <w:vAlign w:val="center"/>
          </w:tcPr>
          <w:p w:rsidR="006A38BB" w:rsidRDefault="000107C1">
            <w:r>
              <w:t>Number 311 - Year LXXIII 17/11/2023</w:t>
            </w:r>
          </w:p>
        </w:tc>
        <w:tc>
          <w:tcPr>
            <w:tcW w:w="0" w:type="auto"/>
            <w:tcBorders>
              <w:left w:val="nil"/>
              <w:bottom w:val="nil"/>
              <w:right w:val="nil"/>
            </w:tcBorders>
            <w:vAlign w:val="center"/>
          </w:tcPr>
          <w:p w:rsidR="006A38BB" w:rsidRDefault="006A38BB">
            <w:pPr>
              <w:jc w:val="right"/>
              <w:rPr>
                <w:b/>
                <w:bCs/>
                <w:sz w:val="48"/>
                <w:szCs w:val="48"/>
              </w:rPr>
            </w:pPr>
          </w:p>
        </w:tc>
      </w:tr>
      <w:tr w:rsidR="006A38BB">
        <w:trPr>
          <w:cantSplit/>
          <w:trHeight w:val="353"/>
          <w:jc w:val="center"/>
        </w:trPr>
        <w:tc>
          <w:tcPr>
            <w:tcW w:w="0" w:type="auto"/>
            <w:gridSpan w:val="2"/>
            <w:tcBorders>
              <w:top w:val="nil"/>
              <w:left w:val="nil"/>
              <w:bottom w:val="single" w:sz="12" w:space="0" w:color="808080"/>
              <w:right w:val="nil"/>
            </w:tcBorders>
            <w:vAlign w:val="center"/>
          </w:tcPr>
          <w:p w:rsidR="006A38BB" w:rsidRDefault="000107C1">
            <w:pPr>
              <w:rPr>
                <w:b/>
                <w:bCs/>
                <w:sz w:val="24"/>
                <w:szCs w:val="24"/>
              </w:rPr>
            </w:pPr>
            <w:r>
              <w:rPr>
                <w:b/>
                <w:bCs/>
                <w:sz w:val="24"/>
                <w:szCs w:val="24"/>
              </w:rPr>
              <w:t>Section of environmental statistics and accounts</w:t>
            </w:r>
          </w:p>
        </w:tc>
        <w:tc>
          <w:tcPr>
            <w:tcW w:w="0" w:type="auto"/>
            <w:tcBorders>
              <w:top w:val="nil"/>
              <w:left w:val="nil"/>
              <w:bottom w:val="single" w:sz="12" w:space="0" w:color="808080"/>
              <w:right w:val="nil"/>
            </w:tcBorders>
            <w:vAlign w:val="center"/>
          </w:tcPr>
          <w:p w:rsidR="006A38BB" w:rsidRDefault="000107C1">
            <w:pPr>
              <w:jc w:val="right"/>
              <w:rPr>
                <w:b/>
                <w:bCs/>
              </w:rPr>
            </w:pPr>
            <w:r>
              <w:t>SRB311 ZS91 171123</w:t>
            </w:r>
          </w:p>
        </w:tc>
      </w:tr>
    </w:tbl>
    <w:p w:rsidR="006A38BB" w:rsidRDefault="000107C1">
      <w:pPr>
        <w:spacing w:before="600" w:after="240"/>
        <w:jc w:val="center"/>
        <w:outlineLvl w:val="0"/>
        <w:rPr>
          <w:b/>
          <w:bCs/>
          <w:sz w:val="24"/>
          <w:szCs w:val="24"/>
          <w:lang w:val="en-US"/>
        </w:rPr>
      </w:pPr>
      <w:r>
        <w:rPr>
          <w:b/>
          <w:bCs/>
          <w:sz w:val="24"/>
          <w:szCs w:val="24"/>
        </w:rPr>
        <w:t>Expenditures for environmental protection, 202</w:t>
      </w:r>
      <w:r>
        <w:rPr>
          <w:b/>
          <w:bCs/>
          <w:sz w:val="24"/>
          <w:szCs w:val="24"/>
          <w:lang w:val="en-US"/>
        </w:rPr>
        <w:t>2</w:t>
      </w:r>
    </w:p>
    <w:p w:rsidR="006A38BB" w:rsidRDefault="000107C1">
      <w:pPr>
        <w:spacing w:before="240" w:after="240"/>
        <w:jc w:val="center"/>
        <w:rPr>
          <w:b/>
          <w:bCs/>
          <w:sz w:val="24"/>
          <w:szCs w:val="24"/>
        </w:rPr>
      </w:pPr>
      <w:r>
        <w:rPr>
          <w:bCs/>
          <w:sz w:val="22"/>
          <w:szCs w:val="22"/>
        </w:rPr>
        <w:t xml:space="preserve">‒ Preliminary results ‒ </w:t>
      </w:r>
    </w:p>
    <w:p w:rsidR="006A38BB" w:rsidRDefault="000107C1">
      <w:pPr>
        <w:spacing w:before="240" w:after="120" w:line="288" w:lineRule="auto"/>
        <w:jc w:val="both"/>
      </w:pPr>
      <w:r>
        <w:t>In 202</w:t>
      </w:r>
      <w:r>
        <w:rPr>
          <w:lang w:val="en-US"/>
        </w:rPr>
        <w:t>2</w:t>
      </w:r>
      <w:r>
        <w:t xml:space="preserve">, total expenditures for environmental protection amounted to RSD </w:t>
      </w:r>
      <w:r>
        <w:rPr>
          <w:lang w:val="en-US"/>
        </w:rPr>
        <w:t>69 251.2</w:t>
      </w:r>
      <w:r>
        <w:t xml:space="preserve"> </w:t>
      </w:r>
      <w:r>
        <w:rPr>
          <w:rStyle w:val="hps"/>
        </w:rPr>
        <w:t>mill</w:t>
      </w:r>
      <w:r>
        <w:t xml:space="preserve">ion, </w:t>
      </w:r>
      <w:r>
        <w:rPr>
          <w:rStyle w:val="hps"/>
        </w:rPr>
        <w:t xml:space="preserve">which is by </w:t>
      </w:r>
      <w:r>
        <w:rPr>
          <w:rStyle w:val="hps"/>
          <w:lang w:val="en-US"/>
        </w:rPr>
        <w:t>0.8</w:t>
      </w:r>
      <w:r>
        <w:rPr>
          <w:rStyle w:val="hps"/>
        </w:rPr>
        <w:t xml:space="preserve">% </w:t>
      </w:r>
      <w:r>
        <w:rPr>
          <w:rStyle w:val="hpsalt-edited"/>
        </w:rPr>
        <w:t xml:space="preserve">higher </w:t>
      </w:r>
      <w:r>
        <w:rPr>
          <w:rStyle w:val="hps"/>
        </w:rPr>
        <w:t xml:space="preserve">than in the previous year. In the structure of the total expenditures for environmental protection, share of environmental protection investments amounted to </w:t>
      </w:r>
      <w:r>
        <w:rPr>
          <w:rStyle w:val="hps"/>
          <w:lang w:val="en-US"/>
        </w:rPr>
        <w:t>39.3</w:t>
      </w:r>
      <w:r>
        <w:t>%,</w:t>
      </w:r>
      <w:r>
        <w:rPr>
          <w:rStyle w:val="hps"/>
        </w:rPr>
        <w:t xml:space="preserve"> while current expenditures</w:t>
      </w:r>
      <w:r>
        <w:t xml:space="preserve"> had the share of </w:t>
      </w:r>
      <w:r>
        <w:rPr>
          <w:lang w:val="en-US"/>
        </w:rPr>
        <w:t>60.7</w:t>
      </w:r>
      <w:r>
        <w:rPr>
          <w:rStyle w:val="hps"/>
        </w:rPr>
        <w:t>%.</w:t>
      </w:r>
    </w:p>
    <w:p w:rsidR="006A38BB" w:rsidRDefault="000107C1">
      <w:pPr>
        <w:spacing w:before="240" w:after="120" w:line="288" w:lineRule="auto"/>
        <w:jc w:val="both"/>
      </w:pPr>
      <w:r>
        <w:t>Environmental protection investments in 202</w:t>
      </w:r>
      <w:r>
        <w:rPr>
          <w:lang w:val="en-US"/>
        </w:rPr>
        <w:t>2</w:t>
      </w:r>
      <w:r>
        <w:t xml:space="preserve"> amounted to RSD </w:t>
      </w:r>
      <w:r>
        <w:rPr>
          <w:lang w:val="en-US"/>
        </w:rPr>
        <w:t>27 231.8</w:t>
      </w:r>
      <w:r>
        <w:t xml:space="preserve"> mill, being RSD </w:t>
      </w:r>
      <w:r>
        <w:rPr>
          <w:lang w:val="en-US"/>
        </w:rPr>
        <w:t>2 571.5</w:t>
      </w:r>
      <w:r>
        <w:t xml:space="preserve"> million more than in the previous year. The greatest share in the structure of environmental protection investments in 202</w:t>
      </w:r>
      <w:r>
        <w:rPr>
          <w:lang w:val="en-US"/>
        </w:rPr>
        <w:t>2</w:t>
      </w:r>
      <w:r>
        <w:t xml:space="preserve"> related to air protection, and amounted to </w:t>
      </w:r>
      <w:r>
        <w:rPr>
          <w:lang w:val="en-US"/>
        </w:rPr>
        <w:t>57.1</w:t>
      </w:r>
      <w:r>
        <w:t xml:space="preserve">% (RSD </w:t>
      </w:r>
      <w:r>
        <w:rPr>
          <w:lang w:val="en-US"/>
        </w:rPr>
        <w:t>15 548.1</w:t>
      </w:r>
      <w:r>
        <w:t xml:space="preserve"> mill). </w:t>
      </w:r>
    </w:p>
    <w:p w:rsidR="006A38BB" w:rsidRDefault="000107C1">
      <w:pPr>
        <w:spacing w:before="240" w:after="120" w:line="288" w:lineRule="auto"/>
        <w:jc w:val="both"/>
        <w:rPr>
          <w:rStyle w:val="hps"/>
        </w:rPr>
      </w:pPr>
      <w:r>
        <w:rPr>
          <w:rStyle w:val="hps"/>
        </w:rPr>
        <w:t>Current expenditures for environmental protection in 202</w:t>
      </w:r>
      <w:r>
        <w:rPr>
          <w:rStyle w:val="hps"/>
          <w:lang w:val="en-US"/>
        </w:rPr>
        <w:t>2</w:t>
      </w:r>
      <w:r>
        <w:rPr>
          <w:rStyle w:val="hps"/>
        </w:rPr>
        <w:t xml:space="preserve"> amounted to RSD </w:t>
      </w:r>
      <w:r>
        <w:rPr>
          <w:rStyle w:val="hps"/>
          <w:lang w:val="en-US"/>
        </w:rPr>
        <w:t>42 019.4</w:t>
      </w:r>
      <w:r>
        <w:rPr>
          <w:rStyle w:val="hps"/>
        </w:rPr>
        <w:t xml:space="preserve"> mill, presenting the </w:t>
      </w:r>
      <w:r>
        <w:rPr>
          <w:rStyle w:val="hps"/>
          <w:lang w:val="en-US"/>
        </w:rPr>
        <w:t>in</w:t>
      </w:r>
      <w:r>
        <w:rPr>
          <w:rStyle w:val="hps"/>
        </w:rPr>
        <w:t xml:space="preserve">crease of RSD </w:t>
      </w:r>
      <w:r>
        <w:rPr>
          <w:rStyle w:val="hps"/>
          <w:lang w:val="en-US"/>
        </w:rPr>
        <w:t>3 146.3</w:t>
      </w:r>
      <w:r>
        <w:rPr>
          <w:rStyle w:val="hps"/>
        </w:rPr>
        <w:t xml:space="preserve"> mill, relative to the previous year. The greatest share in structure of current environmental protection expenditures in 202</w:t>
      </w:r>
      <w:r>
        <w:rPr>
          <w:rStyle w:val="hps"/>
          <w:lang w:val="en-US"/>
        </w:rPr>
        <w:t>2</w:t>
      </w:r>
      <w:r>
        <w:rPr>
          <w:rStyle w:val="hps"/>
        </w:rPr>
        <w:t xml:space="preserve"> related to waste management, and amounted to </w:t>
      </w:r>
      <w:r>
        <w:rPr>
          <w:rStyle w:val="hps"/>
          <w:lang w:val="en-US"/>
        </w:rPr>
        <w:t>72.5</w:t>
      </w:r>
      <w:r>
        <w:rPr>
          <w:rStyle w:val="hps"/>
        </w:rPr>
        <w:t xml:space="preserve">% (RSD </w:t>
      </w:r>
      <w:r>
        <w:rPr>
          <w:rStyle w:val="hps"/>
          <w:lang w:val="en-US"/>
        </w:rPr>
        <w:t>30 482.8</w:t>
      </w:r>
      <w:r>
        <w:rPr>
          <w:rStyle w:val="hps"/>
        </w:rPr>
        <w:t xml:space="preserve"> mill.). </w:t>
      </w:r>
    </w:p>
    <w:p w:rsidR="006A38BB" w:rsidRDefault="000107C1">
      <w:pPr>
        <w:spacing w:before="240" w:after="120" w:line="288" w:lineRule="auto"/>
        <w:jc w:val="both"/>
      </w:pPr>
      <w:r>
        <w:t>In the structure of environmental protection investments by industry</w:t>
      </w:r>
      <w:r>
        <w:rPr>
          <w:vertAlign w:val="superscript"/>
        </w:rPr>
        <w:t>1)</w:t>
      </w:r>
      <w:r>
        <w:t xml:space="preserve"> sections, share for prevention of environmental pollution amounted to </w:t>
      </w:r>
      <w:r>
        <w:rPr>
          <w:lang w:val="en-US"/>
        </w:rPr>
        <w:t>25.6</w:t>
      </w:r>
      <w:r>
        <w:t xml:space="preserve">% (RSD </w:t>
      </w:r>
      <w:r>
        <w:rPr>
          <w:lang w:val="en-US"/>
        </w:rPr>
        <w:t>4 997.9</w:t>
      </w:r>
      <w:r>
        <w:t xml:space="preserve"> mill.), while investments for pollution treatment encompassed </w:t>
      </w:r>
      <w:r>
        <w:rPr>
          <w:lang w:val="en-US"/>
        </w:rPr>
        <w:t>74</w:t>
      </w:r>
      <w:r>
        <w:t xml:space="preserve">.4% (RSD </w:t>
      </w:r>
      <w:r>
        <w:rPr>
          <w:lang w:val="en-US"/>
        </w:rPr>
        <w:t>14 532.1</w:t>
      </w:r>
      <w:r>
        <w:t xml:space="preserve"> mill.). </w:t>
      </w:r>
    </w:p>
    <w:p w:rsidR="006A38BB" w:rsidRDefault="000107C1">
      <w:pPr>
        <w:spacing w:before="240" w:after="120" w:line="288" w:lineRule="auto"/>
        <w:jc w:val="both"/>
      </w:pPr>
      <w:r>
        <w:t>In 202</w:t>
      </w:r>
      <w:r>
        <w:rPr>
          <w:lang w:val="en-US"/>
        </w:rPr>
        <w:t>2</w:t>
      </w:r>
      <w:r>
        <w:t>, share of environmental protection expenditures in Gross domestic product equalled 1.</w:t>
      </w:r>
      <w:r w:rsidR="004419DF">
        <w:rPr>
          <w:lang w:val="en-US"/>
        </w:rPr>
        <w:t>0</w:t>
      </w:r>
      <w:bookmarkStart w:id="0" w:name="_GoBack"/>
      <w:bookmarkEnd w:id="0"/>
      <w:r>
        <w:t>%.</w:t>
      </w:r>
    </w:p>
    <w:p w:rsidR="006A38BB" w:rsidRDefault="000107C1">
      <w:pPr>
        <w:spacing w:before="240"/>
        <w:jc w:val="both"/>
      </w:pPr>
      <w:r>
        <w:rPr>
          <w:noProof/>
          <w:lang w:val="en-US"/>
        </w:rPr>
        <mc:AlternateContent>
          <mc:Choice Requires="wps">
            <w:drawing>
              <wp:anchor distT="0" distB="0" distL="114300" distR="114300" simplePos="0" relativeHeight="251661312" behindDoc="0" locked="0" layoutInCell="1" allowOverlap="1">
                <wp:simplePos x="0" y="0"/>
                <wp:positionH relativeFrom="column">
                  <wp:posOffset>14605</wp:posOffset>
                </wp:positionH>
                <wp:positionV relativeFrom="paragraph">
                  <wp:posOffset>195580</wp:posOffset>
                </wp:positionV>
                <wp:extent cx="160020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1600200" cy="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margin-left:1.15pt;margin-top:15.4pt;height:0pt;width:126pt;z-index:251661312;mso-width-relative:page;mso-height-relative:page;" filled="f" stroked="t" coordsize="21600,21600" o:gfxdata="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">
                <v:fill on="f" focussize="0,0"/>
                <v:stroke weight="0.5pt" color="#BFBFBF [2412]" miterlimit="8" joinstyle="miter"/>
                <v:imagedata o:title=""/>
                <o:lock v:ext="edit" aspectratio="f"/>
              </v:line>
            </w:pict>
          </mc:Fallback>
        </mc:AlternateContent>
      </w:r>
    </w:p>
    <w:p w:rsidR="006A38BB" w:rsidRDefault="000107C1">
      <w:pPr>
        <w:spacing w:before="120"/>
        <w:jc w:val="both"/>
        <w:rPr>
          <w:sz w:val="14"/>
          <w:szCs w:val="14"/>
        </w:rPr>
      </w:pPr>
      <w:r>
        <w:rPr>
          <w:sz w:val="14"/>
          <w:szCs w:val="14"/>
          <w:vertAlign w:val="superscript"/>
        </w:rPr>
        <w:t>1)</w:t>
      </w:r>
      <w:r>
        <w:rPr>
          <w:sz w:val="14"/>
          <w:szCs w:val="14"/>
        </w:rPr>
        <w:t xml:space="preserve"> Industry sections by Classification of Activities: Mining and quarrying; Manufacturing; Electricity, gas, steam and air conditioning supply.</w:t>
      </w:r>
    </w:p>
    <w:p w:rsidR="006A38BB" w:rsidRDefault="000107C1">
      <w:pPr>
        <w:spacing w:before="600"/>
        <w:jc w:val="center"/>
        <w:rPr>
          <w:lang w:val="sr-Cyrl-CS"/>
        </w:rPr>
      </w:pPr>
      <w:r>
        <w:rPr>
          <w:b/>
          <w:lang w:val="sr-Cyrl-CS"/>
        </w:rPr>
        <w:t>Graph</w:t>
      </w:r>
      <w:r>
        <w:rPr>
          <w:b/>
          <w:lang w:val="en-US"/>
        </w:rPr>
        <w:t xml:space="preserve"> 1</w:t>
      </w:r>
      <w:r>
        <w:rPr>
          <w:lang w:val="sr-Cyrl-CS"/>
        </w:rPr>
        <w:t xml:space="preserve"> Expenditures for environmental protection</w:t>
      </w:r>
    </w:p>
    <w:tbl>
      <w:tblPr>
        <w:tblStyle w:val="TableGrid"/>
        <w:tblW w:w="0" w:type="auto"/>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083"/>
      </w:tblGrid>
      <w:tr w:rsidR="006A38BB">
        <w:trPr>
          <w:jc w:val="center"/>
        </w:trPr>
        <w:tc>
          <w:tcPr>
            <w:tcW w:w="10083" w:type="dxa"/>
          </w:tcPr>
          <w:p w:rsidR="006A38BB" w:rsidRDefault="00626811">
            <w:pPr>
              <w:spacing w:before="120" w:after="120"/>
              <w:jc w:val="center"/>
              <w:rPr>
                <w:sz w:val="14"/>
                <w:szCs w:val="14"/>
                <w:lang w:val="sr-Cyrl-CS"/>
              </w:rPr>
            </w:pPr>
            <w:r>
              <w:rPr>
                <w:noProof/>
                <w:lang w:val="en-US"/>
              </w:rPr>
              <w:drawing>
                <wp:inline distT="0" distB="0" distL="0" distR="0" wp14:anchorId="1D775D18" wp14:editId="75ECC9A9">
                  <wp:extent cx="4680000" cy="2880000"/>
                  <wp:effectExtent l="0" t="0" r="635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c>
      </w:tr>
    </w:tbl>
    <w:p w:rsidR="006A38BB" w:rsidRDefault="006A38BB">
      <w:pPr>
        <w:ind w:firstLine="448"/>
        <w:jc w:val="both"/>
        <w:rPr>
          <w:color w:val="FF0000"/>
        </w:rPr>
      </w:pPr>
    </w:p>
    <w:p w:rsidR="006A38BB" w:rsidRDefault="006A38BB">
      <w:pPr>
        <w:jc w:val="center"/>
        <w:rPr>
          <w:color w:val="FF0000"/>
        </w:rPr>
      </w:pPr>
    </w:p>
    <w:p w:rsidR="006A38BB" w:rsidRDefault="000107C1">
      <w:pPr>
        <w:ind w:left="90"/>
        <w:jc w:val="center"/>
        <w:rPr>
          <w:b/>
        </w:rPr>
      </w:pPr>
      <w:r>
        <w:rPr>
          <w:b/>
          <w:bCs/>
        </w:rPr>
        <w:lastRenderedPageBreak/>
        <w:t>1. Expenditures for environmental protection by activities</w:t>
      </w:r>
    </w:p>
    <w:p w:rsidR="006A38BB" w:rsidRDefault="000107C1">
      <w:pPr>
        <w:spacing w:after="40"/>
        <w:rPr>
          <w:b/>
          <w:sz w:val="18"/>
          <w:szCs w:val="18"/>
        </w:rPr>
      </w:pPr>
      <w:r>
        <w:rPr>
          <w:b/>
          <w:sz w:val="18"/>
          <w:szCs w:val="18"/>
        </w:rPr>
        <w:t xml:space="preserve">Republic of Serbia </w:t>
      </w:r>
    </w:p>
    <w:tbl>
      <w:tblPr>
        <w:tblW w:w="0" w:type="auto"/>
        <w:jc w:val="center"/>
        <w:tblBorders>
          <w:top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894"/>
        <w:gridCol w:w="1290"/>
        <w:gridCol w:w="1290"/>
        <w:gridCol w:w="1274"/>
        <w:gridCol w:w="1174"/>
        <w:gridCol w:w="1171"/>
      </w:tblGrid>
      <w:tr w:rsidR="006A38BB">
        <w:trPr>
          <w:trHeight w:val="20"/>
          <w:jc w:val="center"/>
        </w:trPr>
        <w:tc>
          <w:tcPr>
            <w:tcW w:w="3894" w:type="dxa"/>
            <w:vMerge w:val="restart"/>
            <w:tcBorders>
              <w:top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rsidR="006A38BB" w:rsidRDefault="006A38BB">
            <w:pPr>
              <w:spacing w:line="288" w:lineRule="auto"/>
              <w:jc w:val="center"/>
              <w:rPr>
                <w:sz w:val="16"/>
                <w:szCs w:val="16"/>
              </w:rPr>
            </w:pPr>
          </w:p>
        </w:tc>
        <w:tc>
          <w:tcPr>
            <w:tcW w:w="258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6A38BB" w:rsidRDefault="000107C1">
            <w:pPr>
              <w:spacing w:before="120" w:after="120"/>
              <w:jc w:val="center"/>
              <w:rPr>
                <w:sz w:val="16"/>
                <w:szCs w:val="16"/>
              </w:rPr>
            </w:pPr>
            <w:r>
              <w:rPr>
                <w:sz w:val="16"/>
                <w:szCs w:val="16"/>
              </w:rPr>
              <w:t>Total, RSD mill.</w:t>
            </w:r>
          </w:p>
        </w:tc>
        <w:tc>
          <w:tcPr>
            <w:tcW w:w="1274" w:type="dxa"/>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auto"/>
            <w:vAlign w:val="center"/>
          </w:tcPr>
          <w:p w:rsidR="006A38BB" w:rsidRDefault="000107C1">
            <w:pPr>
              <w:spacing w:before="120" w:after="120"/>
              <w:jc w:val="center"/>
              <w:rPr>
                <w:sz w:val="16"/>
                <w:szCs w:val="16"/>
              </w:rPr>
            </w:pPr>
            <w:r>
              <w:rPr>
                <w:sz w:val="16"/>
                <w:szCs w:val="16"/>
              </w:rPr>
              <w:t>Share, %</w:t>
            </w:r>
          </w:p>
        </w:tc>
        <w:tc>
          <w:tcPr>
            <w:tcW w:w="2345" w:type="dxa"/>
            <w:gridSpan w:val="2"/>
            <w:tcBorders>
              <w:top w:val="single" w:sz="4" w:space="0" w:color="808080" w:themeColor="background1" w:themeShade="80"/>
              <w:left w:val="single" w:sz="4" w:space="0" w:color="808080" w:themeColor="background1" w:themeShade="80"/>
              <w:bottom w:val="single" w:sz="4" w:space="0" w:color="808080" w:themeColor="background1" w:themeShade="80"/>
            </w:tcBorders>
          </w:tcPr>
          <w:p w:rsidR="006A38BB" w:rsidRDefault="000107C1">
            <w:pPr>
              <w:spacing w:before="120" w:after="120"/>
              <w:jc w:val="center"/>
              <w:rPr>
                <w:sz w:val="16"/>
                <w:szCs w:val="16"/>
              </w:rPr>
            </w:pPr>
            <w:r>
              <w:rPr>
                <w:sz w:val="16"/>
                <w:szCs w:val="16"/>
              </w:rPr>
              <w:t>Changes compared to the previous year</w:t>
            </w:r>
          </w:p>
        </w:tc>
      </w:tr>
      <w:tr w:rsidR="006A38BB">
        <w:trPr>
          <w:trHeight w:val="20"/>
          <w:jc w:val="center"/>
        </w:trPr>
        <w:tc>
          <w:tcPr>
            <w:tcW w:w="3894" w:type="dxa"/>
            <w:vMerge/>
            <w:tcBorders>
              <w:top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rsidR="006A38BB" w:rsidRDefault="006A38BB">
            <w:pPr>
              <w:spacing w:line="288" w:lineRule="auto"/>
              <w:jc w:val="center"/>
              <w:rPr>
                <w:sz w:val="16"/>
                <w:szCs w:val="16"/>
              </w:rPr>
            </w:pPr>
          </w:p>
        </w:tc>
        <w:tc>
          <w:tcPr>
            <w:tcW w:w="12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6A38BB" w:rsidRDefault="000107C1">
            <w:pPr>
              <w:spacing w:before="120" w:after="120"/>
              <w:jc w:val="center"/>
              <w:rPr>
                <w:sz w:val="16"/>
                <w:szCs w:val="16"/>
              </w:rPr>
            </w:pPr>
            <w:r>
              <w:rPr>
                <w:sz w:val="16"/>
                <w:szCs w:val="16"/>
              </w:rPr>
              <w:t>2021</w:t>
            </w:r>
          </w:p>
        </w:tc>
        <w:tc>
          <w:tcPr>
            <w:tcW w:w="12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6A38BB" w:rsidRDefault="000107C1">
            <w:pPr>
              <w:spacing w:before="120" w:after="120"/>
              <w:jc w:val="center"/>
              <w:rPr>
                <w:sz w:val="16"/>
                <w:szCs w:val="16"/>
              </w:rPr>
            </w:pPr>
            <w:r>
              <w:rPr>
                <w:sz w:val="16"/>
                <w:szCs w:val="16"/>
              </w:rPr>
              <w:t>2022</w:t>
            </w:r>
          </w:p>
        </w:tc>
        <w:tc>
          <w:tcPr>
            <w:tcW w:w="1274" w:type="dxa"/>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auto"/>
            <w:vAlign w:val="center"/>
          </w:tcPr>
          <w:p w:rsidR="006A38BB" w:rsidRDefault="000107C1">
            <w:pPr>
              <w:spacing w:before="120" w:after="120"/>
              <w:jc w:val="center"/>
              <w:rPr>
                <w:sz w:val="16"/>
                <w:szCs w:val="16"/>
              </w:rPr>
            </w:pPr>
            <w:r>
              <w:rPr>
                <w:sz w:val="16"/>
                <w:szCs w:val="16"/>
              </w:rPr>
              <w:t>2022</w:t>
            </w:r>
          </w:p>
        </w:tc>
        <w:tc>
          <w:tcPr>
            <w:tcW w:w="1174" w:type="dxa"/>
            <w:tcBorders>
              <w:top w:val="single" w:sz="4" w:space="0" w:color="808080" w:themeColor="background1" w:themeShade="80"/>
              <w:left w:val="single" w:sz="4" w:space="0" w:color="808080" w:themeColor="background1" w:themeShade="80"/>
              <w:bottom w:val="single" w:sz="4" w:space="0" w:color="808080" w:themeColor="background1" w:themeShade="80"/>
            </w:tcBorders>
            <w:vAlign w:val="center"/>
          </w:tcPr>
          <w:p w:rsidR="006A38BB" w:rsidRDefault="000107C1">
            <w:pPr>
              <w:spacing w:before="120" w:after="120"/>
              <w:jc w:val="center"/>
              <w:rPr>
                <w:sz w:val="16"/>
                <w:szCs w:val="16"/>
              </w:rPr>
            </w:pPr>
            <w:r>
              <w:rPr>
                <w:sz w:val="16"/>
                <w:szCs w:val="16"/>
              </w:rPr>
              <w:t>difference,   RSD mill.</w:t>
            </w:r>
          </w:p>
        </w:tc>
        <w:tc>
          <w:tcPr>
            <w:tcW w:w="1171" w:type="dxa"/>
            <w:tcBorders>
              <w:top w:val="single" w:sz="4" w:space="0" w:color="808080" w:themeColor="background1" w:themeShade="80"/>
              <w:left w:val="single" w:sz="4" w:space="0" w:color="808080" w:themeColor="background1" w:themeShade="80"/>
              <w:bottom w:val="single" w:sz="4" w:space="0" w:color="808080" w:themeColor="background1" w:themeShade="80"/>
            </w:tcBorders>
            <w:vAlign w:val="center"/>
          </w:tcPr>
          <w:p w:rsidR="006A38BB" w:rsidRDefault="000107C1">
            <w:pPr>
              <w:spacing w:before="120" w:after="120"/>
              <w:jc w:val="center"/>
              <w:rPr>
                <w:sz w:val="16"/>
                <w:szCs w:val="16"/>
              </w:rPr>
            </w:pPr>
            <w:r>
              <w:rPr>
                <w:sz w:val="16"/>
                <w:szCs w:val="16"/>
              </w:rPr>
              <w:t>growth rate,%</w:t>
            </w:r>
          </w:p>
        </w:tc>
      </w:tr>
      <w:tr w:rsidR="006A38BB">
        <w:trPr>
          <w:trHeight w:val="20"/>
          <w:jc w:val="center"/>
        </w:trPr>
        <w:tc>
          <w:tcPr>
            <w:tcW w:w="3894" w:type="dxa"/>
            <w:tcBorders>
              <w:top w:val="single" w:sz="4" w:space="0" w:color="808080" w:themeColor="background1" w:themeShade="80"/>
              <w:bottom w:val="nil"/>
              <w:right w:val="single" w:sz="4" w:space="0" w:color="808080" w:themeColor="background1" w:themeShade="80"/>
            </w:tcBorders>
            <w:shd w:val="clear" w:color="auto" w:fill="auto"/>
          </w:tcPr>
          <w:p w:rsidR="006A38BB" w:rsidRDefault="006A38BB">
            <w:pPr>
              <w:spacing w:line="288" w:lineRule="auto"/>
              <w:rPr>
                <w:b/>
                <w:sz w:val="16"/>
                <w:szCs w:val="16"/>
              </w:rPr>
            </w:pPr>
          </w:p>
        </w:tc>
        <w:tc>
          <w:tcPr>
            <w:tcW w:w="1290" w:type="dxa"/>
            <w:tcBorders>
              <w:top w:val="single" w:sz="4" w:space="0" w:color="808080" w:themeColor="background1" w:themeShade="80"/>
              <w:left w:val="single" w:sz="4" w:space="0" w:color="808080" w:themeColor="background1" w:themeShade="80"/>
              <w:bottom w:val="nil"/>
              <w:right w:val="nil"/>
            </w:tcBorders>
            <w:shd w:val="clear" w:color="auto" w:fill="auto"/>
            <w:vAlign w:val="bottom"/>
          </w:tcPr>
          <w:p w:rsidR="006A38BB" w:rsidRDefault="006A38BB">
            <w:pPr>
              <w:spacing w:line="288" w:lineRule="auto"/>
              <w:jc w:val="right"/>
              <w:rPr>
                <w:b/>
                <w:sz w:val="16"/>
                <w:szCs w:val="16"/>
              </w:rPr>
            </w:pPr>
          </w:p>
        </w:tc>
        <w:tc>
          <w:tcPr>
            <w:tcW w:w="1290" w:type="dxa"/>
            <w:tcBorders>
              <w:top w:val="single" w:sz="4" w:space="0" w:color="808080" w:themeColor="background1" w:themeShade="80"/>
              <w:left w:val="nil"/>
              <w:bottom w:val="nil"/>
              <w:right w:val="nil"/>
            </w:tcBorders>
            <w:shd w:val="clear" w:color="auto" w:fill="auto"/>
            <w:vAlign w:val="bottom"/>
          </w:tcPr>
          <w:p w:rsidR="006A38BB" w:rsidRDefault="006A38BB">
            <w:pPr>
              <w:spacing w:line="288" w:lineRule="auto"/>
              <w:jc w:val="right"/>
              <w:rPr>
                <w:b/>
                <w:sz w:val="16"/>
                <w:szCs w:val="16"/>
              </w:rPr>
            </w:pPr>
          </w:p>
        </w:tc>
        <w:tc>
          <w:tcPr>
            <w:tcW w:w="1274" w:type="dxa"/>
            <w:tcBorders>
              <w:top w:val="single" w:sz="4" w:space="0" w:color="808080" w:themeColor="background1" w:themeShade="80"/>
              <w:left w:val="nil"/>
              <w:bottom w:val="nil"/>
              <w:right w:val="nil"/>
            </w:tcBorders>
            <w:shd w:val="clear" w:color="auto" w:fill="auto"/>
            <w:vAlign w:val="bottom"/>
          </w:tcPr>
          <w:p w:rsidR="006A38BB" w:rsidRDefault="006A38BB">
            <w:pPr>
              <w:spacing w:line="288" w:lineRule="auto"/>
              <w:jc w:val="right"/>
              <w:rPr>
                <w:b/>
                <w:sz w:val="16"/>
                <w:szCs w:val="16"/>
              </w:rPr>
            </w:pPr>
          </w:p>
        </w:tc>
        <w:tc>
          <w:tcPr>
            <w:tcW w:w="1174" w:type="dxa"/>
            <w:tcBorders>
              <w:top w:val="single" w:sz="4" w:space="0" w:color="808080" w:themeColor="background1" w:themeShade="80"/>
              <w:left w:val="nil"/>
              <w:bottom w:val="nil"/>
              <w:right w:val="nil"/>
            </w:tcBorders>
          </w:tcPr>
          <w:p w:rsidR="006A38BB" w:rsidRDefault="006A38BB">
            <w:pPr>
              <w:spacing w:line="288" w:lineRule="auto"/>
              <w:jc w:val="right"/>
              <w:rPr>
                <w:b/>
                <w:sz w:val="16"/>
                <w:szCs w:val="16"/>
              </w:rPr>
            </w:pPr>
          </w:p>
        </w:tc>
        <w:tc>
          <w:tcPr>
            <w:tcW w:w="1171" w:type="dxa"/>
            <w:tcBorders>
              <w:top w:val="single" w:sz="4" w:space="0" w:color="808080" w:themeColor="background1" w:themeShade="80"/>
              <w:left w:val="nil"/>
              <w:bottom w:val="nil"/>
              <w:right w:val="nil"/>
            </w:tcBorders>
          </w:tcPr>
          <w:p w:rsidR="006A38BB" w:rsidRDefault="006A38BB">
            <w:pPr>
              <w:spacing w:line="288" w:lineRule="auto"/>
              <w:jc w:val="right"/>
              <w:rPr>
                <w:b/>
                <w:sz w:val="16"/>
                <w:szCs w:val="16"/>
              </w:rPr>
            </w:pPr>
          </w:p>
        </w:tc>
      </w:tr>
      <w:tr w:rsidR="006A38BB">
        <w:trPr>
          <w:trHeight w:val="20"/>
          <w:jc w:val="center"/>
        </w:trPr>
        <w:tc>
          <w:tcPr>
            <w:tcW w:w="3894" w:type="dxa"/>
            <w:tcBorders>
              <w:top w:val="nil"/>
              <w:bottom w:val="nil"/>
              <w:right w:val="single" w:sz="4" w:space="0" w:color="808080" w:themeColor="background1" w:themeShade="80"/>
            </w:tcBorders>
            <w:shd w:val="clear" w:color="auto" w:fill="auto"/>
          </w:tcPr>
          <w:p w:rsidR="006A38BB" w:rsidRDefault="000107C1">
            <w:pPr>
              <w:spacing w:line="288" w:lineRule="auto"/>
              <w:rPr>
                <w:b/>
                <w:sz w:val="16"/>
                <w:szCs w:val="16"/>
              </w:rPr>
            </w:pPr>
            <w:r>
              <w:rPr>
                <w:b/>
                <w:sz w:val="16"/>
                <w:szCs w:val="16"/>
              </w:rPr>
              <w:t>Expenditures for environmental protection</w:t>
            </w:r>
          </w:p>
        </w:tc>
        <w:tc>
          <w:tcPr>
            <w:tcW w:w="1290" w:type="dxa"/>
            <w:tcBorders>
              <w:top w:val="nil"/>
              <w:left w:val="single" w:sz="4" w:space="0" w:color="808080" w:themeColor="background1" w:themeShade="80"/>
              <w:bottom w:val="nil"/>
              <w:right w:val="nil"/>
            </w:tcBorders>
            <w:shd w:val="clear" w:color="auto" w:fill="auto"/>
          </w:tcPr>
          <w:p w:rsidR="006A38BB" w:rsidRDefault="000107C1">
            <w:pPr>
              <w:spacing w:line="288" w:lineRule="auto"/>
              <w:ind w:right="284"/>
              <w:jc w:val="right"/>
              <w:rPr>
                <w:b/>
                <w:bCs/>
                <w:color w:val="000000"/>
                <w:sz w:val="16"/>
                <w:szCs w:val="16"/>
              </w:rPr>
            </w:pPr>
            <w:r>
              <w:rPr>
                <w:bCs/>
                <w:color w:val="000000"/>
                <w:sz w:val="16"/>
                <w:szCs w:val="16"/>
              </w:rPr>
              <w:t>68676.3</w:t>
            </w:r>
          </w:p>
        </w:tc>
        <w:tc>
          <w:tcPr>
            <w:tcW w:w="1290" w:type="dxa"/>
            <w:tcBorders>
              <w:top w:val="nil"/>
              <w:left w:val="nil"/>
              <w:bottom w:val="nil"/>
              <w:right w:val="nil"/>
            </w:tcBorders>
            <w:shd w:val="clear" w:color="auto" w:fill="auto"/>
          </w:tcPr>
          <w:p w:rsidR="006A38BB" w:rsidRDefault="000107C1">
            <w:pPr>
              <w:spacing w:line="288" w:lineRule="auto"/>
              <w:ind w:right="284"/>
              <w:jc w:val="right"/>
              <w:rPr>
                <w:b/>
                <w:bCs/>
                <w:color w:val="000000"/>
                <w:sz w:val="16"/>
                <w:szCs w:val="16"/>
              </w:rPr>
            </w:pPr>
            <w:r>
              <w:rPr>
                <w:bCs/>
                <w:color w:val="000000"/>
                <w:sz w:val="16"/>
                <w:szCs w:val="16"/>
              </w:rPr>
              <w:t>69251.2</w:t>
            </w:r>
          </w:p>
        </w:tc>
        <w:tc>
          <w:tcPr>
            <w:tcW w:w="1274" w:type="dxa"/>
            <w:tcBorders>
              <w:top w:val="nil"/>
              <w:left w:val="nil"/>
              <w:bottom w:val="nil"/>
              <w:right w:val="nil"/>
            </w:tcBorders>
            <w:shd w:val="clear" w:color="auto" w:fill="auto"/>
          </w:tcPr>
          <w:p w:rsidR="006A38BB" w:rsidRDefault="000107C1">
            <w:pPr>
              <w:spacing w:line="288" w:lineRule="auto"/>
              <w:ind w:right="284"/>
              <w:jc w:val="right"/>
              <w:rPr>
                <w:b/>
                <w:color w:val="000000"/>
                <w:sz w:val="16"/>
                <w:szCs w:val="16"/>
              </w:rPr>
            </w:pPr>
            <w:r>
              <w:rPr>
                <w:bCs/>
                <w:color w:val="000000"/>
                <w:sz w:val="16"/>
                <w:szCs w:val="16"/>
              </w:rPr>
              <w:t>100.0</w:t>
            </w:r>
          </w:p>
        </w:tc>
        <w:tc>
          <w:tcPr>
            <w:tcW w:w="1174" w:type="dxa"/>
            <w:tcBorders>
              <w:top w:val="nil"/>
              <w:left w:val="nil"/>
              <w:bottom w:val="nil"/>
              <w:right w:val="nil"/>
            </w:tcBorders>
          </w:tcPr>
          <w:p w:rsidR="006A38BB" w:rsidRDefault="000107C1">
            <w:pPr>
              <w:spacing w:line="288" w:lineRule="auto"/>
              <w:ind w:right="284"/>
              <w:jc w:val="right"/>
              <w:rPr>
                <w:b/>
                <w:color w:val="000000"/>
                <w:sz w:val="16"/>
                <w:szCs w:val="16"/>
              </w:rPr>
            </w:pPr>
            <w:r>
              <w:rPr>
                <w:bCs/>
                <w:color w:val="000000"/>
                <w:sz w:val="16"/>
                <w:szCs w:val="16"/>
              </w:rPr>
              <w:t>574.8</w:t>
            </w:r>
          </w:p>
        </w:tc>
        <w:tc>
          <w:tcPr>
            <w:tcW w:w="1171" w:type="dxa"/>
            <w:tcBorders>
              <w:top w:val="nil"/>
              <w:left w:val="nil"/>
              <w:bottom w:val="nil"/>
              <w:right w:val="nil"/>
            </w:tcBorders>
          </w:tcPr>
          <w:p w:rsidR="006A38BB" w:rsidRDefault="000107C1">
            <w:pPr>
              <w:spacing w:line="288" w:lineRule="auto"/>
              <w:ind w:right="284"/>
              <w:jc w:val="right"/>
              <w:rPr>
                <w:b/>
                <w:color w:val="000000"/>
                <w:sz w:val="16"/>
                <w:szCs w:val="16"/>
              </w:rPr>
            </w:pPr>
            <w:r>
              <w:rPr>
                <w:bCs/>
                <w:color w:val="000000"/>
                <w:sz w:val="16"/>
                <w:szCs w:val="16"/>
              </w:rPr>
              <w:t>0.8</w:t>
            </w:r>
          </w:p>
        </w:tc>
      </w:tr>
      <w:tr w:rsidR="006A38BB">
        <w:trPr>
          <w:trHeight w:val="20"/>
          <w:jc w:val="center"/>
        </w:trPr>
        <w:tc>
          <w:tcPr>
            <w:tcW w:w="3894" w:type="dxa"/>
            <w:tcBorders>
              <w:top w:val="nil"/>
              <w:bottom w:val="nil"/>
              <w:right w:val="single" w:sz="4" w:space="0" w:color="808080" w:themeColor="background1" w:themeShade="80"/>
            </w:tcBorders>
            <w:shd w:val="clear" w:color="auto" w:fill="auto"/>
          </w:tcPr>
          <w:p w:rsidR="006A38BB" w:rsidRDefault="000107C1">
            <w:pPr>
              <w:spacing w:line="288" w:lineRule="auto"/>
              <w:rPr>
                <w:sz w:val="16"/>
                <w:szCs w:val="16"/>
              </w:rPr>
            </w:pPr>
            <w:r>
              <w:rPr>
                <w:sz w:val="16"/>
                <w:szCs w:val="16"/>
              </w:rPr>
              <w:t>Air protection</w:t>
            </w:r>
          </w:p>
        </w:tc>
        <w:tc>
          <w:tcPr>
            <w:tcW w:w="1290" w:type="dxa"/>
            <w:tcBorders>
              <w:top w:val="nil"/>
              <w:left w:val="single" w:sz="4" w:space="0" w:color="808080" w:themeColor="background1" w:themeShade="80"/>
              <w:bottom w:val="nil"/>
              <w:right w:val="nil"/>
            </w:tcBorders>
            <w:shd w:val="clear" w:color="auto" w:fill="auto"/>
          </w:tcPr>
          <w:p w:rsidR="006A38BB" w:rsidRDefault="000107C1">
            <w:pPr>
              <w:spacing w:line="288" w:lineRule="auto"/>
              <w:ind w:right="284"/>
              <w:jc w:val="right"/>
              <w:rPr>
                <w:color w:val="000000"/>
                <w:sz w:val="16"/>
                <w:szCs w:val="16"/>
              </w:rPr>
            </w:pPr>
            <w:r>
              <w:rPr>
                <w:bCs/>
                <w:color w:val="000000"/>
                <w:sz w:val="16"/>
                <w:szCs w:val="16"/>
              </w:rPr>
              <w:t>13707.0</w:t>
            </w:r>
          </w:p>
        </w:tc>
        <w:tc>
          <w:tcPr>
            <w:tcW w:w="1290" w:type="dxa"/>
            <w:tcBorders>
              <w:top w:val="nil"/>
              <w:left w:val="nil"/>
              <w:bottom w:val="nil"/>
              <w:right w:val="nil"/>
            </w:tcBorders>
            <w:shd w:val="clear" w:color="auto" w:fill="auto"/>
          </w:tcPr>
          <w:p w:rsidR="006A38BB" w:rsidRDefault="000107C1">
            <w:pPr>
              <w:spacing w:line="288" w:lineRule="auto"/>
              <w:ind w:right="284"/>
              <w:jc w:val="right"/>
              <w:rPr>
                <w:bCs/>
                <w:color w:val="000000"/>
                <w:sz w:val="16"/>
                <w:szCs w:val="16"/>
              </w:rPr>
            </w:pPr>
            <w:r>
              <w:rPr>
                <w:bCs/>
                <w:color w:val="000000"/>
                <w:sz w:val="16"/>
                <w:szCs w:val="16"/>
              </w:rPr>
              <w:t>17077.1</w:t>
            </w:r>
          </w:p>
        </w:tc>
        <w:tc>
          <w:tcPr>
            <w:tcW w:w="1274" w:type="dxa"/>
            <w:tcBorders>
              <w:top w:val="nil"/>
              <w:left w:val="nil"/>
              <w:bottom w:val="nil"/>
              <w:right w:val="nil"/>
            </w:tcBorders>
            <w:shd w:val="clear" w:color="auto" w:fill="auto"/>
          </w:tcPr>
          <w:p w:rsidR="006A38BB" w:rsidRDefault="000107C1">
            <w:pPr>
              <w:spacing w:line="288" w:lineRule="auto"/>
              <w:ind w:right="284"/>
              <w:jc w:val="right"/>
              <w:rPr>
                <w:color w:val="000000"/>
                <w:sz w:val="16"/>
                <w:szCs w:val="16"/>
              </w:rPr>
            </w:pPr>
            <w:r>
              <w:rPr>
                <w:bCs/>
                <w:color w:val="000000"/>
                <w:sz w:val="16"/>
                <w:szCs w:val="16"/>
              </w:rPr>
              <w:t>24.7</w:t>
            </w:r>
          </w:p>
        </w:tc>
        <w:tc>
          <w:tcPr>
            <w:tcW w:w="1174" w:type="dxa"/>
            <w:tcBorders>
              <w:top w:val="nil"/>
              <w:left w:val="nil"/>
              <w:bottom w:val="nil"/>
              <w:right w:val="nil"/>
            </w:tcBorders>
          </w:tcPr>
          <w:p w:rsidR="006A38BB" w:rsidRDefault="000107C1">
            <w:pPr>
              <w:spacing w:line="288" w:lineRule="auto"/>
              <w:ind w:right="284"/>
              <w:jc w:val="right"/>
              <w:rPr>
                <w:color w:val="000000"/>
                <w:sz w:val="16"/>
                <w:szCs w:val="16"/>
              </w:rPr>
            </w:pPr>
            <w:r>
              <w:rPr>
                <w:bCs/>
                <w:color w:val="000000"/>
                <w:sz w:val="16"/>
                <w:szCs w:val="16"/>
              </w:rPr>
              <w:t>3370.2</w:t>
            </w:r>
          </w:p>
        </w:tc>
        <w:tc>
          <w:tcPr>
            <w:tcW w:w="1171" w:type="dxa"/>
            <w:tcBorders>
              <w:top w:val="nil"/>
              <w:left w:val="nil"/>
              <w:bottom w:val="nil"/>
              <w:right w:val="nil"/>
            </w:tcBorders>
          </w:tcPr>
          <w:p w:rsidR="006A38BB" w:rsidRDefault="000107C1">
            <w:pPr>
              <w:spacing w:line="288" w:lineRule="auto"/>
              <w:ind w:right="284"/>
              <w:jc w:val="right"/>
              <w:rPr>
                <w:color w:val="000000"/>
                <w:sz w:val="16"/>
                <w:szCs w:val="16"/>
              </w:rPr>
            </w:pPr>
            <w:r>
              <w:rPr>
                <w:bCs/>
                <w:color w:val="000000"/>
                <w:sz w:val="16"/>
                <w:szCs w:val="16"/>
              </w:rPr>
              <w:t>24.6</w:t>
            </w:r>
          </w:p>
        </w:tc>
      </w:tr>
      <w:tr w:rsidR="006A38BB">
        <w:trPr>
          <w:trHeight w:val="20"/>
          <w:jc w:val="center"/>
        </w:trPr>
        <w:tc>
          <w:tcPr>
            <w:tcW w:w="3894" w:type="dxa"/>
            <w:tcBorders>
              <w:top w:val="nil"/>
              <w:bottom w:val="nil"/>
              <w:right w:val="single" w:sz="4" w:space="0" w:color="808080" w:themeColor="background1" w:themeShade="80"/>
            </w:tcBorders>
            <w:shd w:val="clear" w:color="auto" w:fill="auto"/>
          </w:tcPr>
          <w:p w:rsidR="006A38BB" w:rsidRDefault="000107C1">
            <w:pPr>
              <w:spacing w:line="288" w:lineRule="auto"/>
              <w:rPr>
                <w:sz w:val="16"/>
                <w:szCs w:val="16"/>
              </w:rPr>
            </w:pPr>
            <w:r>
              <w:rPr>
                <w:sz w:val="16"/>
                <w:szCs w:val="16"/>
              </w:rPr>
              <w:t>Wastewater management</w:t>
            </w:r>
          </w:p>
        </w:tc>
        <w:tc>
          <w:tcPr>
            <w:tcW w:w="1290" w:type="dxa"/>
            <w:tcBorders>
              <w:top w:val="nil"/>
              <w:left w:val="single" w:sz="4" w:space="0" w:color="808080" w:themeColor="background1" w:themeShade="80"/>
              <w:bottom w:val="nil"/>
              <w:right w:val="nil"/>
            </w:tcBorders>
            <w:shd w:val="clear" w:color="auto" w:fill="auto"/>
          </w:tcPr>
          <w:p w:rsidR="006A38BB" w:rsidRDefault="000107C1">
            <w:pPr>
              <w:spacing w:line="288" w:lineRule="auto"/>
              <w:ind w:right="284"/>
              <w:jc w:val="right"/>
              <w:rPr>
                <w:color w:val="000000"/>
                <w:sz w:val="16"/>
                <w:szCs w:val="16"/>
              </w:rPr>
            </w:pPr>
            <w:r>
              <w:rPr>
                <w:bCs/>
                <w:color w:val="000000"/>
                <w:sz w:val="16"/>
                <w:szCs w:val="16"/>
              </w:rPr>
              <w:t>5889.1</w:t>
            </w:r>
          </w:p>
        </w:tc>
        <w:tc>
          <w:tcPr>
            <w:tcW w:w="1290" w:type="dxa"/>
            <w:tcBorders>
              <w:top w:val="nil"/>
              <w:left w:val="nil"/>
              <w:bottom w:val="nil"/>
              <w:right w:val="nil"/>
            </w:tcBorders>
            <w:shd w:val="clear" w:color="auto" w:fill="auto"/>
          </w:tcPr>
          <w:p w:rsidR="006A38BB" w:rsidRDefault="000107C1">
            <w:pPr>
              <w:spacing w:line="288" w:lineRule="auto"/>
              <w:ind w:right="284"/>
              <w:jc w:val="right"/>
              <w:rPr>
                <w:bCs/>
                <w:color w:val="000000"/>
                <w:sz w:val="16"/>
                <w:szCs w:val="16"/>
              </w:rPr>
            </w:pPr>
            <w:r>
              <w:rPr>
                <w:bCs/>
                <w:color w:val="000000"/>
                <w:sz w:val="16"/>
                <w:szCs w:val="16"/>
              </w:rPr>
              <w:t>5721.3</w:t>
            </w:r>
          </w:p>
        </w:tc>
        <w:tc>
          <w:tcPr>
            <w:tcW w:w="1274" w:type="dxa"/>
            <w:tcBorders>
              <w:top w:val="nil"/>
              <w:left w:val="nil"/>
              <w:bottom w:val="nil"/>
              <w:right w:val="nil"/>
            </w:tcBorders>
            <w:shd w:val="clear" w:color="auto" w:fill="auto"/>
          </w:tcPr>
          <w:p w:rsidR="006A38BB" w:rsidRDefault="000107C1">
            <w:pPr>
              <w:spacing w:line="288" w:lineRule="auto"/>
              <w:ind w:right="284"/>
              <w:jc w:val="right"/>
              <w:rPr>
                <w:color w:val="000000"/>
                <w:sz w:val="16"/>
                <w:szCs w:val="16"/>
              </w:rPr>
            </w:pPr>
            <w:r>
              <w:rPr>
                <w:bCs/>
                <w:color w:val="000000"/>
                <w:sz w:val="16"/>
                <w:szCs w:val="16"/>
              </w:rPr>
              <w:t>8.3</w:t>
            </w:r>
          </w:p>
        </w:tc>
        <w:tc>
          <w:tcPr>
            <w:tcW w:w="1174" w:type="dxa"/>
            <w:tcBorders>
              <w:top w:val="nil"/>
              <w:left w:val="nil"/>
              <w:bottom w:val="nil"/>
              <w:right w:val="nil"/>
            </w:tcBorders>
          </w:tcPr>
          <w:p w:rsidR="006A38BB" w:rsidRDefault="000107C1">
            <w:pPr>
              <w:spacing w:line="288" w:lineRule="auto"/>
              <w:ind w:right="284"/>
              <w:jc w:val="right"/>
              <w:rPr>
                <w:color w:val="000000"/>
                <w:sz w:val="16"/>
                <w:szCs w:val="16"/>
              </w:rPr>
            </w:pPr>
            <w:r>
              <w:rPr>
                <w:bCs/>
                <w:color w:val="000000"/>
                <w:sz w:val="16"/>
                <w:szCs w:val="16"/>
              </w:rPr>
              <w:t>-167.8</w:t>
            </w:r>
          </w:p>
        </w:tc>
        <w:tc>
          <w:tcPr>
            <w:tcW w:w="1171" w:type="dxa"/>
            <w:tcBorders>
              <w:top w:val="nil"/>
              <w:left w:val="nil"/>
              <w:bottom w:val="nil"/>
              <w:right w:val="nil"/>
            </w:tcBorders>
          </w:tcPr>
          <w:p w:rsidR="006A38BB" w:rsidRDefault="000107C1">
            <w:pPr>
              <w:spacing w:line="288" w:lineRule="auto"/>
              <w:ind w:right="284"/>
              <w:jc w:val="right"/>
              <w:rPr>
                <w:color w:val="000000"/>
                <w:sz w:val="16"/>
                <w:szCs w:val="16"/>
              </w:rPr>
            </w:pPr>
            <w:r>
              <w:rPr>
                <w:bCs/>
                <w:color w:val="000000"/>
                <w:sz w:val="16"/>
                <w:szCs w:val="16"/>
              </w:rPr>
              <w:t>-2.8</w:t>
            </w:r>
          </w:p>
        </w:tc>
      </w:tr>
      <w:tr w:rsidR="006A38BB">
        <w:trPr>
          <w:trHeight w:val="20"/>
          <w:jc w:val="center"/>
        </w:trPr>
        <w:tc>
          <w:tcPr>
            <w:tcW w:w="3894" w:type="dxa"/>
            <w:tcBorders>
              <w:top w:val="nil"/>
              <w:bottom w:val="nil"/>
              <w:right w:val="single" w:sz="4" w:space="0" w:color="808080" w:themeColor="background1" w:themeShade="80"/>
            </w:tcBorders>
            <w:shd w:val="clear" w:color="auto" w:fill="auto"/>
          </w:tcPr>
          <w:p w:rsidR="006A38BB" w:rsidRDefault="000107C1">
            <w:pPr>
              <w:spacing w:line="288" w:lineRule="auto"/>
              <w:rPr>
                <w:sz w:val="16"/>
                <w:szCs w:val="16"/>
              </w:rPr>
            </w:pPr>
            <w:r>
              <w:rPr>
                <w:sz w:val="16"/>
                <w:szCs w:val="16"/>
              </w:rPr>
              <w:t>Waste management</w:t>
            </w:r>
          </w:p>
        </w:tc>
        <w:tc>
          <w:tcPr>
            <w:tcW w:w="1290" w:type="dxa"/>
            <w:tcBorders>
              <w:top w:val="nil"/>
              <w:left w:val="single" w:sz="4" w:space="0" w:color="808080" w:themeColor="background1" w:themeShade="80"/>
              <w:bottom w:val="nil"/>
              <w:right w:val="nil"/>
            </w:tcBorders>
            <w:shd w:val="clear" w:color="auto" w:fill="auto"/>
          </w:tcPr>
          <w:p w:rsidR="006A38BB" w:rsidRDefault="000107C1">
            <w:pPr>
              <w:spacing w:line="288" w:lineRule="auto"/>
              <w:ind w:right="284"/>
              <w:jc w:val="right"/>
              <w:rPr>
                <w:color w:val="000000"/>
                <w:sz w:val="16"/>
                <w:szCs w:val="16"/>
              </w:rPr>
            </w:pPr>
            <w:r>
              <w:rPr>
                <w:bCs/>
                <w:color w:val="000000"/>
                <w:sz w:val="16"/>
                <w:szCs w:val="16"/>
              </w:rPr>
              <w:t>42851.5</w:t>
            </w:r>
          </w:p>
        </w:tc>
        <w:tc>
          <w:tcPr>
            <w:tcW w:w="1290" w:type="dxa"/>
            <w:tcBorders>
              <w:top w:val="nil"/>
              <w:left w:val="nil"/>
              <w:bottom w:val="nil"/>
              <w:right w:val="nil"/>
            </w:tcBorders>
            <w:shd w:val="clear" w:color="auto" w:fill="auto"/>
          </w:tcPr>
          <w:p w:rsidR="006A38BB" w:rsidRDefault="000107C1">
            <w:pPr>
              <w:spacing w:line="288" w:lineRule="auto"/>
              <w:ind w:right="284"/>
              <w:jc w:val="right"/>
              <w:rPr>
                <w:bCs/>
                <w:color w:val="000000"/>
                <w:sz w:val="16"/>
                <w:szCs w:val="16"/>
              </w:rPr>
            </w:pPr>
            <w:r>
              <w:rPr>
                <w:bCs/>
                <w:color w:val="000000"/>
                <w:sz w:val="16"/>
                <w:szCs w:val="16"/>
              </w:rPr>
              <w:t>38193.8</w:t>
            </w:r>
          </w:p>
        </w:tc>
        <w:tc>
          <w:tcPr>
            <w:tcW w:w="1274" w:type="dxa"/>
            <w:tcBorders>
              <w:top w:val="nil"/>
              <w:left w:val="nil"/>
              <w:bottom w:val="nil"/>
              <w:right w:val="nil"/>
            </w:tcBorders>
            <w:shd w:val="clear" w:color="auto" w:fill="auto"/>
          </w:tcPr>
          <w:p w:rsidR="006A38BB" w:rsidRDefault="000107C1">
            <w:pPr>
              <w:spacing w:line="288" w:lineRule="auto"/>
              <w:ind w:right="284"/>
              <w:jc w:val="right"/>
              <w:rPr>
                <w:color w:val="000000"/>
                <w:sz w:val="16"/>
                <w:szCs w:val="16"/>
              </w:rPr>
            </w:pPr>
            <w:r>
              <w:rPr>
                <w:bCs/>
                <w:color w:val="000000"/>
                <w:sz w:val="16"/>
                <w:szCs w:val="16"/>
              </w:rPr>
              <w:t>55.2</w:t>
            </w:r>
          </w:p>
        </w:tc>
        <w:tc>
          <w:tcPr>
            <w:tcW w:w="1174" w:type="dxa"/>
            <w:tcBorders>
              <w:top w:val="nil"/>
              <w:left w:val="nil"/>
              <w:bottom w:val="nil"/>
              <w:right w:val="nil"/>
            </w:tcBorders>
          </w:tcPr>
          <w:p w:rsidR="006A38BB" w:rsidRDefault="000107C1">
            <w:pPr>
              <w:spacing w:line="288" w:lineRule="auto"/>
              <w:ind w:right="284"/>
              <w:jc w:val="right"/>
              <w:rPr>
                <w:color w:val="000000"/>
                <w:sz w:val="16"/>
                <w:szCs w:val="16"/>
              </w:rPr>
            </w:pPr>
            <w:r>
              <w:rPr>
                <w:bCs/>
                <w:color w:val="000000"/>
                <w:sz w:val="16"/>
                <w:szCs w:val="16"/>
              </w:rPr>
              <w:t>-4657.7</w:t>
            </w:r>
          </w:p>
        </w:tc>
        <w:tc>
          <w:tcPr>
            <w:tcW w:w="1171" w:type="dxa"/>
            <w:tcBorders>
              <w:top w:val="nil"/>
              <w:left w:val="nil"/>
              <w:bottom w:val="nil"/>
              <w:right w:val="nil"/>
            </w:tcBorders>
          </w:tcPr>
          <w:p w:rsidR="006A38BB" w:rsidRDefault="000107C1">
            <w:pPr>
              <w:spacing w:line="288" w:lineRule="auto"/>
              <w:ind w:right="284"/>
              <w:jc w:val="right"/>
              <w:rPr>
                <w:color w:val="000000"/>
                <w:sz w:val="16"/>
                <w:szCs w:val="16"/>
              </w:rPr>
            </w:pPr>
            <w:r>
              <w:rPr>
                <w:bCs/>
                <w:color w:val="000000"/>
                <w:sz w:val="16"/>
                <w:szCs w:val="16"/>
              </w:rPr>
              <w:t>-10.9</w:t>
            </w:r>
          </w:p>
        </w:tc>
      </w:tr>
      <w:tr w:rsidR="006A38BB">
        <w:trPr>
          <w:trHeight w:val="20"/>
          <w:jc w:val="center"/>
        </w:trPr>
        <w:tc>
          <w:tcPr>
            <w:tcW w:w="3894" w:type="dxa"/>
            <w:tcBorders>
              <w:top w:val="nil"/>
              <w:bottom w:val="nil"/>
              <w:right w:val="single" w:sz="4" w:space="0" w:color="808080" w:themeColor="background1" w:themeShade="80"/>
            </w:tcBorders>
            <w:shd w:val="clear" w:color="auto" w:fill="auto"/>
          </w:tcPr>
          <w:p w:rsidR="006A38BB" w:rsidRDefault="000107C1">
            <w:pPr>
              <w:spacing w:line="288" w:lineRule="auto"/>
              <w:rPr>
                <w:sz w:val="16"/>
                <w:szCs w:val="16"/>
              </w:rPr>
            </w:pPr>
            <w:r>
              <w:rPr>
                <w:sz w:val="16"/>
                <w:szCs w:val="16"/>
              </w:rPr>
              <w:t>Other</w:t>
            </w:r>
            <w:r>
              <w:rPr>
                <w:sz w:val="16"/>
                <w:szCs w:val="16"/>
                <w:vertAlign w:val="superscript"/>
              </w:rPr>
              <w:t>2)</w:t>
            </w:r>
          </w:p>
        </w:tc>
        <w:tc>
          <w:tcPr>
            <w:tcW w:w="1290" w:type="dxa"/>
            <w:tcBorders>
              <w:top w:val="nil"/>
              <w:left w:val="single" w:sz="4" w:space="0" w:color="808080" w:themeColor="background1" w:themeShade="80"/>
              <w:bottom w:val="nil"/>
              <w:right w:val="nil"/>
            </w:tcBorders>
            <w:shd w:val="clear" w:color="auto" w:fill="auto"/>
          </w:tcPr>
          <w:p w:rsidR="006A38BB" w:rsidRDefault="000107C1">
            <w:pPr>
              <w:spacing w:line="288" w:lineRule="auto"/>
              <w:ind w:right="284"/>
              <w:jc w:val="right"/>
              <w:rPr>
                <w:color w:val="000000"/>
                <w:sz w:val="16"/>
                <w:szCs w:val="16"/>
              </w:rPr>
            </w:pPr>
            <w:r>
              <w:rPr>
                <w:bCs/>
                <w:color w:val="000000"/>
                <w:sz w:val="16"/>
                <w:szCs w:val="16"/>
              </w:rPr>
              <w:t>6228.8</w:t>
            </w:r>
          </w:p>
        </w:tc>
        <w:tc>
          <w:tcPr>
            <w:tcW w:w="1290" w:type="dxa"/>
            <w:tcBorders>
              <w:top w:val="nil"/>
              <w:left w:val="nil"/>
              <w:bottom w:val="nil"/>
              <w:right w:val="nil"/>
            </w:tcBorders>
            <w:shd w:val="clear" w:color="auto" w:fill="auto"/>
          </w:tcPr>
          <w:p w:rsidR="006A38BB" w:rsidRDefault="000107C1">
            <w:pPr>
              <w:spacing w:line="288" w:lineRule="auto"/>
              <w:ind w:right="284"/>
              <w:jc w:val="right"/>
              <w:rPr>
                <w:bCs/>
                <w:color w:val="000000"/>
                <w:sz w:val="16"/>
                <w:szCs w:val="16"/>
              </w:rPr>
            </w:pPr>
            <w:r>
              <w:rPr>
                <w:bCs/>
                <w:color w:val="000000"/>
                <w:sz w:val="16"/>
                <w:szCs w:val="16"/>
              </w:rPr>
              <w:t>8259.0</w:t>
            </w:r>
          </w:p>
        </w:tc>
        <w:tc>
          <w:tcPr>
            <w:tcW w:w="1274" w:type="dxa"/>
            <w:tcBorders>
              <w:top w:val="nil"/>
              <w:left w:val="nil"/>
              <w:bottom w:val="nil"/>
              <w:right w:val="nil"/>
            </w:tcBorders>
            <w:shd w:val="clear" w:color="auto" w:fill="auto"/>
          </w:tcPr>
          <w:p w:rsidR="006A38BB" w:rsidRDefault="000107C1">
            <w:pPr>
              <w:spacing w:line="288" w:lineRule="auto"/>
              <w:ind w:right="284"/>
              <w:jc w:val="right"/>
              <w:rPr>
                <w:color w:val="000000"/>
                <w:sz w:val="16"/>
                <w:szCs w:val="16"/>
              </w:rPr>
            </w:pPr>
            <w:r>
              <w:rPr>
                <w:bCs/>
                <w:color w:val="000000"/>
                <w:sz w:val="16"/>
                <w:szCs w:val="16"/>
              </w:rPr>
              <w:t>11.9</w:t>
            </w:r>
          </w:p>
        </w:tc>
        <w:tc>
          <w:tcPr>
            <w:tcW w:w="1174" w:type="dxa"/>
            <w:tcBorders>
              <w:top w:val="nil"/>
              <w:left w:val="nil"/>
              <w:bottom w:val="nil"/>
              <w:right w:val="nil"/>
            </w:tcBorders>
          </w:tcPr>
          <w:p w:rsidR="006A38BB" w:rsidRDefault="000107C1">
            <w:pPr>
              <w:spacing w:line="288" w:lineRule="auto"/>
              <w:ind w:right="284"/>
              <w:jc w:val="right"/>
              <w:rPr>
                <w:color w:val="000000"/>
                <w:sz w:val="16"/>
                <w:szCs w:val="16"/>
              </w:rPr>
            </w:pPr>
            <w:r>
              <w:rPr>
                <w:bCs/>
                <w:color w:val="000000"/>
                <w:sz w:val="16"/>
                <w:szCs w:val="16"/>
              </w:rPr>
              <w:t>2030.1</w:t>
            </w:r>
          </w:p>
        </w:tc>
        <w:tc>
          <w:tcPr>
            <w:tcW w:w="1171" w:type="dxa"/>
            <w:tcBorders>
              <w:top w:val="nil"/>
              <w:left w:val="nil"/>
              <w:bottom w:val="nil"/>
              <w:right w:val="nil"/>
            </w:tcBorders>
          </w:tcPr>
          <w:p w:rsidR="006A38BB" w:rsidRDefault="000107C1">
            <w:pPr>
              <w:spacing w:line="288" w:lineRule="auto"/>
              <w:ind w:right="284"/>
              <w:jc w:val="right"/>
              <w:rPr>
                <w:color w:val="000000"/>
                <w:sz w:val="16"/>
                <w:szCs w:val="16"/>
              </w:rPr>
            </w:pPr>
            <w:r>
              <w:rPr>
                <w:bCs/>
                <w:color w:val="000000"/>
                <w:sz w:val="16"/>
                <w:szCs w:val="16"/>
              </w:rPr>
              <w:t>32.6</w:t>
            </w:r>
          </w:p>
        </w:tc>
      </w:tr>
      <w:tr w:rsidR="006A38BB">
        <w:trPr>
          <w:trHeight w:val="20"/>
          <w:jc w:val="center"/>
        </w:trPr>
        <w:tc>
          <w:tcPr>
            <w:tcW w:w="3894" w:type="dxa"/>
            <w:tcBorders>
              <w:top w:val="nil"/>
              <w:bottom w:val="nil"/>
              <w:right w:val="single" w:sz="4" w:space="0" w:color="808080" w:themeColor="background1" w:themeShade="80"/>
            </w:tcBorders>
            <w:shd w:val="clear" w:color="auto" w:fill="auto"/>
            <w:vAlign w:val="bottom"/>
          </w:tcPr>
          <w:p w:rsidR="006A38BB" w:rsidRDefault="006A38BB">
            <w:pPr>
              <w:spacing w:line="288" w:lineRule="auto"/>
              <w:rPr>
                <w:sz w:val="16"/>
                <w:szCs w:val="16"/>
              </w:rPr>
            </w:pPr>
          </w:p>
        </w:tc>
        <w:tc>
          <w:tcPr>
            <w:tcW w:w="1290" w:type="dxa"/>
            <w:tcBorders>
              <w:top w:val="nil"/>
              <w:left w:val="single" w:sz="4" w:space="0" w:color="808080" w:themeColor="background1" w:themeShade="80"/>
              <w:bottom w:val="nil"/>
              <w:right w:val="nil"/>
            </w:tcBorders>
            <w:shd w:val="clear" w:color="auto" w:fill="auto"/>
          </w:tcPr>
          <w:p w:rsidR="006A38BB" w:rsidRDefault="006A38BB">
            <w:pPr>
              <w:spacing w:line="288" w:lineRule="auto"/>
              <w:ind w:right="284"/>
              <w:jc w:val="right"/>
              <w:rPr>
                <w:color w:val="000000"/>
                <w:sz w:val="16"/>
                <w:szCs w:val="16"/>
              </w:rPr>
            </w:pPr>
          </w:p>
        </w:tc>
        <w:tc>
          <w:tcPr>
            <w:tcW w:w="1290" w:type="dxa"/>
            <w:tcBorders>
              <w:top w:val="nil"/>
              <w:left w:val="nil"/>
              <w:bottom w:val="nil"/>
              <w:right w:val="nil"/>
            </w:tcBorders>
            <w:shd w:val="clear" w:color="auto" w:fill="auto"/>
          </w:tcPr>
          <w:p w:rsidR="006A38BB" w:rsidRDefault="006A38BB">
            <w:pPr>
              <w:spacing w:line="288" w:lineRule="auto"/>
              <w:ind w:right="284"/>
              <w:jc w:val="right"/>
              <w:rPr>
                <w:color w:val="000000"/>
                <w:sz w:val="16"/>
                <w:szCs w:val="16"/>
              </w:rPr>
            </w:pPr>
          </w:p>
        </w:tc>
        <w:tc>
          <w:tcPr>
            <w:tcW w:w="1274" w:type="dxa"/>
            <w:tcBorders>
              <w:top w:val="nil"/>
              <w:left w:val="nil"/>
              <w:bottom w:val="nil"/>
              <w:right w:val="nil"/>
            </w:tcBorders>
            <w:shd w:val="clear" w:color="auto" w:fill="auto"/>
          </w:tcPr>
          <w:p w:rsidR="006A38BB" w:rsidRDefault="006A38BB">
            <w:pPr>
              <w:spacing w:line="288" w:lineRule="auto"/>
              <w:ind w:right="284"/>
              <w:jc w:val="right"/>
              <w:rPr>
                <w:color w:val="000000"/>
                <w:sz w:val="16"/>
                <w:szCs w:val="16"/>
              </w:rPr>
            </w:pPr>
          </w:p>
        </w:tc>
        <w:tc>
          <w:tcPr>
            <w:tcW w:w="1174" w:type="dxa"/>
            <w:tcBorders>
              <w:top w:val="nil"/>
              <w:left w:val="nil"/>
              <w:bottom w:val="nil"/>
              <w:right w:val="nil"/>
            </w:tcBorders>
          </w:tcPr>
          <w:p w:rsidR="006A38BB" w:rsidRDefault="006A38BB">
            <w:pPr>
              <w:spacing w:line="288" w:lineRule="auto"/>
              <w:ind w:right="284"/>
              <w:jc w:val="right"/>
              <w:rPr>
                <w:bCs/>
                <w:color w:val="FF0000"/>
                <w:sz w:val="16"/>
                <w:szCs w:val="16"/>
              </w:rPr>
            </w:pPr>
          </w:p>
        </w:tc>
        <w:tc>
          <w:tcPr>
            <w:tcW w:w="1171" w:type="dxa"/>
            <w:tcBorders>
              <w:top w:val="nil"/>
              <w:left w:val="nil"/>
              <w:bottom w:val="nil"/>
              <w:right w:val="nil"/>
            </w:tcBorders>
          </w:tcPr>
          <w:p w:rsidR="006A38BB" w:rsidRDefault="006A38BB">
            <w:pPr>
              <w:spacing w:line="288" w:lineRule="auto"/>
              <w:ind w:right="284"/>
              <w:jc w:val="right"/>
              <w:rPr>
                <w:bCs/>
                <w:color w:val="FF0000"/>
                <w:sz w:val="16"/>
                <w:szCs w:val="16"/>
              </w:rPr>
            </w:pPr>
          </w:p>
        </w:tc>
      </w:tr>
      <w:tr w:rsidR="006A38BB">
        <w:trPr>
          <w:trHeight w:val="20"/>
          <w:jc w:val="center"/>
        </w:trPr>
        <w:tc>
          <w:tcPr>
            <w:tcW w:w="3894" w:type="dxa"/>
            <w:tcBorders>
              <w:top w:val="nil"/>
              <w:bottom w:val="nil"/>
              <w:right w:val="single" w:sz="4" w:space="0" w:color="808080" w:themeColor="background1" w:themeShade="80"/>
            </w:tcBorders>
            <w:shd w:val="clear" w:color="auto" w:fill="auto"/>
          </w:tcPr>
          <w:p w:rsidR="006A38BB" w:rsidRDefault="000107C1">
            <w:pPr>
              <w:spacing w:line="288" w:lineRule="auto"/>
              <w:rPr>
                <w:sz w:val="16"/>
                <w:szCs w:val="16"/>
              </w:rPr>
            </w:pPr>
            <w:r>
              <w:rPr>
                <w:b/>
                <w:sz w:val="16"/>
                <w:szCs w:val="16"/>
              </w:rPr>
              <w:t>Investments for environmental protection</w:t>
            </w:r>
          </w:p>
        </w:tc>
        <w:tc>
          <w:tcPr>
            <w:tcW w:w="1290" w:type="dxa"/>
            <w:tcBorders>
              <w:top w:val="nil"/>
              <w:left w:val="single" w:sz="4" w:space="0" w:color="808080" w:themeColor="background1" w:themeShade="80"/>
              <w:bottom w:val="nil"/>
              <w:right w:val="nil"/>
            </w:tcBorders>
            <w:shd w:val="clear" w:color="auto" w:fill="auto"/>
          </w:tcPr>
          <w:p w:rsidR="006A38BB" w:rsidRDefault="000107C1">
            <w:pPr>
              <w:spacing w:line="288" w:lineRule="auto"/>
              <w:ind w:right="284"/>
              <w:jc w:val="right"/>
              <w:rPr>
                <w:b/>
                <w:bCs/>
                <w:color w:val="000000"/>
                <w:sz w:val="16"/>
                <w:szCs w:val="16"/>
              </w:rPr>
            </w:pPr>
            <w:r>
              <w:rPr>
                <w:bCs/>
                <w:color w:val="000000"/>
                <w:sz w:val="16"/>
                <w:szCs w:val="16"/>
              </w:rPr>
              <w:t>29803.3</w:t>
            </w:r>
          </w:p>
        </w:tc>
        <w:tc>
          <w:tcPr>
            <w:tcW w:w="1290" w:type="dxa"/>
            <w:tcBorders>
              <w:top w:val="nil"/>
              <w:left w:val="nil"/>
              <w:bottom w:val="nil"/>
              <w:right w:val="nil"/>
            </w:tcBorders>
            <w:shd w:val="clear" w:color="auto" w:fill="auto"/>
          </w:tcPr>
          <w:p w:rsidR="006A38BB" w:rsidRDefault="000107C1">
            <w:pPr>
              <w:spacing w:line="288" w:lineRule="auto"/>
              <w:ind w:right="284"/>
              <w:jc w:val="right"/>
              <w:rPr>
                <w:b/>
                <w:bCs/>
                <w:color w:val="000000"/>
                <w:sz w:val="16"/>
                <w:szCs w:val="16"/>
              </w:rPr>
            </w:pPr>
            <w:r>
              <w:rPr>
                <w:bCs/>
                <w:color w:val="000000"/>
                <w:sz w:val="16"/>
                <w:szCs w:val="16"/>
              </w:rPr>
              <w:t>27231.8</w:t>
            </w:r>
          </w:p>
        </w:tc>
        <w:tc>
          <w:tcPr>
            <w:tcW w:w="1274" w:type="dxa"/>
            <w:tcBorders>
              <w:top w:val="nil"/>
              <w:left w:val="nil"/>
              <w:bottom w:val="nil"/>
              <w:right w:val="nil"/>
            </w:tcBorders>
            <w:shd w:val="clear" w:color="auto" w:fill="auto"/>
          </w:tcPr>
          <w:p w:rsidR="006A38BB" w:rsidRDefault="000107C1">
            <w:pPr>
              <w:spacing w:line="288" w:lineRule="auto"/>
              <w:ind w:right="284"/>
              <w:jc w:val="right"/>
              <w:rPr>
                <w:b/>
                <w:color w:val="000000"/>
                <w:sz w:val="16"/>
                <w:szCs w:val="16"/>
              </w:rPr>
            </w:pPr>
            <w:r>
              <w:rPr>
                <w:bCs/>
                <w:color w:val="000000"/>
                <w:sz w:val="16"/>
                <w:szCs w:val="16"/>
              </w:rPr>
              <w:t>100.0</w:t>
            </w:r>
          </w:p>
        </w:tc>
        <w:tc>
          <w:tcPr>
            <w:tcW w:w="1174" w:type="dxa"/>
            <w:tcBorders>
              <w:top w:val="nil"/>
              <w:left w:val="nil"/>
              <w:bottom w:val="nil"/>
              <w:right w:val="nil"/>
            </w:tcBorders>
          </w:tcPr>
          <w:p w:rsidR="006A38BB" w:rsidRDefault="000107C1">
            <w:pPr>
              <w:spacing w:line="288" w:lineRule="auto"/>
              <w:ind w:right="284"/>
              <w:jc w:val="right"/>
              <w:rPr>
                <w:b/>
                <w:color w:val="000000"/>
                <w:sz w:val="16"/>
                <w:szCs w:val="16"/>
              </w:rPr>
            </w:pPr>
            <w:r>
              <w:rPr>
                <w:bCs/>
                <w:color w:val="000000"/>
                <w:sz w:val="16"/>
                <w:szCs w:val="16"/>
              </w:rPr>
              <w:t>-2571.5</w:t>
            </w:r>
          </w:p>
        </w:tc>
        <w:tc>
          <w:tcPr>
            <w:tcW w:w="1171" w:type="dxa"/>
            <w:tcBorders>
              <w:top w:val="nil"/>
              <w:left w:val="nil"/>
              <w:bottom w:val="nil"/>
              <w:right w:val="nil"/>
            </w:tcBorders>
          </w:tcPr>
          <w:p w:rsidR="006A38BB" w:rsidRDefault="000107C1">
            <w:pPr>
              <w:spacing w:line="288" w:lineRule="auto"/>
              <w:ind w:right="284"/>
              <w:jc w:val="right"/>
              <w:rPr>
                <w:b/>
                <w:color w:val="000000"/>
                <w:sz w:val="16"/>
                <w:szCs w:val="16"/>
              </w:rPr>
            </w:pPr>
            <w:r>
              <w:rPr>
                <w:bCs/>
                <w:color w:val="000000"/>
                <w:sz w:val="16"/>
                <w:szCs w:val="16"/>
              </w:rPr>
              <w:t>-8.6</w:t>
            </w:r>
          </w:p>
        </w:tc>
      </w:tr>
      <w:tr w:rsidR="006A38BB">
        <w:trPr>
          <w:trHeight w:val="20"/>
          <w:jc w:val="center"/>
        </w:trPr>
        <w:tc>
          <w:tcPr>
            <w:tcW w:w="3894" w:type="dxa"/>
            <w:tcBorders>
              <w:top w:val="nil"/>
              <w:bottom w:val="nil"/>
              <w:right w:val="single" w:sz="4" w:space="0" w:color="808080" w:themeColor="background1" w:themeShade="80"/>
            </w:tcBorders>
            <w:shd w:val="clear" w:color="auto" w:fill="auto"/>
          </w:tcPr>
          <w:p w:rsidR="006A38BB" w:rsidRDefault="000107C1">
            <w:pPr>
              <w:spacing w:line="288" w:lineRule="auto"/>
              <w:rPr>
                <w:sz w:val="16"/>
                <w:szCs w:val="16"/>
              </w:rPr>
            </w:pPr>
            <w:r>
              <w:rPr>
                <w:sz w:val="16"/>
                <w:szCs w:val="16"/>
              </w:rPr>
              <w:t>Air protection</w:t>
            </w:r>
          </w:p>
        </w:tc>
        <w:tc>
          <w:tcPr>
            <w:tcW w:w="1290" w:type="dxa"/>
            <w:tcBorders>
              <w:top w:val="nil"/>
              <w:left w:val="single" w:sz="4" w:space="0" w:color="808080" w:themeColor="background1" w:themeShade="80"/>
              <w:bottom w:val="nil"/>
              <w:right w:val="nil"/>
            </w:tcBorders>
            <w:shd w:val="clear" w:color="auto" w:fill="auto"/>
          </w:tcPr>
          <w:p w:rsidR="006A38BB" w:rsidRDefault="000107C1">
            <w:pPr>
              <w:spacing w:line="288" w:lineRule="auto"/>
              <w:ind w:right="284"/>
              <w:jc w:val="right"/>
              <w:rPr>
                <w:color w:val="000000"/>
                <w:sz w:val="16"/>
                <w:szCs w:val="16"/>
              </w:rPr>
            </w:pPr>
            <w:r>
              <w:rPr>
                <w:bCs/>
                <w:color w:val="000000"/>
                <w:sz w:val="16"/>
                <w:szCs w:val="16"/>
              </w:rPr>
              <w:t>12536.2</w:t>
            </w:r>
          </w:p>
        </w:tc>
        <w:tc>
          <w:tcPr>
            <w:tcW w:w="1290" w:type="dxa"/>
            <w:tcBorders>
              <w:top w:val="nil"/>
              <w:left w:val="nil"/>
              <w:bottom w:val="nil"/>
              <w:right w:val="nil"/>
            </w:tcBorders>
            <w:shd w:val="clear" w:color="auto" w:fill="auto"/>
          </w:tcPr>
          <w:p w:rsidR="006A38BB" w:rsidRDefault="000107C1">
            <w:pPr>
              <w:spacing w:line="288" w:lineRule="auto"/>
              <w:ind w:right="284"/>
              <w:jc w:val="right"/>
              <w:rPr>
                <w:color w:val="000000"/>
                <w:sz w:val="16"/>
                <w:szCs w:val="16"/>
              </w:rPr>
            </w:pPr>
            <w:r>
              <w:rPr>
                <w:bCs/>
                <w:color w:val="000000"/>
                <w:sz w:val="16"/>
                <w:szCs w:val="16"/>
              </w:rPr>
              <w:t>15548.1</w:t>
            </w:r>
          </w:p>
        </w:tc>
        <w:tc>
          <w:tcPr>
            <w:tcW w:w="1274" w:type="dxa"/>
            <w:tcBorders>
              <w:top w:val="nil"/>
              <w:left w:val="nil"/>
              <w:bottom w:val="nil"/>
              <w:right w:val="nil"/>
            </w:tcBorders>
            <w:shd w:val="clear" w:color="auto" w:fill="auto"/>
          </w:tcPr>
          <w:p w:rsidR="006A38BB" w:rsidRDefault="000107C1">
            <w:pPr>
              <w:spacing w:line="288" w:lineRule="auto"/>
              <w:ind w:right="284"/>
              <w:jc w:val="right"/>
              <w:rPr>
                <w:color w:val="000000"/>
                <w:sz w:val="16"/>
                <w:szCs w:val="16"/>
              </w:rPr>
            </w:pPr>
            <w:r>
              <w:rPr>
                <w:bCs/>
                <w:color w:val="000000"/>
                <w:sz w:val="16"/>
                <w:szCs w:val="16"/>
              </w:rPr>
              <w:t>57.1</w:t>
            </w:r>
          </w:p>
        </w:tc>
        <w:tc>
          <w:tcPr>
            <w:tcW w:w="1174" w:type="dxa"/>
            <w:tcBorders>
              <w:top w:val="nil"/>
              <w:left w:val="nil"/>
              <w:bottom w:val="nil"/>
              <w:right w:val="nil"/>
            </w:tcBorders>
          </w:tcPr>
          <w:p w:rsidR="006A38BB" w:rsidRDefault="000107C1">
            <w:pPr>
              <w:spacing w:line="288" w:lineRule="auto"/>
              <w:ind w:right="284"/>
              <w:jc w:val="right"/>
              <w:rPr>
                <w:color w:val="000000"/>
                <w:sz w:val="16"/>
                <w:szCs w:val="16"/>
              </w:rPr>
            </w:pPr>
            <w:r>
              <w:rPr>
                <w:bCs/>
                <w:color w:val="000000"/>
                <w:sz w:val="16"/>
                <w:szCs w:val="16"/>
              </w:rPr>
              <w:t>3011.9</w:t>
            </w:r>
          </w:p>
        </w:tc>
        <w:tc>
          <w:tcPr>
            <w:tcW w:w="1171" w:type="dxa"/>
            <w:tcBorders>
              <w:top w:val="nil"/>
              <w:left w:val="nil"/>
              <w:bottom w:val="nil"/>
              <w:right w:val="nil"/>
            </w:tcBorders>
          </w:tcPr>
          <w:p w:rsidR="006A38BB" w:rsidRDefault="000107C1">
            <w:pPr>
              <w:spacing w:line="288" w:lineRule="auto"/>
              <w:ind w:right="284"/>
              <w:jc w:val="right"/>
              <w:rPr>
                <w:color w:val="000000"/>
                <w:sz w:val="16"/>
                <w:szCs w:val="16"/>
              </w:rPr>
            </w:pPr>
            <w:r>
              <w:rPr>
                <w:bCs/>
                <w:color w:val="000000"/>
                <w:sz w:val="16"/>
                <w:szCs w:val="16"/>
              </w:rPr>
              <w:t>24.0</w:t>
            </w:r>
          </w:p>
        </w:tc>
      </w:tr>
      <w:tr w:rsidR="006A38BB">
        <w:trPr>
          <w:trHeight w:val="20"/>
          <w:jc w:val="center"/>
        </w:trPr>
        <w:tc>
          <w:tcPr>
            <w:tcW w:w="3894" w:type="dxa"/>
            <w:tcBorders>
              <w:top w:val="nil"/>
              <w:bottom w:val="nil"/>
              <w:right w:val="single" w:sz="4" w:space="0" w:color="808080" w:themeColor="background1" w:themeShade="80"/>
            </w:tcBorders>
            <w:shd w:val="clear" w:color="auto" w:fill="auto"/>
          </w:tcPr>
          <w:p w:rsidR="006A38BB" w:rsidRDefault="000107C1">
            <w:pPr>
              <w:spacing w:line="288" w:lineRule="auto"/>
              <w:rPr>
                <w:sz w:val="16"/>
                <w:szCs w:val="16"/>
              </w:rPr>
            </w:pPr>
            <w:r>
              <w:rPr>
                <w:sz w:val="16"/>
                <w:szCs w:val="16"/>
              </w:rPr>
              <w:t>Wastewater management</w:t>
            </w:r>
          </w:p>
        </w:tc>
        <w:tc>
          <w:tcPr>
            <w:tcW w:w="1290" w:type="dxa"/>
            <w:tcBorders>
              <w:top w:val="nil"/>
              <w:left w:val="single" w:sz="4" w:space="0" w:color="808080" w:themeColor="background1" w:themeShade="80"/>
              <w:bottom w:val="nil"/>
              <w:right w:val="nil"/>
            </w:tcBorders>
            <w:shd w:val="clear" w:color="auto" w:fill="auto"/>
          </w:tcPr>
          <w:p w:rsidR="006A38BB" w:rsidRDefault="000107C1">
            <w:pPr>
              <w:spacing w:line="288" w:lineRule="auto"/>
              <w:ind w:right="284"/>
              <w:jc w:val="right"/>
              <w:rPr>
                <w:color w:val="000000"/>
                <w:sz w:val="16"/>
                <w:szCs w:val="16"/>
              </w:rPr>
            </w:pPr>
            <w:r>
              <w:rPr>
                <w:bCs/>
                <w:color w:val="000000"/>
                <w:sz w:val="16"/>
                <w:szCs w:val="16"/>
              </w:rPr>
              <w:t>1945.4</w:t>
            </w:r>
          </w:p>
        </w:tc>
        <w:tc>
          <w:tcPr>
            <w:tcW w:w="1290" w:type="dxa"/>
            <w:tcBorders>
              <w:top w:val="nil"/>
              <w:left w:val="nil"/>
              <w:bottom w:val="nil"/>
              <w:right w:val="nil"/>
            </w:tcBorders>
            <w:shd w:val="clear" w:color="auto" w:fill="auto"/>
          </w:tcPr>
          <w:p w:rsidR="006A38BB" w:rsidRDefault="000107C1">
            <w:pPr>
              <w:spacing w:line="288" w:lineRule="auto"/>
              <w:ind w:right="284"/>
              <w:jc w:val="right"/>
              <w:rPr>
                <w:color w:val="000000"/>
                <w:sz w:val="16"/>
                <w:szCs w:val="16"/>
              </w:rPr>
            </w:pPr>
            <w:r>
              <w:rPr>
                <w:bCs/>
                <w:color w:val="000000"/>
                <w:sz w:val="16"/>
                <w:szCs w:val="16"/>
              </w:rPr>
              <w:t>972.4</w:t>
            </w:r>
          </w:p>
        </w:tc>
        <w:tc>
          <w:tcPr>
            <w:tcW w:w="1274" w:type="dxa"/>
            <w:tcBorders>
              <w:top w:val="nil"/>
              <w:left w:val="nil"/>
              <w:bottom w:val="nil"/>
              <w:right w:val="nil"/>
            </w:tcBorders>
            <w:shd w:val="clear" w:color="auto" w:fill="auto"/>
          </w:tcPr>
          <w:p w:rsidR="006A38BB" w:rsidRDefault="000107C1">
            <w:pPr>
              <w:spacing w:line="288" w:lineRule="auto"/>
              <w:ind w:right="284"/>
              <w:jc w:val="right"/>
              <w:rPr>
                <w:color w:val="000000"/>
                <w:sz w:val="16"/>
                <w:szCs w:val="16"/>
              </w:rPr>
            </w:pPr>
            <w:r>
              <w:rPr>
                <w:bCs/>
                <w:color w:val="000000"/>
                <w:sz w:val="16"/>
                <w:szCs w:val="16"/>
              </w:rPr>
              <w:t>3.6</w:t>
            </w:r>
          </w:p>
        </w:tc>
        <w:tc>
          <w:tcPr>
            <w:tcW w:w="1174" w:type="dxa"/>
            <w:tcBorders>
              <w:top w:val="nil"/>
              <w:left w:val="nil"/>
              <w:bottom w:val="nil"/>
              <w:right w:val="nil"/>
            </w:tcBorders>
          </w:tcPr>
          <w:p w:rsidR="006A38BB" w:rsidRDefault="000107C1">
            <w:pPr>
              <w:spacing w:line="288" w:lineRule="auto"/>
              <w:ind w:right="284"/>
              <w:jc w:val="right"/>
              <w:rPr>
                <w:color w:val="000000"/>
                <w:sz w:val="16"/>
                <w:szCs w:val="16"/>
              </w:rPr>
            </w:pPr>
            <w:r>
              <w:rPr>
                <w:bCs/>
                <w:color w:val="000000"/>
                <w:sz w:val="16"/>
                <w:szCs w:val="16"/>
              </w:rPr>
              <w:t>-973.0</w:t>
            </w:r>
          </w:p>
        </w:tc>
        <w:tc>
          <w:tcPr>
            <w:tcW w:w="1171" w:type="dxa"/>
            <w:tcBorders>
              <w:top w:val="nil"/>
              <w:left w:val="nil"/>
              <w:bottom w:val="nil"/>
              <w:right w:val="nil"/>
            </w:tcBorders>
          </w:tcPr>
          <w:p w:rsidR="006A38BB" w:rsidRDefault="000107C1">
            <w:pPr>
              <w:spacing w:line="288" w:lineRule="auto"/>
              <w:ind w:right="284"/>
              <w:jc w:val="right"/>
              <w:rPr>
                <w:color w:val="000000"/>
                <w:sz w:val="16"/>
                <w:szCs w:val="16"/>
              </w:rPr>
            </w:pPr>
            <w:r>
              <w:rPr>
                <w:bCs/>
                <w:color w:val="000000"/>
                <w:sz w:val="16"/>
                <w:szCs w:val="16"/>
              </w:rPr>
              <w:t>-50.0</w:t>
            </w:r>
          </w:p>
        </w:tc>
      </w:tr>
      <w:tr w:rsidR="006A38BB">
        <w:trPr>
          <w:trHeight w:val="20"/>
          <w:jc w:val="center"/>
        </w:trPr>
        <w:tc>
          <w:tcPr>
            <w:tcW w:w="3894" w:type="dxa"/>
            <w:tcBorders>
              <w:top w:val="nil"/>
              <w:bottom w:val="nil"/>
              <w:right w:val="single" w:sz="4" w:space="0" w:color="808080" w:themeColor="background1" w:themeShade="80"/>
            </w:tcBorders>
            <w:shd w:val="clear" w:color="auto" w:fill="auto"/>
          </w:tcPr>
          <w:p w:rsidR="006A38BB" w:rsidRDefault="000107C1">
            <w:pPr>
              <w:spacing w:line="288" w:lineRule="auto"/>
              <w:rPr>
                <w:b/>
                <w:sz w:val="16"/>
                <w:szCs w:val="16"/>
              </w:rPr>
            </w:pPr>
            <w:r>
              <w:rPr>
                <w:sz w:val="16"/>
                <w:szCs w:val="16"/>
              </w:rPr>
              <w:t>Waste management</w:t>
            </w:r>
          </w:p>
        </w:tc>
        <w:tc>
          <w:tcPr>
            <w:tcW w:w="1290" w:type="dxa"/>
            <w:tcBorders>
              <w:top w:val="nil"/>
              <w:left w:val="single" w:sz="4" w:space="0" w:color="808080" w:themeColor="background1" w:themeShade="80"/>
              <w:bottom w:val="nil"/>
              <w:right w:val="nil"/>
            </w:tcBorders>
            <w:shd w:val="clear" w:color="auto" w:fill="auto"/>
          </w:tcPr>
          <w:p w:rsidR="006A38BB" w:rsidRDefault="000107C1">
            <w:pPr>
              <w:spacing w:line="288" w:lineRule="auto"/>
              <w:ind w:right="284"/>
              <w:jc w:val="right"/>
              <w:rPr>
                <w:color w:val="000000"/>
                <w:sz w:val="16"/>
                <w:szCs w:val="16"/>
              </w:rPr>
            </w:pPr>
            <w:r>
              <w:rPr>
                <w:bCs/>
                <w:color w:val="000000"/>
                <w:sz w:val="16"/>
                <w:szCs w:val="16"/>
              </w:rPr>
              <w:t>13690.8</w:t>
            </w:r>
          </w:p>
        </w:tc>
        <w:tc>
          <w:tcPr>
            <w:tcW w:w="1290" w:type="dxa"/>
            <w:tcBorders>
              <w:top w:val="nil"/>
              <w:left w:val="nil"/>
              <w:bottom w:val="nil"/>
              <w:right w:val="nil"/>
            </w:tcBorders>
            <w:shd w:val="clear" w:color="auto" w:fill="auto"/>
          </w:tcPr>
          <w:p w:rsidR="006A38BB" w:rsidRDefault="000107C1">
            <w:pPr>
              <w:spacing w:line="288" w:lineRule="auto"/>
              <w:ind w:right="284"/>
              <w:jc w:val="right"/>
              <w:rPr>
                <w:color w:val="000000"/>
                <w:sz w:val="16"/>
                <w:szCs w:val="16"/>
              </w:rPr>
            </w:pPr>
            <w:r>
              <w:rPr>
                <w:bCs/>
                <w:color w:val="000000"/>
                <w:sz w:val="16"/>
                <w:szCs w:val="16"/>
              </w:rPr>
              <w:t>7711.0</w:t>
            </w:r>
          </w:p>
        </w:tc>
        <w:tc>
          <w:tcPr>
            <w:tcW w:w="1274" w:type="dxa"/>
            <w:tcBorders>
              <w:top w:val="nil"/>
              <w:left w:val="nil"/>
              <w:bottom w:val="nil"/>
              <w:right w:val="nil"/>
            </w:tcBorders>
            <w:shd w:val="clear" w:color="auto" w:fill="auto"/>
          </w:tcPr>
          <w:p w:rsidR="006A38BB" w:rsidRDefault="000107C1">
            <w:pPr>
              <w:spacing w:line="288" w:lineRule="auto"/>
              <w:ind w:right="284"/>
              <w:jc w:val="right"/>
              <w:rPr>
                <w:color w:val="000000"/>
                <w:sz w:val="16"/>
                <w:szCs w:val="16"/>
              </w:rPr>
            </w:pPr>
            <w:r>
              <w:rPr>
                <w:bCs/>
                <w:color w:val="000000"/>
                <w:sz w:val="16"/>
                <w:szCs w:val="16"/>
              </w:rPr>
              <w:t>28.3</w:t>
            </w:r>
          </w:p>
        </w:tc>
        <w:tc>
          <w:tcPr>
            <w:tcW w:w="1174" w:type="dxa"/>
            <w:tcBorders>
              <w:top w:val="nil"/>
              <w:left w:val="nil"/>
              <w:bottom w:val="nil"/>
              <w:right w:val="nil"/>
            </w:tcBorders>
          </w:tcPr>
          <w:p w:rsidR="006A38BB" w:rsidRDefault="000107C1">
            <w:pPr>
              <w:spacing w:line="288" w:lineRule="auto"/>
              <w:ind w:right="284"/>
              <w:jc w:val="right"/>
              <w:rPr>
                <w:color w:val="000000"/>
                <w:sz w:val="16"/>
                <w:szCs w:val="16"/>
              </w:rPr>
            </w:pPr>
            <w:r>
              <w:rPr>
                <w:bCs/>
                <w:color w:val="000000"/>
                <w:sz w:val="16"/>
                <w:szCs w:val="16"/>
              </w:rPr>
              <w:t>-5979.8</w:t>
            </w:r>
          </w:p>
        </w:tc>
        <w:tc>
          <w:tcPr>
            <w:tcW w:w="1171" w:type="dxa"/>
            <w:tcBorders>
              <w:top w:val="nil"/>
              <w:left w:val="nil"/>
              <w:bottom w:val="nil"/>
              <w:right w:val="nil"/>
            </w:tcBorders>
          </w:tcPr>
          <w:p w:rsidR="006A38BB" w:rsidRDefault="000107C1">
            <w:pPr>
              <w:spacing w:line="288" w:lineRule="auto"/>
              <w:ind w:right="284"/>
              <w:jc w:val="right"/>
              <w:rPr>
                <w:color w:val="000000"/>
                <w:sz w:val="16"/>
                <w:szCs w:val="16"/>
              </w:rPr>
            </w:pPr>
            <w:r>
              <w:rPr>
                <w:bCs/>
                <w:color w:val="000000"/>
                <w:sz w:val="16"/>
                <w:szCs w:val="16"/>
              </w:rPr>
              <w:t>-43.7</w:t>
            </w:r>
          </w:p>
        </w:tc>
      </w:tr>
      <w:tr w:rsidR="006A38BB">
        <w:trPr>
          <w:trHeight w:val="20"/>
          <w:jc w:val="center"/>
        </w:trPr>
        <w:tc>
          <w:tcPr>
            <w:tcW w:w="3894" w:type="dxa"/>
            <w:tcBorders>
              <w:top w:val="nil"/>
              <w:bottom w:val="nil"/>
              <w:right w:val="single" w:sz="4" w:space="0" w:color="808080" w:themeColor="background1" w:themeShade="80"/>
            </w:tcBorders>
            <w:shd w:val="clear" w:color="auto" w:fill="auto"/>
          </w:tcPr>
          <w:p w:rsidR="006A38BB" w:rsidRDefault="000107C1">
            <w:pPr>
              <w:spacing w:line="288" w:lineRule="auto"/>
              <w:rPr>
                <w:sz w:val="16"/>
                <w:szCs w:val="16"/>
              </w:rPr>
            </w:pPr>
            <w:r>
              <w:rPr>
                <w:sz w:val="16"/>
                <w:szCs w:val="16"/>
              </w:rPr>
              <w:t>Other</w:t>
            </w:r>
            <w:r>
              <w:rPr>
                <w:sz w:val="16"/>
                <w:szCs w:val="16"/>
                <w:vertAlign w:val="superscript"/>
              </w:rPr>
              <w:t>2)</w:t>
            </w:r>
          </w:p>
        </w:tc>
        <w:tc>
          <w:tcPr>
            <w:tcW w:w="1290" w:type="dxa"/>
            <w:tcBorders>
              <w:top w:val="nil"/>
              <w:left w:val="single" w:sz="4" w:space="0" w:color="808080" w:themeColor="background1" w:themeShade="80"/>
              <w:bottom w:val="nil"/>
              <w:right w:val="nil"/>
            </w:tcBorders>
            <w:shd w:val="clear" w:color="auto" w:fill="auto"/>
          </w:tcPr>
          <w:p w:rsidR="006A38BB" w:rsidRDefault="000107C1">
            <w:pPr>
              <w:spacing w:line="288" w:lineRule="auto"/>
              <w:ind w:right="284"/>
              <w:jc w:val="right"/>
              <w:rPr>
                <w:color w:val="000000"/>
                <w:sz w:val="16"/>
                <w:szCs w:val="16"/>
              </w:rPr>
            </w:pPr>
            <w:r>
              <w:rPr>
                <w:bCs/>
                <w:color w:val="000000"/>
                <w:sz w:val="16"/>
                <w:szCs w:val="16"/>
              </w:rPr>
              <w:t>1630.8</w:t>
            </w:r>
          </w:p>
        </w:tc>
        <w:tc>
          <w:tcPr>
            <w:tcW w:w="1290" w:type="dxa"/>
            <w:tcBorders>
              <w:top w:val="nil"/>
              <w:left w:val="nil"/>
              <w:bottom w:val="nil"/>
              <w:right w:val="nil"/>
            </w:tcBorders>
            <w:shd w:val="clear" w:color="auto" w:fill="auto"/>
          </w:tcPr>
          <w:p w:rsidR="006A38BB" w:rsidRDefault="000107C1">
            <w:pPr>
              <w:spacing w:line="288" w:lineRule="auto"/>
              <w:ind w:right="284"/>
              <w:jc w:val="right"/>
              <w:rPr>
                <w:color w:val="000000"/>
                <w:sz w:val="16"/>
                <w:szCs w:val="16"/>
              </w:rPr>
            </w:pPr>
            <w:r>
              <w:rPr>
                <w:bCs/>
                <w:color w:val="000000"/>
                <w:sz w:val="16"/>
                <w:szCs w:val="16"/>
              </w:rPr>
              <w:t>3000.3</w:t>
            </w:r>
          </w:p>
        </w:tc>
        <w:tc>
          <w:tcPr>
            <w:tcW w:w="1274" w:type="dxa"/>
            <w:tcBorders>
              <w:top w:val="nil"/>
              <w:left w:val="nil"/>
              <w:bottom w:val="nil"/>
              <w:right w:val="nil"/>
            </w:tcBorders>
            <w:shd w:val="clear" w:color="auto" w:fill="auto"/>
          </w:tcPr>
          <w:p w:rsidR="006A38BB" w:rsidRDefault="000107C1">
            <w:pPr>
              <w:spacing w:line="288" w:lineRule="auto"/>
              <w:ind w:right="284"/>
              <w:jc w:val="right"/>
              <w:rPr>
                <w:color w:val="000000"/>
                <w:sz w:val="16"/>
                <w:szCs w:val="16"/>
              </w:rPr>
            </w:pPr>
            <w:r>
              <w:rPr>
                <w:bCs/>
                <w:color w:val="000000"/>
                <w:sz w:val="16"/>
                <w:szCs w:val="16"/>
              </w:rPr>
              <w:t>11.0</w:t>
            </w:r>
          </w:p>
        </w:tc>
        <w:tc>
          <w:tcPr>
            <w:tcW w:w="1174" w:type="dxa"/>
            <w:tcBorders>
              <w:top w:val="nil"/>
              <w:left w:val="nil"/>
              <w:bottom w:val="nil"/>
              <w:right w:val="nil"/>
            </w:tcBorders>
          </w:tcPr>
          <w:p w:rsidR="006A38BB" w:rsidRDefault="000107C1">
            <w:pPr>
              <w:spacing w:line="288" w:lineRule="auto"/>
              <w:ind w:right="284"/>
              <w:jc w:val="right"/>
              <w:rPr>
                <w:color w:val="000000"/>
                <w:sz w:val="16"/>
                <w:szCs w:val="16"/>
              </w:rPr>
            </w:pPr>
            <w:r>
              <w:rPr>
                <w:bCs/>
                <w:color w:val="000000"/>
                <w:sz w:val="16"/>
                <w:szCs w:val="16"/>
              </w:rPr>
              <w:t>1369.5</w:t>
            </w:r>
          </w:p>
        </w:tc>
        <w:tc>
          <w:tcPr>
            <w:tcW w:w="1171" w:type="dxa"/>
            <w:tcBorders>
              <w:top w:val="nil"/>
              <w:left w:val="nil"/>
              <w:bottom w:val="nil"/>
              <w:right w:val="nil"/>
            </w:tcBorders>
          </w:tcPr>
          <w:p w:rsidR="006A38BB" w:rsidRDefault="000107C1">
            <w:pPr>
              <w:spacing w:line="288" w:lineRule="auto"/>
              <w:ind w:right="284"/>
              <w:jc w:val="right"/>
              <w:rPr>
                <w:color w:val="000000"/>
                <w:sz w:val="16"/>
                <w:szCs w:val="16"/>
              </w:rPr>
            </w:pPr>
            <w:r>
              <w:rPr>
                <w:bCs/>
                <w:color w:val="000000"/>
                <w:sz w:val="16"/>
                <w:szCs w:val="16"/>
              </w:rPr>
              <w:t>84.0</w:t>
            </w:r>
          </w:p>
        </w:tc>
      </w:tr>
      <w:tr w:rsidR="006A38BB">
        <w:trPr>
          <w:trHeight w:val="20"/>
          <w:jc w:val="center"/>
        </w:trPr>
        <w:tc>
          <w:tcPr>
            <w:tcW w:w="3894" w:type="dxa"/>
            <w:tcBorders>
              <w:top w:val="nil"/>
              <w:bottom w:val="nil"/>
              <w:right w:val="single" w:sz="4" w:space="0" w:color="808080" w:themeColor="background1" w:themeShade="80"/>
            </w:tcBorders>
            <w:shd w:val="clear" w:color="auto" w:fill="auto"/>
            <w:vAlign w:val="bottom"/>
          </w:tcPr>
          <w:p w:rsidR="006A38BB" w:rsidRDefault="006A38BB">
            <w:pPr>
              <w:spacing w:line="288" w:lineRule="auto"/>
              <w:rPr>
                <w:sz w:val="16"/>
                <w:szCs w:val="16"/>
              </w:rPr>
            </w:pPr>
          </w:p>
        </w:tc>
        <w:tc>
          <w:tcPr>
            <w:tcW w:w="1290" w:type="dxa"/>
            <w:tcBorders>
              <w:top w:val="nil"/>
              <w:left w:val="single" w:sz="4" w:space="0" w:color="808080" w:themeColor="background1" w:themeShade="80"/>
              <w:bottom w:val="nil"/>
              <w:right w:val="nil"/>
            </w:tcBorders>
            <w:shd w:val="clear" w:color="auto" w:fill="auto"/>
          </w:tcPr>
          <w:p w:rsidR="006A38BB" w:rsidRDefault="006A38BB">
            <w:pPr>
              <w:spacing w:line="288" w:lineRule="auto"/>
              <w:ind w:right="284"/>
              <w:jc w:val="right"/>
              <w:rPr>
                <w:color w:val="000000"/>
                <w:sz w:val="16"/>
                <w:szCs w:val="16"/>
              </w:rPr>
            </w:pPr>
          </w:p>
        </w:tc>
        <w:tc>
          <w:tcPr>
            <w:tcW w:w="1290" w:type="dxa"/>
            <w:tcBorders>
              <w:top w:val="nil"/>
              <w:left w:val="nil"/>
              <w:bottom w:val="nil"/>
              <w:right w:val="nil"/>
            </w:tcBorders>
            <w:shd w:val="clear" w:color="auto" w:fill="auto"/>
          </w:tcPr>
          <w:p w:rsidR="006A38BB" w:rsidRDefault="006A38BB">
            <w:pPr>
              <w:spacing w:line="288" w:lineRule="auto"/>
              <w:ind w:right="284"/>
              <w:jc w:val="right"/>
              <w:rPr>
                <w:color w:val="000000"/>
                <w:sz w:val="16"/>
                <w:szCs w:val="16"/>
              </w:rPr>
            </w:pPr>
          </w:p>
        </w:tc>
        <w:tc>
          <w:tcPr>
            <w:tcW w:w="1274" w:type="dxa"/>
            <w:tcBorders>
              <w:top w:val="nil"/>
              <w:left w:val="nil"/>
              <w:bottom w:val="nil"/>
              <w:right w:val="nil"/>
            </w:tcBorders>
            <w:shd w:val="clear" w:color="auto" w:fill="auto"/>
          </w:tcPr>
          <w:p w:rsidR="006A38BB" w:rsidRDefault="006A38BB">
            <w:pPr>
              <w:spacing w:line="288" w:lineRule="auto"/>
              <w:ind w:right="284"/>
              <w:jc w:val="right"/>
              <w:rPr>
                <w:color w:val="000000"/>
                <w:sz w:val="16"/>
                <w:szCs w:val="16"/>
              </w:rPr>
            </w:pPr>
          </w:p>
        </w:tc>
        <w:tc>
          <w:tcPr>
            <w:tcW w:w="1174" w:type="dxa"/>
            <w:tcBorders>
              <w:top w:val="nil"/>
              <w:left w:val="nil"/>
              <w:bottom w:val="nil"/>
              <w:right w:val="nil"/>
            </w:tcBorders>
          </w:tcPr>
          <w:p w:rsidR="006A38BB" w:rsidRDefault="006A38BB">
            <w:pPr>
              <w:spacing w:line="288" w:lineRule="auto"/>
              <w:ind w:right="284"/>
              <w:jc w:val="right"/>
              <w:rPr>
                <w:bCs/>
                <w:color w:val="FF0000"/>
                <w:sz w:val="16"/>
                <w:szCs w:val="16"/>
              </w:rPr>
            </w:pPr>
          </w:p>
        </w:tc>
        <w:tc>
          <w:tcPr>
            <w:tcW w:w="1171" w:type="dxa"/>
            <w:tcBorders>
              <w:top w:val="nil"/>
              <w:left w:val="nil"/>
              <w:bottom w:val="nil"/>
              <w:right w:val="nil"/>
            </w:tcBorders>
          </w:tcPr>
          <w:p w:rsidR="006A38BB" w:rsidRDefault="006A38BB">
            <w:pPr>
              <w:spacing w:line="288" w:lineRule="auto"/>
              <w:ind w:right="284"/>
              <w:jc w:val="right"/>
              <w:rPr>
                <w:bCs/>
                <w:color w:val="FF0000"/>
                <w:sz w:val="16"/>
                <w:szCs w:val="16"/>
              </w:rPr>
            </w:pPr>
          </w:p>
        </w:tc>
      </w:tr>
      <w:tr w:rsidR="006A38BB">
        <w:trPr>
          <w:trHeight w:val="20"/>
          <w:jc w:val="center"/>
        </w:trPr>
        <w:tc>
          <w:tcPr>
            <w:tcW w:w="3894" w:type="dxa"/>
            <w:tcBorders>
              <w:top w:val="nil"/>
              <w:bottom w:val="nil"/>
              <w:right w:val="single" w:sz="4" w:space="0" w:color="808080" w:themeColor="background1" w:themeShade="80"/>
            </w:tcBorders>
            <w:shd w:val="clear" w:color="auto" w:fill="auto"/>
          </w:tcPr>
          <w:p w:rsidR="006A38BB" w:rsidRDefault="000107C1">
            <w:pPr>
              <w:spacing w:line="288" w:lineRule="auto"/>
              <w:rPr>
                <w:sz w:val="16"/>
                <w:szCs w:val="16"/>
              </w:rPr>
            </w:pPr>
            <w:r>
              <w:rPr>
                <w:b/>
                <w:sz w:val="16"/>
                <w:szCs w:val="16"/>
              </w:rPr>
              <w:t>Current expenditures for environmental protection</w:t>
            </w:r>
          </w:p>
        </w:tc>
        <w:tc>
          <w:tcPr>
            <w:tcW w:w="1290" w:type="dxa"/>
            <w:tcBorders>
              <w:top w:val="nil"/>
              <w:left w:val="single" w:sz="4" w:space="0" w:color="808080" w:themeColor="background1" w:themeShade="80"/>
              <w:bottom w:val="nil"/>
              <w:right w:val="nil"/>
            </w:tcBorders>
            <w:shd w:val="clear" w:color="auto" w:fill="auto"/>
          </w:tcPr>
          <w:p w:rsidR="006A38BB" w:rsidRDefault="000107C1">
            <w:pPr>
              <w:spacing w:line="288" w:lineRule="auto"/>
              <w:ind w:right="284"/>
              <w:jc w:val="right"/>
              <w:rPr>
                <w:b/>
                <w:bCs/>
                <w:color w:val="000000"/>
                <w:sz w:val="16"/>
                <w:szCs w:val="16"/>
              </w:rPr>
            </w:pPr>
            <w:r>
              <w:rPr>
                <w:bCs/>
                <w:color w:val="000000"/>
                <w:sz w:val="16"/>
                <w:szCs w:val="16"/>
              </w:rPr>
              <w:t>38873.1</w:t>
            </w:r>
          </w:p>
        </w:tc>
        <w:tc>
          <w:tcPr>
            <w:tcW w:w="1290" w:type="dxa"/>
            <w:tcBorders>
              <w:top w:val="nil"/>
              <w:left w:val="nil"/>
              <w:bottom w:val="nil"/>
              <w:right w:val="nil"/>
            </w:tcBorders>
            <w:shd w:val="clear" w:color="auto" w:fill="auto"/>
          </w:tcPr>
          <w:p w:rsidR="006A38BB" w:rsidRDefault="000107C1">
            <w:pPr>
              <w:spacing w:line="288" w:lineRule="auto"/>
              <w:ind w:right="284"/>
              <w:jc w:val="right"/>
              <w:rPr>
                <w:b/>
                <w:bCs/>
                <w:color w:val="000000"/>
                <w:sz w:val="16"/>
                <w:szCs w:val="16"/>
              </w:rPr>
            </w:pPr>
            <w:r>
              <w:rPr>
                <w:bCs/>
                <w:color w:val="000000"/>
                <w:sz w:val="16"/>
                <w:szCs w:val="16"/>
              </w:rPr>
              <w:t>42019.4</w:t>
            </w:r>
          </w:p>
        </w:tc>
        <w:tc>
          <w:tcPr>
            <w:tcW w:w="1274" w:type="dxa"/>
            <w:tcBorders>
              <w:top w:val="nil"/>
              <w:left w:val="nil"/>
              <w:bottom w:val="nil"/>
              <w:right w:val="nil"/>
            </w:tcBorders>
            <w:shd w:val="clear" w:color="auto" w:fill="auto"/>
          </w:tcPr>
          <w:p w:rsidR="006A38BB" w:rsidRDefault="000107C1">
            <w:pPr>
              <w:spacing w:line="288" w:lineRule="auto"/>
              <w:ind w:right="284"/>
              <w:jc w:val="right"/>
              <w:rPr>
                <w:b/>
                <w:color w:val="000000"/>
                <w:sz w:val="16"/>
                <w:szCs w:val="16"/>
              </w:rPr>
            </w:pPr>
            <w:r>
              <w:rPr>
                <w:bCs/>
                <w:color w:val="000000"/>
                <w:sz w:val="16"/>
                <w:szCs w:val="16"/>
              </w:rPr>
              <w:t>100.0</w:t>
            </w:r>
          </w:p>
        </w:tc>
        <w:tc>
          <w:tcPr>
            <w:tcW w:w="1174" w:type="dxa"/>
            <w:tcBorders>
              <w:top w:val="nil"/>
              <w:left w:val="nil"/>
              <w:bottom w:val="nil"/>
              <w:right w:val="nil"/>
            </w:tcBorders>
          </w:tcPr>
          <w:p w:rsidR="006A38BB" w:rsidRDefault="000107C1">
            <w:pPr>
              <w:spacing w:line="288" w:lineRule="auto"/>
              <w:ind w:right="284"/>
              <w:jc w:val="right"/>
              <w:rPr>
                <w:b/>
                <w:color w:val="000000"/>
                <w:sz w:val="16"/>
                <w:szCs w:val="16"/>
              </w:rPr>
            </w:pPr>
            <w:r>
              <w:rPr>
                <w:bCs/>
                <w:color w:val="000000"/>
                <w:sz w:val="16"/>
                <w:szCs w:val="16"/>
              </w:rPr>
              <w:t>3146.3</w:t>
            </w:r>
          </w:p>
        </w:tc>
        <w:tc>
          <w:tcPr>
            <w:tcW w:w="1171" w:type="dxa"/>
            <w:tcBorders>
              <w:top w:val="nil"/>
              <w:left w:val="nil"/>
              <w:bottom w:val="nil"/>
              <w:right w:val="nil"/>
            </w:tcBorders>
          </w:tcPr>
          <w:p w:rsidR="006A38BB" w:rsidRDefault="000107C1">
            <w:pPr>
              <w:spacing w:line="288" w:lineRule="auto"/>
              <w:ind w:right="284"/>
              <w:jc w:val="right"/>
              <w:rPr>
                <w:b/>
                <w:color w:val="000000"/>
                <w:sz w:val="16"/>
                <w:szCs w:val="16"/>
              </w:rPr>
            </w:pPr>
            <w:r>
              <w:rPr>
                <w:bCs/>
                <w:color w:val="000000"/>
                <w:sz w:val="16"/>
                <w:szCs w:val="16"/>
              </w:rPr>
              <w:t>8.1</w:t>
            </w:r>
          </w:p>
        </w:tc>
      </w:tr>
      <w:tr w:rsidR="006A38BB">
        <w:trPr>
          <w:trHeight w:val="20"/>
          <w:jc w:val="center"/>
        </w:trPr>
        <w:tc>
          <w:tcPr>
            <w:tcW w:w="3894" w:type="dxa"/>
            <w:tcBorders>
              <w:top w:val="nil"/>
              <w:bottom w:val="nil"/>
              <w:right w:val="single" w:sz="4" w:space="0" w:color="808080" w:themeColor="background1" w:themeShade="80"/>
            </w:tcBorders>
            <w:shd w:val="clear" w:color="auto" w:fill="auto"/>
          </w:tcPr>
          <w:p w:rsidR="006A38BB" w:rsidRDefault="000107C1">
            <w:pPr>
              <w:spacing w:line="288" w:lineRule="auto"/>
              <w:rPr>
                <w:sz w:val="16"/>
                <w:szCs w:val="16"/>
              </w:rPr>
            </w:pPr>
            <w:r>
              <w:rPr>
                <w:sz w:val="16"/>
                <w:szCs w:val="16"/>
              </w:rPr>
              <w:t>Air protection</w:t>
            </w:r>
          </w:p>
        </w:tc>
        <w:tc>
          <w:tcPr>
            <w:tcW w:w="1290" w:type="dxa"/>
            <w:tcBorders>
              <w:top w:val="nil"/>
              <w:left w:val="single" w:sz="4" w:space="0" w:color="808080" w:themeColor="background1" w:themeShade="80"/>
              <w:bottom w:val="nil"/>
              <w:right w:val="nil"/>
            </w:tcBorders>
            <w:shd w:val="clear" w:color="auto" w:fill="auto"/>
          </w:tcPr>
          <w:p w:rsidR="006A38BB" w:rsidRDefault="000107C1">
            <w:pPr>
              <w:spacing w:line="288" w:lineRule="auto"/>
              <w:ind w:right="284"/>
              <w:jc w:val="right"/>
              <w:rPr>
                <w:color w:val="000000"/>
                <w:sz w:val="16"/>
                <w:szCs w:val="16"/>
              </w:rPr>
            </w:pPr>
            <w:r>
              <w:rPr>
                <w:bCs/>
                <w:color w:val="000000"/>
                <w:sz w:val="16"/>
                <w:szCs w:val="16"/>
              </w:rPr>
              <w:t>1170.7</w:t>
            </w:r>
          </w:p>
        </w:tc>
        <w:tc>
          <w:tcPr>
            <w:tcW w:w="1290" w:type="dxa"/>
            <w:tcBorders>
              <w:top w:val="nil"/>
              <w:left w:val="nil"/>
              <w:bottom w:val="nil"/>
              <w:right w:val="nil"/>
            </w:tcBorders>
            <w:shd w:val="clear" w:color="auto" w:fill="auto"/>
          </w:tcPr>
          <w:p w:rsidR="006A38BB" w:rsidRDefault="000107C1">
            <w:pPr>
              <w:spacing w:line="288" w:lineRule="auto"/>
              <w:ind w:right="284"/>
              <w:jc w:val="right"/>
              <w:rPr>
                <w:color w:val="000000"/>
                <w:sz w:val="16"/>
                <w:szCs w:val="16"/>
              </w:rPr>
            </w:pPr>
            <w:r>
              <w:rPr>
                <w:bCs/>
                <w:color w:val="000000"/>
                <w:sz w:val="16"/>
                <w:szCs w:val="16"/>
              </w:rPr>
              <w:t>1529.0</w:t>
            </w:r>
          </w:p>
        </w:tc>
        <w:tc>
          <w:tcPr>
            <w:tcW w:w="1274" w:type="dxa"/>
            <w:tcBorders>
              <w:top w:val="nil"/>
              <w:left w:val="nil"/>
              <w:bottom w:val="nil"/>
              <w:right w:val="nil"/>
            </w:tcBorders>
            <w:shd w:val="clear" w:color="auto" w:fill="auto"/>
          </w:tcPr>
          <w:p w:rsidR="006A38BB" w:rsidRDefault="000107C1">
            <w:pPr>
              <w:spacing w:line="288" w:lineRule="auto"/>
              <w:ind w:right="284"/>
              <w:jc w:val="right"/>
              <w:rPr>
                <w:color w:val="000000"/>
                <w:sz w:val="16"/>
                <w:szCs w:val="16"/>
              </w:rPr>
            </w:pPr>
            <w:r>
              <w:rPr>
                <w:bCs/>
                <w:color w:val="000000"/>
                <w:sz w:val="16"/>
                <w:szCs w:val="16"/>
              </w:rPr>
              <w:t>3.6</w:t>
            </w:r>
          </w:p>
        </w:tc>
        <w:tc>
          <w:tcPr>
            <w:tcW w:w="1174" w:type="dxa"/>
            <w:tcBorders>
              <w:top w:val="nil"/>
              <w:left w:val="nil"/>
              <w:bottom w:val="nil"/>
              <w:right w:val="nil"/>
            </w:tcBorders>
          </w:tcPr>
          <w:p w:rsidR="006A38BB" w:rsidRDefault="000107C1">
            <w:pPr>
              <w:spacing w:line="288" w:lineRule="auto"/>
              <w:ind w:right="284"/>
              <w:jc w:val="right"/>
              <w:rPr>
                <w:color w:val="000000"/>
                <w:sz w:val="16"/>
                <w:szCs w:val="16"/>
              </w:rPr>
            </w:pPr>
            <w:r>
              <w:rPr>
                <w:bCs/>
                <w:color w:val="000000"/>
                <w:sz w:val="16"/>
                <w:szCs w:val="16"/>
              </w:rPr>
              <w:t>358.3</w:t>
            </w:r>
          </w:p>
        </w:tc>
        <w:tc>
          <w:tcPr>
            <w:tcW w:w="1171" w:type="dxa"/>
            <w:tcBorders>
              <w:top w:val="nil"/>
              <w:left w:val="nil"/>
              <w:bottom w:val="nil"/>
              <w:right w:val="nil"/>
            </w:tcBorders>
          </w:tcPr>
          <w:p w:rsidR="006A38BB" w:rsidRDefault="000107C1">
            <w:pPr>
              <w:spacing w:line="288" w:lineRule="auto"/>
              <w:ind w:right="284"/>
              <w:jc w:val="right"/>
              <w:rPr>
                <w:color w:val="000000"/>
                <w:sz w:val="16"/>
                <w:szCs w:val="16"/>
              </w:rPr>
            </w:pPr>
            <w:r>
              <w:rPr>
                <w:bCs/>
                <w:color w:val="000000"/>
                <w:sz w:val="16"/>
                <w:szCs w:val="16"/>
              </w:rPr>
              <w:t>30.6</w:t>
            </w:r>
          </w:p>
        </w:tc>
      </w:tr>
      <w:tr w:rsidR="006A38BB">
        <w:trPr>
          <w:trHeight w:val="20"/>
          <w:jc w:val="center"/>
        </w:trPr>
        <w:tc>
          <w:tcPr>
            <w:tcW w:w="3894" w:type="dxa"/>
            <w:tcBorders>
              <w:top w:val="nil"/>
              <w:bottom w:val="nil"/>
              <w:right w:val="single" w:sz="4" w:space="0" w:color="808080" w:themeColor="background1" w:themeShade="80"/>
            </w:tcBorders>
            <w:shd w:val="clear" w:color="auto" w:fill="auto"/>
          </w:tcPr>
          <w:p w:rsidR="006A38BB" w:rsidRDefault="000107C1">
            <w:pPr>
              <w:spacing w:line="288" w:lineRule="auto"/>
              <w:rPr>
                <w:sz w:val="16"/>
                <w:szCs w:val="16"/>
              </w:rPr>
            </w:pPr>
            <w:r>
              <w:rPr>
                <w:sz w:val="16"/>
                <w:szCs w:val="16"/>
              </w:rPr>
              <w:t>Wastewater management</w:t>
            </w:r>
          </w:p>
        </w:tc>
        <w:tc>
          <w:tcPr>
            <w:tcW w:w="1290" w:type="dxa"/>
            <w:tcBorders>
              <w:top w:val="nil"/>
              <w:left w:val="single" w:sz="4" w:space="0" w:color="808080" w:themeColor="background1" w:themeShade="80"/>
              <w:bottom w:val="nil"/>
              <w:right w:val="nil"/>
            </w:tcBorders>
            <w:shd w:val="clear" w:color="auto" w:fill="auto"/>
          </w:tcPr>
          <w:p w:rsidR="006A38BB" w:rsidRDefault="000107C1">
            <w:pPr>
              <w:spacing w:line="288" w:lineRule="auto"/>
              <w:ind w:right="284"/>
              <w:jc w:val="right"/>
              <w:rPr>
                <w:color w:val="000000"/>
                <w:sz w:val="16"/>
                <w:szCs w:val="16"/>
              </w:rPr>
            </w:pPr>
            <w:r>
              <w:rPr>
                <w:bCs/>
                <w:color w:val="000000"/>
                <w:sz w:val="16"/>
                <w:szCs w:val="16"/>
              </w:rPr>
              <w:t>3943.7</w:t>
            </w:r>
          </w:p>
        </w:tc>
        <w:tc>
          <w:tcPr>
            <w:tcW w:w="1290" w:type="dxa"/>
            <w:tcBorders>
              <w:top w:val="nil"/>
              <w:left w:val="nil"/>
              <w:bottom w:val="nil"/>
              <w:right w:val="nil"/>
            </w:tcBorders>
            <w:shd w:val="clear" w:color="auto" w:fill="auto"/>
          </w:tcPr>
          <w:p w:rsidR="006A38BB" w:rsidRDefault="000107C1">
            <w:pPr>
              <w:spacing w:line="288" w:lineRule="auto"/>
              <w:ind w:right="284"/>
              <w:jc w:val="right"/>
              <w:rPr>
                <w:color w:val="000000"/>
                <w:sz w:val="16"/>
                <w:szCs w:val="16"/>
              </w:rPr>
            </w:pPr>
            <w:r>
              <w:rPr>
                <w:bCs/>
                <w:color w:val="000000"/>
                <w:sz w:val="16"/>
                <w:szCs w:val="16"/>
              </w:rPr>
              <w:t>4748.9</w:t>
            </w:r>
          </w:p>
        </w:tc>
        <w:tc>
          <w:tcPr>
            <w:tcW w:w="1274" w:type="dxa"/>
            <w:tcBorders>
              <w:top w:val="nil"/>
              <w:left w:val="nil"/>
              <w:bottom w:val="nil"/>
              <w:right w:val="nil"/>
            </w:tcBorders>
            <w:shd w:val="clear" w:color="auto" w:fill="auto"/>
          </w:tcPr>
          <w:p w:rsidR="006A38BB" w:rsidRDefault="000107C1">
            <w:pPr>
              <w:spacing w:line="288" w:lineRule="auto"/>
              <w:ind w:right="284"/>
              <w:jc w:val="right"/>
              <w:rPr>
                <w:color w:val="000000"/>
                <w:sz w:val="16"/>
                <w:szCs w:val="16"/>
              </w:rPr>
            </w:pPr>
            <w:r>
              <w:rPr>
                <w:bCs/>
                <w:color w:val="000000"/>
                <w:sz w:val="16"/>
                <w:szCs w:val="16"/>
              </w:rPr>
              <w:t>11.3</w:t>
            </w:r>
          </w:p>
        </w:tc>
        <w:tc>
          <w:tcPr>
            <w:tcW w:w="1174" w:type="dxa"/>
            <w:tcBorders>
              <w:top w:val="nil"/>
              <w:left w:val="nil"/>
              <w:bottom w:val="nil"/>
              <w:right w:val="nil"/>
            </w:tcBorders>
          </w:tcPr>
          <w:p w:rsidR="006A38BB" w:rsidRDefault="000107C1">
            <w:pPr>
              <w:spacing w:line="288" w:lineRule="auto"/>
              <w:ind w:right="284"/>
              <w:jc w:val="right"/>
              <w:rPr>
                <w:color w:val="000000"/>
                <w:sz w:val="16"/>
                <w:szCs w:val="16"/>
              </w:rPr>
            </w:pPr>
            <w:r>
              <w:rPr>
                <w:bCs/>
                <w:color w:val="000000"/>
                <w:sz w:val="16"/>
                <w:szCs w:val="16"/>
              </w:rPr>
              <w:t>805.2</w:t>
            </w:r>
          </w:p>
        </w:tc>
        <w:tc>
          <w:tcPr>
            <w:tcW w:w="1171" w:type="dxa"/>
            <w:tcBorders>
              <w:top w:val="nil"/>
              <w:left w:val="nil"/>
              <w:bottom w:val="nil"/>
              <w:right w:val="nil"/>
            </w:tcBorders>
          </w:tcPr>
          <w:p w:rsidR="006A38BB" w:rsidRDefault="000107C1">
            <w:pPr>
              <w:spacing w:line="288" w:lineRule="auto"/>
              <w:ind w:right="284"/>
              <w:jc w:val="right"/>
              <w:rPr>
                <w:color w:val="000000"/>
                <w:sz w:val="16"/>
                <w:szCs w:val="16"/>
              </w:rPr>
            </w:pPr>
            <w:r>
              <w:rPr>
                <w:bCs/>
                <w:color w:val="000000"/>
                <w:sz w:val="16"/>
                <w:szCs w:val="16"/>
              </w:rPr>
              <w:t>20.4</w:t>
            </w:r>
          </w:p>
        </w:tc>
      </w:tr>
      <w:tr w:rsidR="006A38BB">
        <w:trPr>
          <w:trHeight w:val="20"/>
          <w:jc w:val="center"/>
        </w:trPr>
        <w:tc>
          <w:tcPr>
            <w:tcW w:w="3894" w:type="dxa"/>
            <w:tcBorders>
              <w:top w:val="nil"/>
              <w:bottom w:val="nil"/>
              <w:right w:val="single" w:sz="4" w:space="0" w:color="808080" w:themeColor="background1" w:themeShade="80"/>
            </w:tcBorders>
            <w:shd w:val="clear" w:color="auto" w:fill="auto"/>
          </w:tcPr>
          <w:p w:rsidR="006A38BB" w:rsidRDefault="000107C1">
            <w:pPr>
              <w:spacing w:line="288" w:lineRule="auto"/>
              <w:rPr>
                <w:b/>
                <w:sz w:val="16"/>
                <w:szCs w:val="16"/>
              </w:rPr>
            </w:pPr>
            <w:r>
              <w:rPr>
                <w:sz w:val="16"/>
                <w:szCs w:val="16"/>
              </w:rPr>
              <w:t>Waste management</w:t>
            </w:r>
          </w:p>
        </w:tc>
        <w:tc>
          <w:tcPr>
            <w:tcW w:w="1290" w:type="dxa"/>
            <w:tcBorders>
              <w:top w:val="nil"/>
              <w:left w:val="single" w:sz="4" w:space="0" w:color="808080" w:themeColor="background1" w:themeShade="80"/>
              <w:bottom w:val="nil"/>
              <w:right w:val="nil"/>
            </w:tcBorders>
            <w:shd w:val="clear" w:color="auto" w:fill="auto"/>
          </w:tcPr>
          <w:p w:rsidR="006A38BB" w:rsidRDefault="000107C1">
            <w:pPr>
              <w:spacing w:line="288" w:lineRule="auto"/>
              <w:ind w:right="284"/>
              <w:jc w:val="right"/>
              <w:rPr>
                <w:color w:val="000000"/>
                <w:sz w:val="16"/>
                <w:szCs w:val="16"/>
              </w:rPr>
            </w:pPr>
            <w:r>
              <w:rPr>
                <w:bCs/>
                <w:color w:val="000000"/>
                <w:sz w:val="16"/>
                <w:szCs w:val="16"/>
              </w:rPr>
              <w:t>29160.6</w:t>
            </w:r>
          </w:p>
        </w:tc>
        <w:tc>
          <w:tcPr>
            <w:tcW w:w="1290" w:type="dxa"/>
            <w:tcBorders>
              <w:top w:val="nil"/>
              <w:left w:val="nil"/>
              <w:bottom w:val="nil"/>
              <w:right w:val="nil"/>
            </w:tcBorders>
            <w:shd w:val="clear" w:color="auto" w:fill="auto"/>
          </w:tcPr>
          <w:p w:rsidR="006A38BB" w:rsidRDefault="000107C1">
            <w:pPr>
              <w:spacing w:line="288" w:lineRule="auto"/>
              <w:ind w:right="284"/>
              <w:jc w:val="right"/>
              <w:rPr>
                <w:color w:val="000000"/>
                <w:sz w:val="16"/>
                <w:szCs w:val="16"/>
              </w:rPr>
            </w:pPr>
            <w:r>
              <w:rPr>
                <w:bCs/>
                <w:color w:val="000000"/>
                <w:sz w:val="16"/>
                <w:szCs w:val="16"/>
              </w:rPr>
              <w:t>30482.8</w:t>
            </w:r>
          </w:p>
        </w:tc>
        <w:tc>
          <w:tcPr>
            <w:tcW w:w="1274" w:type="dxa"/>
            <w:tcBorders>
              <w:top w:val="nil"/>
              <w:left w:val="nil"/>
              <w:bottom w:val="nil"/>
              <w:right w:val="nil"/>
            </w:tcBorders>
            <w:shd w:val="clear" w:color="auto" w:fill="auto"/>
          </w:tcPr>
          <w:p w:rsidR="006A38BB" w:rsidRDefault="000107C1">
            <w:pPr>
              <w:spacing w:line="288" w:lineRule="auto"/>
              <w:ind w:right="284"/>
              <w:jc w:val="right"/>
              <w:rPr>
                <w:color w:val="000000"/>
                <w:sz w:val="16"/>
                <w:szCs w:val="16"/>
              </w:rPr>
            </w:pPr>
            <w:r>
              <w:rPr>
                <w:bCs/>
                <w:color w:val="000000"/>
                <w:sz w:val="16"/>
                <w:szCs w:val="16"/>
              </w:rPr>
              <w:t>72.5</w:t>
            </w:r>
          </w:p>
        </w:tc>
        <w:tc>
          <w:tcPr>
            <w:tcW w:w="1174" w:type="dxa"/>
            <w:tcBorders>
              <w:top w:val="nil"/>
              <w:left w:val="nil"/>
              <w:bottom w:val="nil"/>
              <w:right w:val="nil"/>
            </w:tcBorders>
          </w:tcPr>
          <w:p w:rsidR="006A38BB" w:rsidRDefault="000107C1">
            <w:pPr>
              <w:spacing w:line="288" w:lineRule="auto"/>
              <w:ind w:right="284"/>
              <w:jc w:val="right"/>
              <w:rPr>
                <w:color w:val="000000"/>
                <w:sz w:val="16"/>
                <w:szCs w:val="16"/>
              </w:rPr>
            </w:pPr>
            <w:r>
              <w:rPr>
                <w:bCs/>
                <w:color w:val="000000"/>
                <w:sz w:val="16"/>
                <w:szCs w:val="16"/>
              </w:rPr>
              <w:t>1322.1</w:t>
            </w:r>
          </w:p>
        </w:tc>
        <w:tc>
          <w:tcPr>
            <w:tcW w:w="1171" w:type="dxa"/>
            <w:tcBorders>
              <w:top w:val="nil"/>
              <w:left w:val="nil"/>
              <w:bottom w:val="nil"/>
              <w:right w:val="nil"/>
            </w:tcBorders>
          </w:tcPr>
          <w:p w:rsidR="006A38BB" w:rsidRDefault="000107C1">
            <w:pPr>
              <w:spacing w:line="288" w:lineRule="auto"/>
              <w:ind w:right="284"/>
              <w:jc w:val="right"/>
              <w:rPr>
                <w:color w:val="000000"/>
                <w:sz w:val="16"/>
                <w:szCs w:val="16"/>
              </w:rPr>
            </w:pPr>
            <w:r>
              <w:rPr>
                <w:bCs/>
                <w:color w:val="000000"/>
                <w:sz w:val="16"/>
                <w:szCs w:val="16"/>
              </w:rPr>
              <w:t>4.5</w:t>
            </w:r>
          </w:p>
        </w:tc>
      </w:tr>
      <w:tr w:rsidR="006A38BB">
        <w:trPr>
          <w:trHeight w:val="20"/>
          <w:jc w:val="center"/>
        </w:trPr>
        <w:tc>
          <w:tcPr>
            <w:tcW w:w="3894" w:type="dxa"/>
            <w:tcBorders>
              <w:top w:val="nil"/>
              <w:bottom w:val="nil"/>
              <w:right w:val="single" w:sz="4" w:space="0" w:color="808080" w:themeColor="background1" w:themeShade="80"/>
            </w:tcBorders>
            <w:shd w:val="clear" w:color="auto" w:fill="auto"/>
          </w:tcPr>
          <w:p w:rsidR="006A38BB" w:rsidRDefault="000107C1">
            <w:pPr>
              <w:spacing w:line="288" w:lineRule="auto"/>
              <w:rPr>
                <w:sz w:val="16"/>
                <w:szCs w:val="16"/>
              </w:rPr>
            </w:pPr>
            <w:r>
              <w:rPr>
                <w:sz w:val="16"/>
                <w:szCs w:val="16"/>
              </w:rPr>
              <w:t>Other</w:t>
            </w:r>
            <w:r>
              <w:rPr>
                <w:sz w:val="16"/>
                <w:szCs w:val="16"/>
                <w:vertAlign w:val="superscript"/>
              </w:rPr>
              <w:t>2)</w:t>
            </w:r>
          </w:p>
        </w:tc>
        <w:tc>
          <w:tcPr>
            <w:tcW w:w="1290" w:type="dxa"/>
            <w:tcBorders>
              <w:top w:val="nil"/>
              <w:left w:val="single" w:sz="4" w:space="0" w:color="808080" w:themeColor="background1" w:themeShade="80"/>
              <w:bottom w:val="nil"/>
              <w:right w:val="nil"/>
            </w:tcBorders>
            <w:shd w:val="clear" w:color="auto" w:fill="auto"/>
          </w:tcPr>
          <w:p w:rsidR="006A38BB" w:rsidRDefault="000107C1">
            <w:pPr>
              <w:spacing w:line="288" w:lineRule="auto"/>
              <w:ind w:right="284"/>
              <w:jc w:val="right"/>
              <w:rPr>
                <w:color w:val="000000"/>
                <w:sz w:val="16"/>
                <w:szCs w:val="16"/>
              </w:rPr>
            </w:pPr>
            <w:r>
              <w:rPr>
                <w:bCs/>
                <w:color w:val="000000"/>
                <w:sz w:val="16"/>
                <w:szCs w:val="16"/>
              </w:rPr>
              <w:t>4598.0</w:t>
            </w:r>
          </w:p>
        </w:tc>
        <w:tc>
          <w:tcPr>
            <w:tcW w:w="1290" w:type="dxa"/>
            <w:tcBorders>
              <w:top w:val="nil"/>
              <w:left w:val="nil"/>
              <w:bottom w:val="nil"/>
              <w:right w:val="nil"/>
            </w:tcBorders>
            <w:shd w:val="clear" w:color="auto" w:fill="auto"/>
          </w:tcPr>
          <w:p w:rsidR="006A38BB" w:rsidRDefault="000107C1">
            <w:pPr>
              <w:spacing w:line="288" w:lineRule="auto"/>
              <w:ind w:right="284"/>
              <w:jc w:val="right"/>
              <w:rPr>
                <w:color w:val="000000"/>
                <w:sz w:val="16"/>
                <w:szCs w:val="16"/>
              </w:rPr>
            </w:pPr>
            <w:r>
              <w:rPr>
                <w:bCs/>
                <w:color w:val="000000"/>
                <w:sz w:val="16"/>
                <w:szCs w:val="16"/>
              </w:rPr>
              <w:t>5258.6</w:t>
            </w:r>
          </w:p>
        </w:tc>
        <w:tc>
          <w:tcPr>
            <w:tcW w:w="1274" w:type="dxa"/>
            <w:tcBorders>
              <w:top w:val="nil"/>
              <w:left w:val="nil"/>
              <w:bottom w:val="nil"/>
              <w:right w:val="nil"/>
            </w:tcBorders>
            <w:shd w:val="clear" w:color="auto" w:fill="auto"/>
          </w:tcPr>
          <w:p w:rsidR="006A38BB" w:rsidRDefault="000107C1">
            <w:pPr>
              <w:spacing w:line="288" w:lineRule="auto"/>
              <w:ind w:right="284"/>
              <w:jc w:val="right"/>
              <w:rPr>
                <w:color w:val="000000"/>
                <w:sz w:val="16"/>
                <w:szCs w:val="16"/>
              </w:rPr>
            </w:pPr>
            <w:r>
              <w:rPr>
                <w:bCs/>
                <w:color w:val="000000"/>
                <w:sz w:val="16"/>
                <w:szCs w:val="16"/>
              </w:rPr>
              <w:t>12.5</w:t>
            </w:r>
          </w:p>
        </w:tc>
        <w:tc>
          <w:tcPr>
            <w:tcW w:w="1174" w:type="dxa"/>
            <w:tcBorders>
              <w:top w:val="nil"/>
              <w:left w:val="nil"/>
              <w:bottom w:val="nil"/>
              <w:right w:val="nil"/>
            </w:tcBorders>
          </w:tcPr>
          <w:p w:rsidR="006A38BB" w:rsidRDefault="000107C1">
            <w:pPr>
              <w:spacing w:line="288" w:lineRule="auto"/>
              <w:ind w:right="284"/>
              <w:jc w:val="right"/>
              <w:rPr>
                <w:color w:val="000000"/>
                <w:sz w:val="16"/>
                <w:szCs w:val="16"/>
              </w:rPr>
            </w:pPr>
            <w:r>
              <w:rPr>
                <w:bCs/>
                <w:color w:val="000000"/>
                <w:sz w:val="16"/>
                <w:szCs w:val="16"/>
              </w:rPr>
              <w:t>660.6</w:t>
            </w:r>
          </w:p>
        </w:tc>
        <w:tc>
          <w:tcPr>
            <w:tcW w:w="1171" w:type="dxa"/>
            <w:tcBorders>
              <w:top w:val="nil"/>
              <w:left w:val="nil"/>
              <w:bottom w:val="nil"/>
              <w:right w:val="nil"/>
            </w:tcBorders>
          </w:tcPr>
          <w:p w:rsidR="006A38BB" w:rsidRDefault="000107C1">
            <w:pPr>
              <w:spacing w:line="288" w:lineRule="auto"/>
              <w:ind w:right="284"/>
              <w:jc w:val="right"/>
              <w:rPr>
                <w:color w:val="000000"/>
                <w:sz w:val="16"/>
                <w:szCs w:val="16"/>
              </w:rPr>
            </w:pPr>
            <w:r>
              <w:rPr>
                <w:bCs/>
                <w:color w:val="000000"/>
                <w:sz w:val="16"/>
                <w:szCs w:val="16"/>
              </w:rPr>
              <w:t>14.4</w:t>
            </w:r>
          </w:p>
        </w:tc>
      </w:tr>
    </w:tbl>
    <w:p w:rsidR="006A38BB" w:rsidRDefault="000107C1">
      <w:pPr>
        <w:spacing w:before="240"/>
        <w:jc w:val="both"/>
      </w:pPr>
      <w:r>
        <w:rPr>
          <w:noProof/>
          <w:lang w:val="en-US"/>
        </w:rPr>
        <mc:AlternateContent>
          <mc:Choice Requires="wps">
            <w:drawing>
              <wp:anchor distT="0" distB="0" distL="114300" distR="114300" simplePos="0" relativeHeight="251660288" behindDoc="0" locked="0" layoutInCell="1" allowOverlap="1">
                <wp:simplePos x="0" y="0"/>
                <wp:positionH relativeFrom="column">
                  <wp:posOffset>14605</wp:posOffset>
                </wp:positionH>
                <wp:positionV relativeFrom="paragraph">
                  <wp:posOffset>195580</wp:posOffset>
                </wp:positionV>
                <wp:extent cx="16002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1600200" cy="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margin-left:1.15pt;margin-top:15.4pt;height:0pt;width:126pt;z-index:251660288;mso-width-relative:page;mso-height-relative:page;" filled="f" stroked="t" coordsize="21600,21600" o:gfxdata="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">
                <v:fill on="f" focussize="0,0"/>
                <v:stroke weight="0.5pt" color="#BFBFBF [2412]" miterlimit="8" joinstyle="miter"/>
                <v:imagedata o:title=""/>
                <o:lock v:ext="edit" aspectratio="f"/>
              </v:line>
            </w:pict>
          </mc:Fallback>
        </mc:AlternateContent>
      </w:r>
    </w:p>
    <w:p w:rsidR="006A38BB" w:rsidRDefault="000107C1">
      <w:pPr>
        <w:ind w:left="113" w:hanging="113"/>
        <w:rPr>
          <w:sz w:val="14"/>
          <w:szCs w:val="14"/>
        </w:rPr>
      </w:pPr>
      <w:r>
        <w:rPr>
          <w:sz w:val="14"/>
          <w:szCs w:val="14"/>
          <w:vertAlign w:val="superscript"/>
        </w:rPr>
        <w:t xml:space="preserve">2) </w:t>
      </w:r>
      <w:r>
        <w:rPr>
          <w:sz w:val="14"/>
          <w:szCs w:val="14"/>
        </w:rPr>
        <w:t xml:space="preserve">Protection and remediation of land, underground and surface waters; Noise and vibration protection; Nature protection; Other activities related to environmental protection.    </w:t>
      </w:r>
    </w:p>
    <w:p w:rsidR="006A38BB" w:rsidRDefault="006A38BB">
      <w:pPr>
        <w:rPr>
          <w:sz w:val="14"/>
          <w:szCs w:val="14"/>
        </w:rPr>
      </w:pPr>
    </w:p>
    <w:p w:rsidR="006A38BB" w:rsidRDefault="006A38BB">
      <w:pPr>
        <w:rPr>
          <w:sz w:val="14"/>
          <w:szCs w:val="14"/>
        </w:rPr>
      </w:pPr>
    </w:p>
    <w:p w:rsidR="006A38BB" w:rsidRDefault="006A38BB">
      <w:pPr>
        <w:rPr>
          <w:sz w:val="14"/>
          <w:szCs w:val="14"/>
        </w:rPr>
      </w:pPr>
    </w:p>
    <w:p w:rsidR="006A38BB" w:rsidRDefault="006A38BB">
      <w:pPr>
        <w:rPr>
          <w:sz w:val="14"/>
          <w:szCs w:val="14"/>
        </w:rPr>
      </w:pPr>
    </w:p>
    <w:p w:rsidR="006A38BB" w:rsidRDefault="006A38BB">
      <w:pPr>
        <w:rPr>
          <w:sz w:val="16"/>
          <w:szCs w:val="16"/>
          <w:vertAlign w:val="superscript"/>
        </w:rPr>
      </w:pPr>
    </w:p>
    <w:p w:rsidR="006A38BB" w:rsidRDefault="000107C1">
      <w:pPr>
        <w:spacing w:before="240" w:after="120"/>
        <w:ind w:firstLine="397"/>
      </w:pPr>
      <w:r>
        <w:rPr>
          <w:spacing w:val="-2"/>
        </w:rPr>
        <w:t xml:space="preserve">Methodological explanations of the calculation of costs for environmental protection expenditures can be found on SORS website </w:t>
      </w:r>
      <w:hyperlink r:id="rId10" w:history="1">
        <w:r>
          <w:rPr>
            <w:rStyle w:val="Hyperlink"/>
          </w:rPr>
          <w:t>https://data.stat.gov.rs/Metadata/25_Zivotna%20sredina/Html/09020301_ESMS_G0_2016_1.html</w:t>
        </w:r>
      </w:hyperlink>
    </w:p>
    <w:p w:rsidR="006A38BB" w:rsidRDefault="000107C1">
      <w:pPr>
        <w:spacing w:before="120" w:after="120" w:line="288" w:lineRule="auto"/>
        <w:ind w:firstLine="397"/>
        <w:jc w:val="both"/>
      </w:pPr>
      <w:r>
        <w:t>Starting from 1999 the Statistical Office of the Republic of Serbia has not at disposal and may not provide available certain data relative to AP Kosovo and Metohija and therefore these data are not included in the coverage for the Republic of Serbia (total).</w:t>
      </w:r>
    </w:p>
    <w:p w:rsidR="006A38BB" w:rsidRDefault="006A38BB">
      <w:pPr>
        <w:jc w:val="center"/>
        <w:rPr>
          <w:sz w:val="18"/>
          <w:szCs w:val="18"/>
        </w:rPr>
      </w:pPr>
    </w:p>
    <w:p w:rsidR="006A38BB" w:rsidRDefault="006A38BB">
      <w:pPr>
        <w:jc w:val="center"/>
        <w:rPr>
          <w:sz w:val="18"/>
          <w:szCs w:val="18"/>
        </w:rPr>
      </w:pPr>
    </w:p>
    <w:p w:rsidR="006A38BB" w:rsidRDefault="006A38BB">
      <w:pPr>
        <w:jc w:val="center"/>
        <w:rPr>
          <w:sz w:val="18"/>
          <w:szCs w:val="18"/>
        </w:rPr>
      </w:pPr>
    </w:p>
    <w:p w:rsidR="006A38BB" w:rsidRDefault="006A38BB">
      <w:pPr>
        <w:jc w:val="center"/>
        <w:rPr>
          <w:sz w:val="18"/>
          <w:szCs w:val="18"/>
        </w:rPr>
      </w:pPr>
    </w:p>
    <w:p w:rsidR="006A38BB" w:rsidRDefault="006A38BB">
      <w:pPr>
        <w:jc w:val="center"/>
        <w:rPr>
          <w:sz w:val="18"/>
          <w:szCs w:val="18"/>
        </w:rPr>
      </w:pPr>
    </w:p>
    <w:p w:rsidR="006A38BB" w:rsidRDefault="006A38BB">
      <w:pPr>
        <w:jc w:val="center"/>
        <w:rPr>
          <w:sz w:val="18"/>
          <w:szCs w:val="18"/>
        </w:rPr>
      </w:pPr>
    </w:p>
    <w:p w:rsidR="006A38BB" w:rsidRDefault="006A38BB">
      <w:pPr>
        <w:jc w:val="center"/>
        <w:rPr>
          <w:sz w:val="18"/>
          <w:szCs w:val="18"/>
        </w:rPr>
      </w:pPr>
    </w:p>
    <w:p w:rsidR="006A38BB" w:rsidRDefault="006A38BB">
      <w:pPr>
        <w:jc w:val="center"/>
        <w:rPr>
          <w:sz w:val="18"/>
          <w:szCs w:val="18"/>
        </w:rPr>
      </w:pPr>
    </w:p>
    <w:p w:rsidR="006A38BB" w:rsidRDefault="006A38BB">
      <w:pPr>
        <w:jc w:val="center"/>
        <w:rPr>
          <w:sz w:val="18"/>
          <w:szCs w:val="18"/>
        </w:rPr>
      </w:pPr>
    </w:p>
    <w:p w:rsidR="006A38BB" w:rsidRDefault="006A38BB">
      <w:pPr>
        <w:jc w:val="center"/>
        <w:rPr>
          <w:sz w:val="18"/>
          <w:szCs w:val="18"/>
        </w:rPr>
      </w:pPr>
    </w:p>
    <w:p w:rsidR="006A38BB" w:rsidRDefault="006A38BB">
      <w:pPr>
        <w:jc w:val="center"/>
        <w:rPr>
          <w:sz w:val="18"/>
          <w:szCs w:val="18"/>
        </w:rPr>
      </w:pPr>
    </w:p>
    <w:p w:rsidR="006A38BB" w:rsidRDefault="006A38BB">
      <w:pPr>
        <w:jc w:val="center"/>
        <w:rPr>
          <w:sz w:val="18"/>
          <w:szCs w:val="18"/>
        </w:rPr>
      </w:pPr>
    </w:p>
    <w:p w:rsidR="00E14D2C" w:rsidRDefault="00E14D2C">
      <w:pPr>
        <w:jc w:val="center"/>
        <w:rPr>
          <w:sz w:val="18"/>
          <w:szCs w:val="18"/>
        </w:rPr>
      </w:pPr>
    </w:p>
    <w:p w:rsidR="00E14D2C" w:rsidRDefault="00E14D2C">
      <w:pPr>
        <w:jc w:val="center"/>
        <w:rPr>
          <w:sz w:val="18"/>
          <w:szCs w:val="18"/>
        </w:rPr>
      </w:pPr>
    </w:p>
    <w:p w:rsidR="006A38BB" w:rsidRDefault="006A38BB">
      <w:pPr>
        <w:jc w:val="center"/>
        <w:rPr>
          <w:sz w:val="18"/>
          <w:szCs w:val="18"/>
        </w:rPr>
      </w:pPr>
    </w:p>
    <w:p w:rsidR="006A38BB" w:rsidRDefault="006A38BB">
      <w:pPr>
        <w:jc w:val="center"/>
        <w:rPr>
          <w:sz w:val="18"/>
          <w:szCs w:val="18"/>
        </w:rPr>
      </w:pPr>
    </w:p>
    <w:p w:rsidR="006A38BB" w:rsidRDefault="006A38BB">
      <w:pPr>
        <w:jc w:val="center"/>
        <w:rPr>
          <w:sz w:val="18"/>
          <w:szCs w:val="18"/>
        </w:rPr>
      </w:pPr>
    </w:p>
    <w:tbl>
      <w:tblPr>
        <w:tblW w:w="0" w:type="auto"/>
        <w:jc w:val="center"/>
        <w:tblBorders>
          <w:top w:val="single" w:sz="4" w:space="0" w:color="808080" w:themeColor="background1" w:themeShade="80"/>
        </w:tblBorders>
        <w:tblCellMar>
          <w:left w:w="28" w:type="dxa"/>
          <w:right w:w="28" w:type="dxa"/>
        </w:tblCellMar>
        <w:tblLook w:val="04A0" w:firstRow="1" w:lastRow="0" w:firstColumn="1" w:lastColumn="0" w:noHBand="0" w:noVBand="1"/>
      </w:tblPr>
      <w:tblGrid>
        <w:gridCol w:w="8505"/>
      </w:tblGrid>
      <w:tr w:rsidR="006A38BB" w:rsidTr="00E14D2C">
        <w:trPr>
          <w:jc w:val="center"/>
        </w:trPr>
        <w:tc>
          <w:tcPr>
            <w:tcW w:w="8505" w:type="dxa"/>
            <w:shd w:val="clear" w:color="auto" w:fill="auto"/>
          </w:tcPr>
          <w:p w:rsidR="006A38BB" w:rsidRDefault="000107C1">
            <w:pPr>
              <w:autoSpaceDE w:val="0"/>
              <w:autoSpaceDN w:val="0"/>
              <w:adjustRightInd w:val="0"/>
              <w:spacing w:before="120"/>
              <w:jc w:val="center"/>
              <w:rPr>
                <w:color w:val="000000"/>
                <w:sz w:val="18"/>
                <w:szCs w:val="18"/>
              </w:rPr>
            </w:pPr>
            <w:r>
              <w:rPr>
                <w:color w:val="000000"/>
                <w:sz w:val="18"/>
                <w:szCs w:val="18"/>
              </w:rPr>
              <w:t>Contact:</w:t>
            </w:r>
            <w:hyperlink r:id="rId11" w:history="1">
              <w:r w:rsidR="002B394A" w:rsidRPr="00A2755D">
                <w:rPr>
                  <w:rStyle w:val="Hyperlink"/>
                  <w:sz w:val="18"/>
                  <w:szCs w:val="18"/>
                  <w:lang w:val="sr-Cyrl-CS"/>
                </w:rPr>
                <w:t xml:space="preserve"> </w:t>
              </w:r>
              <w:r w:rsidR="002B394A" w:rsidRPr="00A2755D">
                <w:rPr>
                  <w:rStyle w:val="Hyperlink"/>
                  <w:sz w:val="18"/>
                  <w:szCs w:val="18"/>
                  <w:lang w:val="sr-Latn-RS"/>
                </w:rPr>
                <w:t>ana.vignjevic</w:t>
              </w:r>
              <w:r w:rsidR="002B394A" w:rsidRPr="00A2755D">
                <w:rPr>
                  <w:rStyle w:val="Hyperlink"/>
                  <w:sz w:val="18"/>
                  <w:szCs w:val="18"/>
                  <w:lang w:val="sr-Cyrl-CS"/>
                </w:rPr>
                <w:t>@stat.gov.rs</w:t>
              </w:r>
              <w:r w:rsidR="002B394A" w:rsidRPr="00A2755D">
                <w:rPr>
                  <w:rStyle w:val="Hyperlink"/>
                  <w:sz w:val="18"/>
                  <w:szCs w:val="18"/>
                  <w:lang w:val="sr-Latn-RS"/>
                </w:rPr>
                <w:t>,</w:t>
              </w:r>
              <w:r w:rsidR="002B394A" w:rsidRPr="00A2755D">
                <w:rPr>
                  <w:rStyle w:val="Hyperlink"/>
                  <w:sz w:val="18"/>
                  <w:szCs w:val="18"/>
                  <w:lang w:val="sr-Cyrl-CS"/>
                </w:rPr>
                <w:t xml:space="preserve"> </w:t>
              </w:r>
              <w:r w:rsidR="002B394A" w:rsidRPr="00A2755D">
                <w:rPr>
                  <w:rStyle w:val="Hyperlink"/>
                  <w:sz w:val="18"/>
                  <w:szCs w:val="18"/>
                  <w:lang w:val="sr-Latn-RS"/>
                </w:rPr>
                <w:t>gordana.isailovic</w:t>
              </w:r>
              <w:r w:rsidR="002B394A" w:rsidRPr="00A2755D">
                <w:rPr>
                  <w:rStyle w:val="Hyperlink"/>
                  <w:sz w:val="18"/>
                  <w:szCs w:val="18"/>
                  <w:lang w:val="sr-Cyrl-CS"/>
                </w:rPr>
                <w:t>@</w:t>
              </w:r>
              <w:r w:rsidR="002B394A" w:rsidRPr="00A2755D">
                <w:rPr>
                  <w:rStyle w:val="Hyperlink"/>
                  <w:sz w:val="18"/>
                  <w:szCs w:val="18"/>
                </w:rPr>
                <w:t>stat</w:t>
              </w:r>
              <w:r w:rsidR="002B394A" w:rsidRPr="00A2755D">
                <w:rPr>
                  <w:rStyle w:val="Hyperlink"/>
                  <w:sz w:val="18"/>
                  <w:szCs w:val="18"/>
                  <w:lang w:val="sr-Cyrl-CS"/>
                </w:rPr>
                <w:t>.</w:t>
              </w:r>
              <w:r w:rsidR="002B394A" w:rsidRPr="00A2755D">
                <w:rPr>
                  <w:rStyle w:val="Hyperlink"/>
                  <w:sz w:val="18"/>
                  <w:szCs w:val="18"/>
                </w:rPr>
                <w:t>gov</w:t>
              </w:r>
              <w:r w:rsidR="002B394A" w:rsidRPr="00A2755D">
                <w:rPr>
                  <w:rStyle w:val="Hyperlink"/>
                  <w:sz w:val="18"/>
                  <w:szCs w:val="18"/>
                  <w:lang w:val="sr-Cyrl-CS"/>
                </w:rPr>
                <w:t>.</w:t>
              </w:r>
              <w:r w:rsidR="002B394A" w:rsidRPr="00A2755D">
                <w:rPr>
                  <w:rStyle w:val="Hyperlink"/>
                  <w:sz w:val="18"/>
                  <w:szCs w:val="18"/>
                </w:rPr>
                <w:t>rs</w:t>
              </w:r>
            </w:hyperlink>
            <w:r w:rsidR="00F740AF" w:rsidRPr="0012371B">
              <w:rPr>
                <w:sz w:val="18"/>
                <w:szCs w:val="18"/>
                <w:lang w:val="sr-Cyrl-CS"/>
              </w:rPr>
              <w:t xml:space="preserve"> </w:t>
            </w:r>
            <w:r w:rsidR="00F740AF">
              <w:rPr>
                <w:sz w:val="18"/>
                <w:szCs w:val="18"/>
                <w:lang w:val="ru-RU"/>
              </w:rPr>
              <w:t xml:space="preserve"> </w:t>
            </w:r>
            <w:r>
              <w:rPr>
                <w:color w:val="000000"/>
                <w:sz w:val="18"/>
                <w:szCs w:val="18"/>
              </w:rPr>
              <w:t xml:space="preserve">Phone: </w:t>
            </w:r>
            <w:r>
              <w:rPr>
                <w:sz w:val="18"/>
                <w:szCs w:val="18"/>
              </w:rPr>
              <w:t>011 3087-001</w:t>
            </w:r>
          </w:p>
          <w:p w:rsidR="006A38BB" w:rsidRDefault="000107C1">
            <w:pPr>
              <w:jc w:val="center"/>
              <w:rPr>
                <w:iCs/>
                <w:sz w:val="18"/>
                <w:szCs w:val="18"/>
              </w:rPr>
            </w:pPr>
            <w:r>
              <w:rPr>
                <w:iCs/>
                <w:sz w:val="18"/>
                <w:szCs w:val="18"/>
              </w:rPr>
              <w:t>Published and printed by: Statistical Office of the Republic of Serbia, 11 050 Belgrade, Milana Rakica 5</w:t>
            </w:r>
          </w:p>
          <w:p w:rsidR="006A38BB" w:rsidRDefault="000107C1">
            <w:pPr>
              <w:jc w:val="center"/>
              <w:rPr>
                <w:iCs/>
                <w:sz w:val="18"/>
                <w:szCs w:val="18"/>
              </w:rPr>
            </w:pPr>
            <w:r>
              <w:rPr>
                <w:iCs/>
                <w:sz w:val="18"/>
                <w:szCs w:val="18"/>
              </w:rPr>
              <w:t xml:space="preserve">Phone: +381 11 2412922 </w:t>
            </w:r>
            <w:r>
              <w:rPr>
                <w:sz w:val="18"/>
                <w:szCs w:val="18"/>
              </w:rPr>
              <w:t>(telephone exchange)</w:t>
            </w:r>
            <w:r>
              <w:rPr>
                <w:iCs/>
                <w:sz w:val="18"/>
                <w:szCs w:val="18"/>
              </w:rPr>
              <w:t xml:space="preserve">● Fax: +381 11 2411260 ● www.stat.gov.rs  </w:t>
            </w:r>
          </w:p>
          <w:p w:rsidR="006A38BB" w:rsidRDefault="000107C1">
            <w:pPr>
              <w:jc w:val="center"/>
              <w:rPr>
                <w:iCs/>
                <w:sz w:val="18"/>
                <w:szCs w:val="18"/>
              </w:rPr>
            </w:pPr>
            <w:r>
              <w:rPr>
                <w:iCs/>
                <w:sz w:val="18"/>
                <w:szCs w:val="18"/>
              </w:rPr>
              <w:t>Responsible: Dr Miladin Kovačević, Director</w:t>
            </w:r>
          </w:p>
          <w:p w:rsidR="006A38BB" w:rsidRDefault="000107C1">
            <w:pPr>
              <w:jc w:val="center"/>
              <w:rPr>
                <w:sz w:val="18"/>
                <w:szCs w:val="18"/>
              </w:rPr>
            </w:pPr>
            <w:r>
              <w:rPr>
                <w:color w:val="000000"/>
                <w:sz w:val="18"/>
                <w:szCs w:val="18"/>
              </w:rPr>
              <w:t>Circulation: 20 ● Issued annually</w:t>
            </w:r>
          </w:p>
        </w:tc>
      </w:tr>
    </w:tbl>
    <w:p w:rsidR="006A38BB" w:rsidRDefault="006A38BB">
      <w:pPr>
        <w:jc w:val="center"/>
        <w:rPr>
          <w:sz w:val="18"/>
          <w:szCs w:val="18"/>
        </w:rPr>
      </w:pPr>
    </w:p>
    <w:sectPr w:rsidR="006A38BB">
      <w:footerReference w:type="even" r:id="rId12"/>
      <w:footerReference w:type="default" r:id="rId13"/>
      <w:pgSz w:w="11907" w:h="16840"/>
      <w:pgMar w:top="907" w:right="907" w:bottom="907" w:left="907"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5E95" w:rsidRDefault="00D55E95">
      <w:r>
        <w:separator/>
      </w:r>
    </w:p>
  </w:endnote>
  <w:endnote w:type="continuationSeparator" w:id="0">
    <w:p w:rsidR="00D55E95" w:rsidRDefault="00D55E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altName w:val="DejaVu Sans"/>
    <w:panose1 w:val="020B0604030504040204"/>
    <w:charset w:val="00"/>
    <w:family w:val="swiss"/>
    <w:notTrueType/>
    <w:pitch w:val="variable"/>
    <w:sig w:usb0="00000003" w:usb1="00000000" w:usb2="00000000" w:usb3="00000000" w:csb0="00000001" w:csb1="00000000"/>
  </w:font>
  <w:font w:name="Verdana">
    <w:altName w:val="Aroania"/>
    <w:panose1 w:val="020B0604030504040204"/>
    <w:charset w:val="00"/>
    <w:family w:val="swiss"/>
    <w:pitch w:val="variable"/>
    <w:sig w:usb0="A00006FF" w:usb1="4000205B" w:usb2="00000010" w:usb3="00000000" w:csb0="0000019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3000509000000000000"/>
    <w:charset w:val="86"/>
    <w:family w:val="script"/>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insideH w:val="single" w:sz="4" w:space="0" w:color="auto"/>
      </w:tblBorders>
      <w:tblLook w:val="04A0" w:firstRow="1" w:lastRow="0" w:firstColumn="1" w:lastColumn="0" w:noHBand="0" w:noVBand="1"/>
    </w:tblPr>
    <w:tblGrid>
      <w:gridCol w:w="5037"/>
      <w:gridCol w:w="5056"/>
    </w:tblGrid>
    <w:tr w:rsidR="006A38BB">
      <w:tc>
        <w:tcPr>
          <w:tcW w:w="5210" w:type="dxa"/>
          <w:tcBorders>
            <w:top w:val="single" w:sz="4" w:space="0" w:color="auto"/>
            <w:left w:val="nil"/>
            <w:bottom w:val="nil"/>
            <w:right w:val="nil"/>
          </w:tcBorders>
        </w:tcPr>
        <w:p w:rsidR="006A38BB" w:rsidRDefault="000107C1">
          <w:pPr>
            <w:spacing w:before="120"/>
            <w:rPr>
              <w:sz w:val="16"/>
              <w:szCs w:val="16"/>
            </w:rPr>
          </w:pPr>
          <w:r>
            <w:rPr>
              <w:sz w:val="16"/>
              <w:szCs w:val="16"/>
            </w:rPr>
            <w:fldChar w:fldCharType="begin"/>
          </w:r>
          <w:r>
            <w:rPr>
              <w:sz w:val="16"/>
              <w:szCs w:val="16"/>
            </w:rPr>
            <w:instrText xml:space="preserve"> PAGE </w:instrText>
          </w:r>
          <w:r>
            <w:rPr>
              <w:sz w:val="16"/>
              <w:szCs w:val="16"/>
            </w:rPr>
            <w:fldChar w:fldCharType="separate"/>
          </w:r>
          <w:r w:rsidR="004419DF">
            <w:rPr>
              <w:noProof/>
              <w:sz w:val="16"/>
              <w:szCs w:val="16"/>
            </w:rPr>
            <w:t>2</w:t>
          </w:r>
          <w:r>
            <w:rPr>
              <w:sz w:val="16"/>
              <w:szCs w:val="16"/>
            </w:rPr>
            <w:fldChar w:fldCharType="end"/>
          </w:r>
        </w:p>
      </w:tc>
      <w:tc>
        <w:tcPr>
          <w:tcW w:w="5211" w:type="dxa"/>
          <w:tcBorders>
            <w:top w:val="single" w:sz="4" w:space="0" w:color="auto"/>
            <w:left w:val="nil"/>
            <w:bottom w:val="nil"/>
          </w:tcBorders>
        </w:tcPr>
        <w:p w:rsidR="006A38BB" w:rsidRDefault="000107C1">
          <w:pPr>
            <w:spacing w:before="120"/>
            <w:jc w:val="right"/>
            <w:rPr>
              <w:sz w:val="16"/>
              <w:szCs w:val="16"/>
            </w:rPr>
          </w:pPr>
          <w:r>
            <w:rPr>
              <w:sz w:val="16"/>
              <w:szCs w:val="16"/>
            </w:rPr>
            <w:t xml:space="preserve">SRB311 </w:t>
          </w:r>
          <w:r>
            <w:rPr>
              <w:sz w:val="16"/>
              <w:szCs w:val="16"/>
              <w:lang w:val="sr-Latn-CS"/>
            </w:rPr>
            <w:t>ZS91 171123</w:t>
          </w:r>
        </w:p>
      </w:tc>
    </w:tr>
  </w:tbl>
  <w:p w:rsidR="006A38BB" w:rsidRDefault="006A38BB">
    <w:pP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insideH w:val="single" w:sz="4" w:space="0" w:color="auto"/>
      </w:tblBorders>
      <w:tblLook w:val="04A0" w:firstRow="1" w:lastRow="0" w:firstColumn="1" w:lastColumn="0" w:noHBand="0" w:noVBand="1"/>
    </w:tblPr>
    <w:tblGrid>
      <w:gridCol w:w="5159"/>
      <w:gridCol w:w="5150"/>
    </w:tblGrid>
    <w:tr w:rsidR="006A38BB">
      <w:tc>
        <w:tcPr>
          <w:tcW w:w="5210" w:type="dxa"/>
          <w:tcBorders>
            <w:top w:val="single" w:sz="4" w:space="0" w:color="auto"/>
            <w:bottom w:val="nil"/>
            <w:right w:val="nil"/>
          </w:tcBorders>
        </w:tcPr>
        <w:p w:rsidR="006A38BB" w:rsidRDefault="000107C1">
          <w:pPr>
            <w:spacing w:before="120"/>
            <w:rPr>
              <w:sz w:val="16"/>
              <w:szCs w:val="16"/>
              <w:lang w:val="sr-Latn-CS"/>
            </w:rPr>
          </w:pPr>
          <w:r>
            <w:rPr>
              <w:sz w:val="16"/>
              <w:szCs w:val="16"/>
            </w:rPr>
            <w:t>СРБ306</w:t>
          </w:r>
          <w:r>
            <w:rPr>
              <w:sz w:val="16"/>
              <w:szCs w:val="16"/>
              <w:lang w:val="sr-Cyrl-CS"/>
            </w:rPr>
            <w:t>НР50 201115</w:t>
          </w:r>
        </w:p>
      </w:tc>
      <w:tc>
        <w:tcPr>
          <w:tcW w:w="5211" w:type="dxa"/>
          <w:tcBorders>
            <w:top w:val="single" w:sz="4" w:space="0" w:color="auto"/>
            <w:left w:val="nil"/>
            <w:bottom w:val="nil"/>
          </w:tcBorders>
        </w:tcPr>
        <w:p w:rsidR="006A38BB" w:rsidRDefault="000107C1">
          <w:pPr>
            <w:spacing w:before="120"/>
            <w:jc w:val="right"/>
            <w:rPr>
              <w:sz w:val="16"/>
              <w:szCs w:val="16"/>
            </w:rPr>
          </w:pPr>
          <w:r>
            <w:rPr>
              <w:sz w:val="16"/>
              <w:szCs w:val="16"/>
            </w:rPr>
            <w:fldChar w:fldCharType="begin"/>
          </w:r>
          <w:r>
            <w:rPr>
              <w:sz w:val="16"/>
              <w:szCs w:val="16"/>
            </w:rPr>
            <w:instrText xml:space="preserve"> PAGE </w:instrText>
          </w:r>
          <w:r>
            <w:rPr>
              <w:sz w:val="16"/>
              <w:szCs w:val="16"/>
            </w:rPr>
            <w:fldChar w:fldCharType="separate"/>
          </w:r>
          <w:r>
            <w:rPr>
              <w:sz w:val="16"/>
              <w:szCs w:val="16"/>
            </w:rPr>
            <w:t>3</w:t>
          </w:r>
          <w:r>
            <w:rPr>
              <w:sz w:val="16"/>
              <w:szCs w:val="16"/>
            </w:rPr>
            <w:fldChar w:fldCharType="end"/>
          </w:r>
        </w:p>
      </w:tc>
    </w:tr>
  </w:tbl>
  <w:p w:rsidR="006A38BB" w:rsidRDefault="006A38BB">
    <w:pP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5E95" w:rsidRDefault="00D55E95">
      <w:r>
        <w:separator/>
      </w:r>
    </w:p>
  </w:footnote>
  <w:footnote w:type="continuationSeparator" w:id="0">
    <w:p w:rsidR="00D55E95" w:rsidRDefault="00D55E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14"/>
  <w:doNotHyphenateCaps/>
  <w:evenAndOddHeaders/>
  <w:drawingGridHorizontalSpacing w:val="11"/>
  <w:drawingGridVerticalSpacing w:val="11"/>
  <w:characterSpacingControl w:val="doNotCompress"/>
  <w:savePreviewPicture/>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E5F"/>
    <w:rsid w:val="00000071"/>
    <w:rsid w:val="000034A9"/>
    <w:rsid w:val="000034E4"/>
    <w:rsid w:val="000049E7"/>
    <w:rsid w:val="000053A6"/>
    <w:rsid w:val="00007FBD"/>
    <w:rsid w:val="000107C1"/>
    <w:rsid w:val="00013950"/>
    <w:rsid w:val="0001599D"/>
    <w:rsid w:val="00017AE7"/>
    <w:rsid w:val="00021C9B"/>
    <w:rsid w:val="00023215"/>
    <w:rsid w:val="00023B4C"/>
    <w:rsid w:val="000261BF"/>
    <w:rsid w:val="000267D7"/>
    <w:rsid w:val="0003083D"/>
    <w:rsid w:val="00034AEC"/>
    <w:rsid w:val="0004045B"/>
    <w:rsid w:val="00040BA0"/>
    <w:rsid w:val="000439EE"/>
    <w:rsid w:val="00043FF5"/>
    <w:rsid w:val="000443BC"/>
    <w:rsid w:val="00044AD5"/>
    <w:rsid w:val="0004503B"/>
    <w:rsid w:val="00046A38"/>
    <w:rsid w:val="00046A41"/>
    <w:rsid w:val="000471FF"/>
    <w:rsid w:val="00055943"/>
    <w:rsid w:val="00057A0F"/>
    <w:rsid w:val="00060D51"/>
    <w:rsid w:val="00063B99"/>
    <w:rsid w:val="000664C2"/>
    <w:rsid w:val="00066F42"/>
    <w:rsid w:val="00067EB3"/>
    <w:rsid w:val="00073936"/>
    <w:rsid w:val="000748B0"/>
    <w:rsid w:val="00075881"/>
    <w:rsid w:val="000766D4"/>
    <w:rsid w:val="00076873"/>
    <w:rsid w:val="000803DD"/>
    <w:rsid w:val="00087B68"/>
    <w:rsid w:val="00087C1B"/>
    <w:rsid w:val="0009315B"/>
    <w:rsid w:val="0009529F"/>
    <w:rsid w:val="000A2DB5"/>
    <w:rsid w:val="000A48A2"/>
    <w:rsid w:val="000A6A3B"/>
    <w:rsid w:val="000B2C58"/>
    <w:rsid w:val="000B3802"/>
    <w:rsid w:val="000C1BE1"/>
    <w:rsid w:val="000C1DD3"/>
    <w:rsid w:val="000C4CBC"/>
    <w:rsid w:val="000C784B"/>
    <w:rsid w:val="000C7ABF"/>
    <w:rsid w:val="000C7CC4"/>
    <w:rsid w:val="000D2620"/>
    <w:rsid w:val="000D32E9"/>
    <w:rsid w:val="000D4726"/>
    <w:rsid w:val="000D53E2"/>
    <w:rsid w:val="000D6957"/>
    <w:rsid w:val="000D7A37"/>
    <w:rsid w:val="000E0B38"/>
    <w:rsid w:val="000E1208"/>
    <w:rsid w:val="000E1739"/>
    <w:rsid w:val="000E4058"/>
    <w:rsid w:val="000E457C"/>
    <w:rsid w:val="000E4DEF"/>
    <w:rsid w:val="000F0A91"/>
    <w:rsid w:val="000F126A"/>
    <w:rsid w:val="000F4AF7"/>
    <w:rsid w:val="000F57B1"/>
    <w:rsid w:val="0010039D"/>
    <w:rsid w:val="001034CA"/>
    <w:rsid w:val="001057A8"/>
    <w:rsid w:val="00106A6E"/>
    <w:rsid w:val="00110976"/>
    <w:rsid w:val="00110F39"/>
    <w:rsid w:val="001148A4"/>
    <w:rsid w:val="00120DC5"/>
    <w:rsid w:val="001245F5"/>
    <w:rsid w:val="00124E8D"/>
    <w:rsid w:val="00130CE3"/>
    <w:rsid w:val="00130D77"/>
    <w:rsid w:val="00132AB5"/>
    <w:rsid w:val="00133AC4"/>
    <w:rsid w:val="0014018B"/>
    <w:rsid w:val="001417E5"/>
    <w:rsid w:val="00144DCF"/>
    <w:rsid w:val="00146BF8"/>
    <w:rsid w:val="00146F50"/>
    <w:rsid w:val="00151D72"/>
    <w:rsid w:val="00155E60"/>
    <w:rsid w:val="001577B8"/>
    <w:rsid w:val="00160D2D"/>
    <w:rsid w:val="00161C21"/>
    <w:rsid w:val="00161D65"/>
    <w:rsid w:val="00162FC7"/>
    <w:rsid w:val="0016393C"/>
    <w:rsid w:val="00163ABD"/>
    <w:rsid w:val="00165B24"/>
    <w:rsid w:val="0016684F"/>
    <w:rsid w:val="00167D23"/>
    <w:rsid w:val="00172BA5"/>
    <w:rsid w:val="00174C07"/>
    <w:rsid w:val="00174E1D"/>
    <w:rsid w:val="00175CCA"/>
    <w:rsid w:val="00175D07"/>
    <w:rsid w:val="00175E04"/>
    <w:rsid w:val="00176BA3"/>
    <w:rsid w:val="00177684"/>
    <w:rsid w:val="00180434"/>
    <w:rsid w:val="001809CA"/>
    <w:rsid w:val="0018121E"/>
    <w:rsid w:val="0018679C"/>
    <w:rsid w:val="001872D8"/>
    <w:rsid w:val="00191987"/>
    <w:rsid w:val="00194F9C"/>
    <w:rsid w:val="0019546C"/>
    <w:rsid w:val="00196304"/>
    <w:rsid w:val="001A2928"/>
    <w:rsid w:val="001A305E"/>
    <w:rsid w:val="001A3FF7"/>
    <w:rsid w:val="001A5008"/>
    <w:rsid w:val="001A77B5"/>
    <w:rsid w:val="001B1519"/>
    <w:rsid w:val="001B1F89"/>
    <w:rsid w:val="001B2E96"/>
    <w:rsid w:val="001B376E"/>
    <w:rsid w:val="001B3C15"/>
    <w:rsid w:val="001B416B"/>
    <w:rsid w:val="001B4B42"/>
    <w:rsid w:val="001C080E"/>
    <w:rsid w:val="001C094C"/>
    <w:rsid w:val="001C0DC6"/>
    <w:rsid w:val="001C19D0"/>
    <w:rsid w:val="001C23EB"/>
    <w:rsid w:val="001C2F8B"/>
    <w:rsid w:val="001C31AD"/>
    <w:rsid w:val="001C3719"/>
    <w:rsid w:val="001C38FC"/>
    <w:rsid w:val="001C53BD"/>
    <w:rsid w:val="001D17AA"/>
    <w:rsid w:val="001D23DB"/>
    <w:rsid w:val="001E008D"/>
    <w:rsid w:val="001E0342"/>
    <w:rsid w:val="001E24FA"/>
    <w:rsid w:val="001E2578"/>
    <w:rsid w:val="001E665F"/>
    <w:rsid w:val="001F2E55"/>
    <w:rsid w:val="001F3ABF"/>
    <w:rsid w:val="001F6480"/>
    <w:rsid w:val="001F6898"/>
    <w:rsid w:val="002002E6"/>
    <w:rsid w:val="002005FB"/>
    <w:rsid w:val="00201EC0"/>
    <w:rsid w:val="00204857"/>
    <w:rsid w:val="00205188"/>
    <w:rsid w:val="00205B73"/>
    <w:rsid w:val="002109EE"/>
    <w:rsid w:val="00210AC6"/>
    <w:rsid w:val="0021187F"/>
    <w:rsid w:val="00212808"/>
    <w:rsid w:val="00214D2C"/>
    <w:rsid w:val="00220ABD"/>
    <w:rsid w:val="00225696"/>
    <w:rsid w:val="002274A9"/>
    <w:rsid w:val="00231C1A"/>
    <w:rsid w:val="00233606"/>
    <w:rsid w:val="002338F2"/>
    <w:rsid w:val="00233D2F"/>
    <w:rsid w:val="00237399"/>
    <w:rsid w:val="00243857"/>
    <w:rsid w:val="00244503"/>
    <w:rsid w:val="00246009"/>
    <w:rsid w:val="002460A5"/>
    <w:rsid w:val="00246177"/>
    <w:rsid w:val="00247186"/>
    <w:rsid w:val="00254875"/>
    <w:rsid w:val="00256318"/>
    <w:rsid w:val="00256399"/>
    <w:rsid w:val="002577D1"/>
    <w:rsid w:val="00265B29"/>
    <w:rsid w:val="00266953"/>
    <w:rsid w:val="0027099B"/>
    <w:rsid w:val="00270CA6"/>
    <w:rsid w:val="002714E6"/>
    <w:rsid w:val="00275D4F"/>
    <w:rsid w:val="00276B63"/>
    <w:rsid w:val="00277662"/>
    <w:rsid w:val="00277F75"/>
    <w:rsid w:val="002806DC"/>
    <w:rsid w:val="002814A0"/>
    <w:rsid w:val="002826B6"/>
    <w:rsid w:val="00284F57"/>
    <w:rsid w:val="00285A7E"/>
    <w:rsid w:val="00285B0F"/>
    <w:rsid w:val="0028769D"/>
    <w:rsid w:val="0029008C"/>
    <w:rsid w:val="002961F4"/>
    <w:rsid w:val="002973A2"/>
    <w:rsid w:val="002A3110"/>
    <w:rsid w:val="002A7A06"/>
    <w:rsid w:val="002B01FB"/>
    <w:rsid w:val="002B394A"/>
    <w:rsid w:val="002B3D37"/>
    <w:rsid w:val="002B54CB"/>
    <w:rsid w:val="002B7024"/>
    <w:rsid w:val="002C2C17"/>
    <w:rsid w:val="002C4EC4"/>
    <w:rsid w:val="002C5654"/>
    <w:rsid w:val="002C6218"/>
    <w:rsid w:val="002D0E4C"/>
    <w:rsid w:val="002D4408"/>
    <w:rsid w:val="002D6BA4"/>
    <w:rsid w:val="002E2049"/>
    <w:rsid w:val="002E311C"/>
    <w:rsid w:val="002E619E"/>
    <w:rsid w:val="002E67FE"/>
    <w:rsid w:val="002E7BD2"/>
    <w:rsid w:val="002F1F25"/>
    <w:rsid w:val="002F3B5A"/>
    <w:rsid w:val="002F575B"/>
    <w:rsid w:val="002F723C"/>
    <w:rsid w:val="002F7471"/>
    <w:rsid w:val="003014F9"/>
    <w:rsid w:val="00303366"/>
    <w:rsid w:val="0030344F"/>
    <w:rsid w:val="00305331"/>
    <w:rsid w:val="0031163C"/>
    <w:rsid w:val="0031508B"/>
    <w:rsid w:val="0031664D"/>
    <w:rsid w:val="00334507"/>
    <w:rsid w:val="00337626"/>
    <w:rsid w:val="00341AE4"/>
    <w:rsid w:val="00344F34"/>
    <w:rsid w:val="00345F38"/>
    <w:rsid w:val="00346534"/>
    <w:rsid w:val="003472A6"/>
    <w:rsid w:val="00357146"/>
    <w:rsid w:val="0036003E"/>
    <w:rsid w:val="003620E3"/>
    <w:rsid w:val="00362392"/>
    <w:rsid w:val="00362875"/>
    <w:rsid w:val="0036561A"/>
    <w:rsid w:val="00367ABC"/>
    <w:rsid w:val="003712D8"/>
    <w:rsid w:val="0037335D"/>
    <w:rsid w:val="00374EB9"/>
    <w:rsid w:val="00377573"/>
    <w:rsid w:val="003778DB"/>
    <w:rsid w:val="00377EA2"/>
    <w:rsid w:val="0038067D"/>
    <w:rsid w:val="00380AD2"/>
    <w:rsid w:val="003811AA"/>
    <w:rsid w:val="00382772"/>
    <w:rsid w:val="00384759"/>
    <w:rsid w:val="003868DB"/>
    <w:rsid w:val="00386CE6"/>
    <w:rsid w:val="003870B9"/>
    <w:rsid w:val="00390467"/>
    <w:rsid w:val="00390972"/>
    <w:rsid w:val="00392B6B"/>
    <w:rsid w:val="003948EC"/>
    <w:rsid w:val="00395898"/>
    <w:rsid w:val="00395B71"/>
    <w:rsid w:val="003A2F46"/>
    <w:rsid w:val="003A742D"/>
    <w:rsid w:val="003B2E9E"/>
    <w:rsid w:val="003B3064"/>
    <w:rsid w:val="003B602E"/>
    <w:rsid w:val="003C08A8"/>
    <w:rsid w:val="003C4653"/>
    <w:rsid w:val="003C4EB0"/>
    <w:rsid w:val="003C52A9"/>
    <w:rsid w:val="003C6D85"/>
    <w:rsid w:val="003D37B1"/>
    <w:rsid w:val="003D4FFC"/>
    <w:rsid w:val="003D685B"/>
    <w:rsid w:val="003E06F2"/>
    <w:rsid w:val="003E23E7"/>
    <w:rsid w:val="003E3C34"/>
    <w:rsid w:val="003E6600"/>
    <w:rsid w:val="003F120F"/>
    <w:rsid w:val="003F124A"/>
    <w:rsid w:val="003F3CB9"/>
    <w:rsid w:val="00400BED"/>
    <w:rsid w:val="00403A1C"/>
    <w:rsid w:val="0041219D"/>
    <w:rsid w:val="00412B5A"/>
    <w:rsid w:val="00413011"/>
    <w:rsid w:val="00413AB8"/>
    <w:rsid w:val="00416599"/>
    <w:rsid w:val="00416D14"/>
    <w:rsid w:val="0041739D"/>
    <w:rsid w:val="004207A1"/>
    <w:rsid w:val="004207D9"/>
    <w:rsid w:val="00421C2C"/>
    <w:rsid w:val="00423590"/>
    <w:rsid w:val="0043154C"/>
    <w:rsid w:val="00431B92"/>
    <w:rsid w:val="00431CD2"/>
    <w:rsid w:val="00432A9E"/>
    <w:rsid w:val="00432F75"/>
    <w:rsid w:val="00433D51"/>
    <w:rsid w:val="00435E65"/>
    <w:rsid w:val="00436886"/>
    <w:rsid w:val="00437370"/>
    <w:rsid w:val="00440054"/>
    <w:rsid w:val="004419DF"/>
    <w:rsid w:val="00441AE6"/>
    <w:rsid w:val="00443CB3"/>
    <w:rsid w:val="00445E9B"/>
    <w:rsid w:val="0044671B"/>
    <w:rsid w:val="004510FD"/>
    <w:rsid w:val="00457A57"/>
    <w:rsid w:val="00460D4D"/>
    <w:rsid w:val="004621A2"/>
    <w:rsid w:val="00462270"/>
    <w:rsid w:val="00462CEE"/>
    <w:rsid w:val="004704E5"/>
    <w:rsid w:val="00476072"/>
    <w:rsid w:val="00482144"/>
    <w:rsid w:val="00482895"/>
    <w:rsid w:val="004835AE"/>
    <w:rsid w:val="004934DE"/>
    <w:rsid w:val="00493C46"/>
    <w:rsid w:val="00493CD5"/>
    <w:rsid w:val="004946DA"/>
    <w:rsid w:val="00494FFC"/>
    <w:rsid w:val="004958A5"/>
    <w:rsid w:val="00495AFE"/>
    <w:rsid w:val="004974D6"/>
    <w:rsid w:val="004A189B"/>
    <w:rsid w:val="004A3C5E"/>
    <w:rsid w:val="004A3F92"/>
    <w:rsid w:val="004A4AED"/>
    <w:rsid w:val="004A5992"/>
    <w:rsid w:val="004B0A92"/>
    <w:rsid w:val="004B49A9"/>
    <w:rsid w:val="004B4CCA"/>
    <w:rsid w:val="004B56AF"/>
    <w:rsid w:val="004B6A06"/>
    <w:rsid w:val="004C2D9B"/>
    <w:rsid w:val="004C39C2"/>
    <w:rsid w:val="004C63BF"/>
    <w:rsid w:val="004D0462"/>
    <w:rsid w:val="004D0798"/>
    <w:rsid w:val="004D1357"/>
    <w:rsid w:val="004D2A23"/>
    <w:rsid w:val="004D4105"/>
    <w:rsid w:val="004D6373"/>
    <w:rsid w:val="004D648E"/>
    <w:rsid w:val="004D7E5A"/>
    <w:rsid w:val="004E03F4"/>
    <w:rsid w:val="004E0CCB"/>
    <w:rsid w:val="004E266D"/>
    <w:rsid w:val="004E2A2C"/>
    <w:rsid w:val="004E4946"/>
    <w:rsid w:val="004E5ADD"/>
    <w:rsid w:val="004F0088"/>
    <w:rsid w:val="004F0F73"/>
    <w:rsid w:val="004F4449"/>
    <w:rsid w:val="004F4876"/>
    <w:rsid w:val="004F4A78"/>
    <w:rsid w:val="004F5F83"/>
    <w:rsid w:val="004F612F"/>
    <w:rsid w:val="004F62AE"/>
    <w:rsid w:val="00500F5E"/>
    <w:rsid w:val="00502C16"/>
    <w:rsid w:val="00503166"/>
    <w:rsid w:val="005044DC"/>
    <w:rsid w:val="00504807"/>
    <w:rsid w:val="005062DF"/>
    <w:rsid w:val="00506D55"/>
    <w:rsid w:val="00507B65"/>
    <w:rsid w:val="00510BDA"/>
    <w:rsid w:val="0051192E"/>
    <w:rsid w:val="00513623"/>
    <w:rsid w:val="00513FAF"/>
    <w:rsid w:val="00516896"/>
    <w:rsid w:val="0052041A"/>
    <w:rsid w:val="0052044E"/>
    <w:rsid w:val="005208E4"/>
    <w:rsid w:val="00520A8A"/>
    <w:rsid w:val="00520D45"/>
    <w:rsid w:val="0052221E"/>
    <w:rsid w:val="00523583"/>
    <w:rsid w:val="00523EEB"/>
    <w:rsid w:val="005243E8"/>
    <w:rsid w:val="00524691"/>
    <w:rsid w:val="00527173"/>
    <w:rsid w:val="00530932"/>
    <w:rsid w:val="0053192E"/>
    <w:rsid w:val="0053752E"/>
    <w:rsid w:val="005452E1"/>
    <w:rsid w:val="0054652E"/>
    <w:rsid w:val="00546D94"/>
    <w:rsid w:val="00547280"/>
    <w:rsid w:val="00557DB8"/>
    <w:rsid w:val="005603F7"/>
    <w:rsid w:val="005605E2"/>
    <w:rsid w:val="00563780"/>
    <w:rsid w:val="00564063"/>
    <w:rsid w:val="00567ABC"/>
    <w:rsid w:val="00570E04"/>
    <w:rsid w:val="0058196E"/>
    <w:rsid w:val="005831F5"/>
    <w:rsid w:val="00585FCA"/>
    <w:rsid w:val="00591F3B"/>
    <w:rsid w:val="00592C13"/>
    <w:rsid w:val="00595754"/>
    <w:rsid w:val="00596A18"/>
    <w:rsid w:val="00597702"/>
    <w:rsid w:val="005A28AF"/>
    <w:rsid w:val="005B323C"/>
    <w:rsid w:val="005B6E72"/>
    <w:rsid w:val="005C10E4"/>
    <w:rsid w:val="005C4034"/>
    <w:rsid w:val="005C40DD"/>
    <w:rsid w:val="005C58EB"/>
    <w:rsid w:val="005C6B4C"/>
    <w:rsid w:val="005D2746"/>
    <w:rsid w:val="005D79E8"/>
    <w:rsid w:val="005E1D06"/>
    <w:rsid w:val="005E232F"/>
    <w:rsid w:val="005E75B7"/>
    <w:rsid w:val="005F408E"/>
    <w:rsid w:val="005F68E1"/>
    <w:rsid w:val="005F68E6"/>
    <w:rsid w:val="005F6D50"/>
    <w:rsid w:val="005F706E"/>
    <w:rsid w:val="006024D6"/>
    <w:rsid w:val="006046B5"/>
    <w:rsid w:val="00605CAC"/>
    <w:rsid w:val="006063F3"/>
    <w:rsid w:val="00611B35"/>
    <w:rsid w:val="00612779"/>
    <w:rsid w:val="006149ED"/>
    <w:rsid w:val="00614C60"/>
    <w:rsid w:val="006164EA"/>
    <w:rsid w:val="006203B1"/>
    <w:rsid w:val="00620BE5"/>
    <w:rsid w:val="0062269D"/>
    <w:rsid w:val="00624AE1"/>
    <w:rsid w:val="0062656C"/>
    <w:rsid w:val="00626811"/>
    <w:rsid w:val="00626DB8"/>
    <w:rsid w:val="006272D3"/>
    <w:rsid w:val="00627E99"/>
    <w:rsid w:val="006351F0"/>
    <w:rsid w:val="00643ED7"/>
    <w:rsid w:val="006444DB"/>
    <w:rsid w:val="00646A6B"/>
    <w:rsid w:val="00651014"/>
    <w:rsid w:val="00651333"/>
    <w:rsid w:val="00655270"/>
    <w:rsid w:val="00655C6C"/>
    <w:rsid w:val="00657E7A"/>
    <w:rsid w:val="00662ABE"/>
    <w:rsid w:val="00662AF2"/>
    <w:rsid w:val="006669BD"/>
    <w:rsid w:val="006670F7"/>
    <w:rsid w:val="0067052F"/>
    <w:rsid w:val="006707A4"/>
    <w:rsid w:val="0067119B"/>
    <w:rsid w:val="00672093"/>
    <w:rsid w:val="0067357E"/>
    <w:rsid w:val="0067636C"/>
    <w:rsid w:val="00676E1B"/>
    <w:rsid w:val="00677A51"/>
    <w:rsid w:val="00686FCA"/>
    <w:rsid w:val="00687AA9"/>
    <w:rsid w:val="00687D62"/>
    <w:rsid w:val="006907C1"/>
    <w:rsid w:val="00690999"/>
    <w:rsid w:val="00690DF8"/>
    <w:rsid w:val="00692DC4"/>
    <w:rsid w:val="00694D9C"/>
    <w:rsid w:val="00697BF7"/>
    <w:rsid w:val="006A38BB"/>
    <w:rsid w:val="006A40AB"/>
    <w:rsid w:val="006A7E8E"/>
    <w:rsid w:val="006B0492"/>
    <w:rsid w:val="006B339F"/>
    <w:rsid w:val="006B4529"/>
    <w:rsid w:val="006B4D05"/>
    <w:rsid w:val="006B52DB"/>
    <w:rsid w:val="006B5A54"/>
    <w:rsid w:val="006B7517"/>
    <w:rsid w:val="006B7937"/>
    <w:rsid w:val="006C078D"/>
    <w:rsid w:val="006C50F2"/>
    <w:rsid w:val="006C6640"/>
    <w:rsid w:val="006D01D0"/>
    <w:rsid w:val="006D15A0"/>
    <w:rsid w:val="006D362E"/>
    <w:rsid w:val="006D50C8"/>
    <w:rsid w:val="006E29DE"/>
    <w:rsid w:val="006E3135"/>
    <w:rsid w:val="006E4AD6"/>
    <w:rsid w:val="006E5DB8"/>
    <w:rsid w:val="006E653F"/>
    <w:rsid w:val="006E69A3"/>
    <w:rsid w:val="006E6B4C"/>
    <w:rsid w:val="006E7AF4"/>
    <w:rsid w:val="006F19F9"/>
    <w:rsid w:val="006F35D2"/>
    <w:rsid w:val="006F4F1C"/>
    <w:rsid w:val="006F63E6"/>
    <w:rsid w:val="006F7059"/>
    <w:rsid w:val="006F712C"/>
    <w:rsid w:val="00704508"/>
    <w:rsid w:val="00706F55"/>
    <w:rsid w:val="007074DC"/>
    <w:rsid w:val="00707A41"/>
    <w:rsid w:val="0071482E"/>
    <w:rsid w:val="00722F9B"/>
    <w:rsid w:val="00723EB0"/>
    <w:rsid w:val="007251CE"/>
    <w:rsid w:val="00730B71"/>
    <w:rsid w:val="0073113A"/>
    <w:rsid w:val="007312D6"/>
    <w:rsid w:val="007327DD"/>
    <w:rsid w:val="0073524A"/>
    <w:rsid w:val="007430BB"/>
    <w:rsid w:val="007431B3"/>
    <w:rsid w:val="00743FDD"/>
    <w:rsid w:val="0075006A"/>
    <w:rsid w:val="00750CA0"/>
    <w:rsid w:val="007513E5"/>
    <w:rsid w:val="007515CD"/>
    <w:rsid w:val="00751B92"/>
    <w:rsid w:val="00751BA2"/>
    <w:rsid w:val="00751EC2"/>
    <w:rsid w:val="00752E82"/>
    <w:rsid w:val="00753F7C"/>
    <w:rsid w:val="00754837"/>
    <w:rsid w:val="0075497F"/>
    <w:rsid w:val="00767C6C"/>
    <w:rsid w:val="007706EE"/>
    <w:rsid w:val="0077107B"/>
    <w:rsid w:val="0077161C"/>
    <w:rsid w:val="007722B2"/>
    <w:rsid w:val="0077734A"/>
    <w:rsid w:val="00785B62"/>
    <w:rsid w:val="00787581"/>
    <w:rsid w:val="00791F5B"/>
    <w:rsid w:val="00793124"/>
    <w:rsid w:val="00796D48"/>
    <w:rsid w:val="007A1F5A"/>
    <w:rsid w:val="007A231F"/>
    <w:rsid w:val="007A4A07"/>
    <w:rsid w:val="007A551E"/>
    <w:rsid w:val="007B2F2C"/>
    <w:rsid w:val="007C07D3"/>
    <w:rsid w:val="007C4D1D"/>
    <w:rsid w:val="007C4DE7"/>
    <w:rsid w:val="007C56DA"/>
    <w:rsid w:val="007C689F"/>
    <w:rsid w:val="007D3AA8"/>
    <w:rsid w:val="007D4AF9"/>
    <w:rsid w:val="007D5B2C"/>
    <w:rsid w:val="007D7BD4"/>
    <w:rsid w:val="007E2A9A"/>
    <w:rsid w:val="007E2BD1"/>
    <w:rsid w:val="007E3FD2"/>
    <w:rsid w:val="007E4E6C"/>
    <w:rsid w:val="007E6E68"/>
    <w:rsid w:val="007F058D"/>
    <w:rsid w:val="007F1EB5"/>
    <w:rsid w:val="007F2E03"/>
    <w:rsid w:val="007F34C8"/>
    <w:rsid w:val="007F5A19"/>
    <w:rsid w:val="007F63EA"/>
    <w:rsid w:val="008015EB"/>
    <w:rsid w:val="008033B8"/>
    <w:rsid w:val="008114A9"/>
    <w:rsid w:val="008118E2"/>
    <w:rsid w:val="00811CA6"/>
    <w:rsid w:val="0081236A"/>
    <w:rsid w:val="00812EC1"/>
    <w:rsid w:val="00813621"/>
    <w:rsid w:val="00813DB7"/>
    <w:rsid w:val="00814B4C"/>
    <w:rsid w:val="008174D7"/>
    <w:rsid w:val="00822CBB"/>
    <w:rsid w:val="008278B9"/>
    <w:rsid w:val="0083078A"/>
    <w:rsid w:val="00840E5A"/>
    <w:rsid w:val="00842531"/>
    <w:rsid w:val="0084253A"/>
    <w:rsid w:val="00845491"/>
    <w:rsid w:val="00850DA0"/>
    <w:rsid w:val="00851B2B"/>
    <w:rsid w:val="00856A49"/>
    <w:rsid w:val="008577B3"/>
    <w:rsid w:val="00863BD0"/>
    <w:rsid w:val="00865950"/>
    <w:rsid w:val="0087146C"/>
    <w:rsid w:val="008728C7"/>
    <w:rsid w:val="00875065"/>
    <w:rsid w:val="008754DA"/>
    <w:rsid w:val="008776C0"/>
    <w:rsid w:val="008819FE"/>
    <w:rsid w:val="0089187A"/>
    <w:rsid w:val="00892C0C"/>
    <w:rsid w:val="0089377F"/>
    <w:rsid w:val="008A2E23"/>
    <w:rsid w:val="008B5159"/>
    <w:rsid w:val="008B6D92"/>
    <w:rsid w:val="008B6E10"/>
    <w:rsid w:val="008C22D5"/>
    <w:rsid w:val="008C3B72"/>
    <w:rsid w:val="008C44B8"/>
    <w:rsid w:val="008D0328"/>
    <w:rsid w:val="008D69F1"/>
    <w:rsid w:val="008D7F7A"/>
    <w:rsid w:val="008E0361"/>
    <w:rsid w:val="008E0687"/>
    <w:rsid w:val="008E1E47"/>
    <w:rsid w:val="008E2125"/>
    <w:rsid w:val="008E5FDA"/>
    <w:rsid w:val="008E7A21"/>
    <w:rsid w:val="008E7CF5"/>
    <w:rsid w:val="008F6347"/>
    <w:rsid w:val="00903DE7"/>
    <w:rsid w:val="00904BEC"/>
    <w:rsid w:val="0090577F"/>
    <w:rsid w:val="00906511"/>
    <w:rsid w:val="00910446"/>
    <w:rsid w:val="00913607"/>
    <w:rsid w:val="00920F5C"/>
    <w:rsid w:val="0092477D"/>
    <w:rsid w:val="00925410"/>
    <w:rsid w:val="00927CD9"/>
    <w:rsid w:val="009324E6"/>
    <w:rsid w:val="009328A6"/>
    <w:rsid w:val="00933260"/>
    <w:rsid w:val="00935F76"/>
    <w:rsid w:val="0093660D"/>
    <w:rsid w:val="00936FD5"/>
    <w:rsid w:val="00940DEA"/>
    <w:rsid w:val="00941639"/>
    <w:rsid w:val="00941E16"/>
    <w:rsid w:val="0094203E"/>
    <w:rsid w:val="0094211E"/>
    <w:rsid w:val="009430D1"/>
    <w:rsid w:val="00946629"/>
    <w:rsid w:val="00946A00"/>
    <w:rsid w:val="00950772"/>
    <w:rsid w:val="00950AC1"/>
    <w:rsid w:val="00952142"/>
    <w:rsid w:val="009524C3"/>
    <w:rsid w:val="00952F3D"/>
    <w:rsid w:val="00953B72"/>
    <w:rsid w:val="00955404"/>
    <w:rsid w:val="0095540F"/>
    <w:rsid w:val="00957B6A"/>
    <w:rsid w:val="009639E9"/>
    <w:rsid w:val="009640F2"/>
    <w:rsid w:val="0096647B"/>
    <w:rsid w:val="00973032"/>
    <w:rsid w:val="00973F22"/>
    <w:rsid w:val="0097524A"/>
    <w:rsid w:val="00980896"/>
    <w:rsid w:val="009822A0"/>
    <w:rsid w:val="00983FA1"/>
    <w:rsid w:val="00984A89"/>
    <w:rsid w:val="0098501D"/>
    <w:rsid w:val="00986DC1"/>
    <w:rsid w:val="009917E3"/>
    <w:rsid w:val="00996FBB"/>
    <w:rsid w:val="009973F7"/>
    <w:rsid w:val="00997843"/>
    <w:rsid w:val="009A31E3"/>
    <w:rsid w:val="009A3AEC"/>
    <w:rsid w:val="009A408C"/>
    <w:rsid w:val="009B0771"/>
    <w:rsid w:val="009B4153"/>
    <w:rsid w:val="009B4400"/>
    <w:rsid w:val="009B74D1"/>
    <w:rsid w:val="009C06F4"/>
    <w:rsid w:val="009C2AFD"/>
    <w:rsid w:val="009C5794"/>
    <w:rsid w:val="009D28E8"/>
    <w:rsid w:val="009D2F49"/>
    <w:rsid w:val="009D3151"/>
    <w:rsid w:val="009D4E86"/>
    <w:rsid w:val="009D648E"/>
    <w:rsid w:val="009E2639"/>
    <w:rsid w:val="009E2AF2"/>
    <w:rsid w:val="009E336C"/>
    <w:rsid w:val="009E4B29"/>
    <w:rsid w:val="009E4CF4"/>
    <w:rsid w:val="009E4F9B"/>
    <w:rsid w:val="009E655D"/>
    <w:rsid w:val="009F044C"/>
    <w:rsid w:val="009F11AD"/>
    <w:rsid w:val="009F7393"/>
    <w:rsid w:val="00A01C8B"/>
    <w:rsid w:val="00A01E04"/>
    <w:rsid w:val="00A035AB"/>
    <w:rsid w:val="00A061C6"/>
    <w:rsid w:val="00A10EB9"/>
    <w:rsid w:val="00A163E4"/>
    <w:rsid w:val="00A16495"/>
    <w:rsid w:val="00A1772E"/>
    <w:rsid w:val="00A17BDA"/>
    <w:rsid w:val="00A20D67"/>
    <w:rsid w:val="00A21344"/>
    <w:rsid w:val="00A24D49"/>
    <w:rsid w:val="00A25E54"/>
    <w:rsid w:val="00A50B8E"/>
    <w:rsid w:val="00A50CB9"/>
    <w:rsid w:val="00A55339"/>
    <w:rsid w:val="00A56CB2"/>
    <w:rsid w:val="00A570F7"/>
    <w:rsid w:val="00A605C7"/>
    <w:rsid w:val="00A609E9"/>
    <w:rsid w:val="00A61C2D"/>
    <w:rsid w:val="00A62320"/>
    <w:rsid w:val="00A62452"/>
    <w:rsid w:val="00A62EC1"/>
    <w:rsid w:val="00A7271D"/>
    <w:rsid w:val="00A74C66"/>
    <w:rsid w:val="00A7556A"/>
    <w:rsid w:val="00A75CF8"/>
    <w:rsid w:val="00A764C6"/>
    <w:rsid w:val="00A82348"/>
    <w:rsid w:val="00A84CB0"/>
    <w:rsid w:val="00A84F98"/>
    <w:rsid w:val="00A86745"/>
    <w:rsid w:val="00A9046A"/>
    <w:rsid w:val="00A91736"/>
    <w:rsid w:val="00A921D9"/>
    <w:rsid w:val="00A92638"/>
    <w:rsid w:val="00A929A5"/>
    <w:rsid w:val="00A933FF"/>
    <w:rsid w:val="00A93E93"/>
    <w:rsid w:val="00A950A0"/>
    <w:rsid w:val="00A95833"/>
    <w:rsid w:val="00AA0E77"/>
    <w:rsid w:val="00AA54DC"/>
    <w:rsid w:val="00AA6448"/>
    <w:rsid w:val="00AA65BB"/>
    <w:rsid w:val="00AB0F5F"/>
    <w:rsid w:val="00AB4CE9"/>
    <w:rsid w:val="00AB631C"/>
    <w:rsid w:val="00AC3594"/>
    <w:rsid w:val="00AC43D9"/>
    <w:rsid w:val="00AC44B5"/>
    <w:rsid w:val="00AC467A"/>
    <w:rsid w:val="00AC703A"/>
    <w:rsid w:val="00AD15BC"/>
    <w:rsid w:val="00AD1BB9"/>
    <w:rsid w:val="00AD2E5F"/>
    <w:rsid w:val="00AE2ACD"/>
    <w:rsid w:val="00AE36EB"/>
    <w:rsid w:val="00AE4134"/>
    <w:rsid w:val="00AE4E8D"/>
    <w:rsid w:val="00AE780C"/>
    <w:rsid w:val="00AF15E8"/>
    <w:rsid w:val="00AF23FB"/>
    <w:rsid w:val="00AF2B45"/>
    <w:rsid w:val="00B02624"/>
    <w:rsid w:val="00B02D0F"/>
    <w:rsid w:val="00B05DFA"/>
    <w:rsid w:val="00B10603"/>
    <w:rsid w:val="00B130CC"/>
    <w:rsid w:val="00B156EF"/>
    <w:rsid w:val="00B17B15"/>
    <w:rsid w:val="00B211BF"/>
    <w:rsid w:val="00B22014"/>
    <w:rsid w:val="00B23848"/>
    <w:rsid w:val="00B244DC"/>
    <w:rsid w:val="00B26B75"/>
    <w:rsid w:val="00B27091"/>
    <w:rsid w:val="00B2795C"/>
    <w:rsid w:val="00B27BD9"/>
    <w:rsid w:val="00B30C50"/>
    <w:rsid w:val="00B32A22"/>
    <w:rsid w:val="00B34198"/>
    <w:rsid w:val="00B358E6"/>
    <w:rsid w:val="00B35F2A"/>
    <w:rsid w:val="00B36A95"/>
    <w:rsid w:val="00B4577D"/>
    <w:rsid w:val="00B4700B"/>
    <w:rsid w:val="00B4738A"/>
    <w:rsid w:val="00B47D63"/>
    <w:rsid w:val="00B50286"/>
    <w:rsid w:val="00B550CB"/>
    <w:rsid w:val="00B55D7E"/>
    <w:rsid w:val="00B60C8C"/>
    <w:rsid w:val="00B62F12"/>
    <w:rsid w:val="00B63455"/>
    <w:rsid w:val="00B634A6"/>
    <w:rsid w:val="00B64573"/>
    <w:rsid w:val="00B65ABB"/>
    <w:rsid w:val="00B71FD5"/>
    <w:rsid w:val="00B7661A"/>
    <w:rsid w:val="00B76CFD"/>
    <w:rsid w:val="00B8306B"/>
    <w:rsid w:val="00B85079"/>
    <w:rsid w:val="00B8650C"/>
    <w:rsid w:val="00B86A39"/>
    <w:rsid w:val="00B8779F"/>
    <w:rsid w:val="00B910D8"/>
    <w:rsid w:val="00B916A3"/>
    <w:rsid w:val="00B92BA6"/>
    <w:rsid w:val="00B943D5"/>
    <w:rsid w:val="00B95348"/>
    <w:rsid w:val="00B967F5"/>
    <w:rsid w:val="00BA2A4A"/>
    <w:rsid w:val="00BA4D95"/>
    <w:rsid w:val="00BA50A8"/>
    <w:rsid w:val="00BA6296"/>
    <w:rsid w:val="00BA6321"/>
    <w:rsid w:val="00BB38EB"/>
    <w:rsid w:val="00BB6A8F"/>
    <w:rsid w:val="00BC2810"/>
    <w:rsid w:val="00BC4197"/>
    <w:rsid w:val="00BC5169"/>
    <w:rsid w:val="00BC5F23"/>
    <w:rsid w:val="00BC7440"/>
    <w:rsid w:val="00BE0489"/>
    <w:rsid w:val="00BE2839"/>
    <w:rsid w:val="00BE366A"/>
    <w:rsid w:val="00BF3411"/>
    <w:rsid w:val="00C0316A"/>
    <w:rsid w:val="00C031FA"/>
    <w:rsid w:val="00C0539B"/>
    <w:rsid w:val="00C12159"/>
    <w:rsid w:val="00C1239A"/>
    <w:rsid w:val="00C127A9"/>
    <w:rsid w:val="00C127B2"/>
    <w:rsid w:val="00C13D19"/>
    <w:rsid w:val="00C149A4"/>
    <w:rsid w:val="00C14CCA"/>
    <w:rsid w:val="00C153BD"/>
    <w:rsid w:val="00C16831"/>
    <w:rsid w:val="00C17FF1"/>
    <w:rsid w:val="00C22089"/>
    <w:rsid w:val="00C25926"/>
    <w:rsid w:val="00C27E77"/>
    <w:rsid w:val="00C31057"/>
    <w:rsid w:val="00C32249"/>
    <w:rsid w:val="00C32AA1"/>
    <w:rsid w:val="00C32AB8"/>
    <w:rsid w:val="00C3359D"/>
    <w:rsid w:val="00C37F67"/>
    <w:rsid w:val="00C418F4"/>
    <w:rsid w:val="00C52B20"/>
    <w:rsid w:val="00C5318A"/>
    <w:rsid w:val="00C55236"/>
    <w:rsid w:val="00C62862"/>
    <w:rsid w:val="00C63242"/>
    <w:rsid w:val="00C6412F"/>
    <w:rsid w:val="00C66556"/>
    <w:rsid w:val="00C66CF1"/>
    <w:rsid w:val="00C67855"/>
    <w:rsid w:val="00C7452A"/>
    <w:rsid w:val="00C748FB"/>
    <w:rsid w:val="00C76AC2"/>
    <w:rsid w:val="00C82551"/>
    <w:rsid w:val="00C85F5A"/>
    <w:rsid w:val="00C962F3"/>
    <w:rsid w:val="00C9704D"/>
    <w:rsid w:val="00CA16B2"/>
    <w:rsid w:val="00CA57E2"/>
    <w:rsid w:val="00CA666A"/>
    <w:rsid w:val="00CA78C3"/>
    <w:rsid w:val="00CB282A"/>
    <w:rsid w:val="00CB3327"/>
    <w:rsid w:val="00CB3388"/>
    <w:rsid w:val="00CC1772"/>
    <w:rsid w:val="00CC248D"/>
    <w:rsid w:val="00CC2991"/>
    <w:rsid w:val="00CC4C9D"/>
    <w:rsid w:val="00CC54BD"/>
    <w:rsid w:val="00CD02EA"/>
    <w:rsid w:val="00CD40C9"/>
    <w:rsid w:val="00CD60E5"/>
    <w:rsid w:val="00CD66CF"/>
    <w:rsid w:val="00CD6DB8"/>
    <w:rsid w:val="00CE17DA"/>
    <w:rsid w:val="00CE1979"/>
    <w:rsid w:val="00CE1BF6"/>
    <w:rsid w:val="00CE27F3"/>
    <w:rsid w:val="00CE386F"/>
    <w:rsid w:val="00CE435A"/>
    <w:rsid w:val="00CE5D0F"/>
    <w:rsid w:val="00CE7EC0"/>
    <w:rsid w:val="00CF20F9"/>
    <w:rsid w:val="00CF261A"/>
    <w:rsid w:val="00CF74C4"/>
    <w:rsid w:val="00D00005"/>
    <w:rsid w:val="00D020EF"/>
    <w:rsid w:val="00D02A56"/>
    <w:rsid w:val="00D0305D"/>
    <w:rsid w:val="00D03324"/>
    <w:rsid w:val="00D035E1"/>
    <w:rsid w:val="00D04553"/>
    <w:rsid w:val="00D04A93"/>
    <w:rsid w:val="00D075D6"/>
    <w:rsid w:val="00D124E5"/>
    <w:rsid w:val="00D15375"/>
    <w:rsid w:val="00D15AAF"/>
    <w:rsid w:val="00D20DCB"/>
    <w:rsid w:val="00D21338"/>
    <w:rsid w:val="00D25FB4"/>
    <w:rsid w:val="00D3084A"/>
    <w:rsid w:val="00D32C5D"/>
    <w:rsid w:val="00D3344E"/>
    <w:rsid w:val="00D36982"/>
    <w:rsid w:val="00D36AB4"/>
    <w:rsid w:val="00D37048"/>
    <w:rsid w:val="00D4193A"/>
    <w:rsid w:val="00D44043"/>
    <w:rsid w:val="00D55E95"/>
    <w:rsid w:val="00D5713A"/>
    <w:rsid w:val="00D6543B"/>
    <w:rsid w:val="00D6629C"/>
    <w:rsid w:val="00D66EB9"/>
    <w:rsid w:val="00D70F7B"/>
    <w:rsid w:val="00D72576"/>
    <w:rsid w:val="00D733D4"/>
    <w:rsid w:val="00D74863"/>
    <w:rsid w:val="00D75FCB"/>
    <w:rsid w:val="00D76DD4"/>
    <w:rsid w:val="00D810FE"/>
    <w:rsid w:val="00D84187"/>
    <w:rsid w:val="00D90437"/>
    <w:rsid w:val="00D92EE0"/>
    <w:rsid w:val="00D93DA8"/>
    <w:rsid w:val="00D940AD"/>
    <w:rsid w:val="00D948C3"/>
    <w:rsid w:val="00D95469"/>
    <w:rsid w:val="00D95B1D"/>
    <w:rsid w:val="00D97025"/>
    <w:rsid w:val="00DA14AE"/>
    <w:rsid w:val="00DA7C0E"/>
    <w:rsid w:val="00DB2B73"/>
    <w:rsid w:val="00DB3213"/>
    <w:rsid w:val="00DB3350"/>
    <w:rsid w:val="00DB36B5"/>
    <w:rsid w:val="00DB3E56"/>
    <w:rsid w:val="00DB7477"/>
    <w:rsid w:val="00DC38CB"/>
    <w:rsid w:val="00DC3BE0"/>
    <w:rsid w:val="00DC695B"/>
    <w:rsid w:val="00DD0C1B"/>
    <w:rsid w:val="00DD137F"/>
    <w:rsid w:val="00DD27B3"/>
    <w:rsid w:val="00DD3E95"/>
    <w:rsid w:val="00DD46E1"/>
    <w:rsid w:val="00DD4E7F"/>
    <w:rsid w:val="00DD676A"/>
    <w:rsid w:val="00DE1752"/>
    <w:rsid w:val="00DF06B0"/>
    <w:rsid w:val="00DF0777"/>
    <w:rsid w:val="00DF4A7D"/>
    <w:rsid w:val="00DF4D32"/>
    <w:rsid w:val="00DF608C"/>
    <w:rsid w:val="00DF7733"/>
    <w:rsid w:val="00DF776C"/>
    <w:rsid w:val="00E01306"/>
    <w:rsid w:val="00E04EEC"/>
    <w:rsid w:val="00E05618"/>
    <w:rsid w:val="00E0629B"/>
    <w:rsid w:val="00E12B5E"/>
    <w:rsid w:val="00E14C1D"/>
    <w:rsid w:val="00E14D2C"/>
    <w:rsid w:val="00E15256"/>
    <w:rsid w:val="00E15F89"/>
    <w:rsid w:val="00E161DF"/>
    <w:rsid w:val="00E17591"/>
    <w:rsid w:val="00E20C16"/>
    <w:rsid w:val="00E21E5F"/>
    <w:rsid w:val="00E22DB5"/>
    <w:rsid w:val="00E32677"/>
    <w:rsid w:val="00E34C75"/>
    <w:rsid w:val="00E370DF"/>
    <w:rsid w:val="00E43E4A"/>
    <w:rsid w:val="00E44CD6"/>
    <w:rsid w:val="00E52199"/>
    <w:rsid w:val="00E540AC"/>
    <w:rsid w:val="00E54D8F"/>
    <w:rsid w:val="00E558B9"/>
    <w:rsid w:val="00E55DD4"/>
    <w:rsid w:val="00E60CE4"/>
    <w:rsid w:val="00E610E9"/>
    <w:rsid w:val="00E63062"/>
    <w:rsid w:val="00E6399C"/>
    <w:rsid w:val="00E63DCD"/>
    <w:rsid w:val="00E654D8"/>
    <w:rsid w:val="00E67436"/>
    <w:rsid w:val="00E70E1F"/>
    <w:rsid w:val="00E729C4"/>
    <w:rsid w:val="00E7696B"/>
    <w:rsid w:val="00E77F09"/>
    <w:rsid w:val="00E85DB4"/>
    <w:rsid w:val="00E86DAD"/>
    <w:rsid w:val="00E90670"/>
    <w:rsid w:val="00E90DDD"/>
    <w:rsid w:val="00E923B9"/>
    <w:rsid w:val="00E929B7"/>
    <w:rsid w:val="00E93085"/>
    <w:rsid w:val="00E94374"/>
    <w:rsid w:val="00EA017B"/>
    <w:rsid w:val="00EA7C4C"/>
    <w:rsid w:val="00EB2BE5"/>
    <w:rsid w:val="00EB3265"/>
    <w:rsid w:val="00EC3833"/>
    <w:rsid w:val="00EC3FD1"/>
    <w:rsid w:val="00EC4F79"/>
    <w:rsid w:val="00ED1D99"/>
    <w:rsid w:val="00ED3034"/>
    <w:rsid w:val="00ED68B8"/>
    <w:rsid w:val="00ED6916"/>
    <w:rsid w:val="00EE0139"/>
    <w:rsid w:val="00EE1B0B"/>
    <w:rsid w:val="00EE45D5"/>
    <w:rsid w:val="00EE6026"/>
    <w:rsid w:val="00EE62A7"/>
    <w:rsid w:val="00EF0C0D"/>
    <w:rsid w:val="00EF29A3"/>
    <w:rsid w:val="00EF3E24"/>
    <w:rsid w:val="00EF50D5"/>
    <w:rsid w:val="00EF554A"/>
    <w:rsid w:val="00EF72A9"/>
    <w:rsid w:val="00F02CD3"/>
    <w:rsid w:val="00F04662"/>
    <w:rsid w:val="00F0488B"/>
    <w:rsid w:val="00F14BEF"/>
    <w:rsid w:val="00F17AB2"/>
    <w:rsid w:val="00F17C85"/>
    <w:rsid w:val="00F210D6"/>
    <w:rsid w:val="00F263F2"/>
    <w:rsid w:val="00F27D4C"/>
    <w:rsid w:val="00F300A3"/>
    <w:rsid w:val="00F30233"/>
    <w:rsid w:val="00F31BC5"/>
    <w:rsid w:val="00F3776D"/>
    <w:rsid w:val="00F409D1"/>
    <w:rsid w:val="00F431D7"/>
    <w:rsid w:val="00F437F1"/>
    <w:rsid w:val="00F47006"/>
    <w:rsid w:val="00F50635"/>
    <w:rsid w:val="00F50C5A"/>
    <w:rsid w:val="00F554F4"/>
    <w:rsid w:val="00F55681"/>
    <w:rsid w:val="00F57F01"/>
    <w:rsid w:val="00F612C9"/>
    <w:rsid w:val="00F62DCE"/>
    <w:rsid w:val="00F63F85"/>
    <w:rsid w:val="00F6719C"/>
    <w:rsid w:val="00F67931"/>
    <w:rsid w:val="00F679E2"/>
    <w:rsid w:val="00F740AF"/>
    <w:rsid w:val="00F76883"/>
    <w:rsid w:val="00F801A0"/>
    <w:rsid w:val="00F820E0"/>
    <w:rsid w:val="00F86959"/>
    <w:rsid w:val="00F916A6"/>
    <w:rsid w:val="00F9267A"/>
    <w:rsid w:val="00F96933"/>
    <w:rsid w:val="00F97012"/>
    <w:rsid w:val="00FA21E5"/>
    <w:rsid w:val="00FA43A1"/>
    <w:rsid w:val="00FA46FA"/>
    <w:rsid w:val="00FA5683"/>
    <w:rsid w:val="00FA78BC"/>
    <w:rsid w:val="00FB10F0"/>
    <w:rsid w:val="00FB4944"/>
    <w:rsid w:val="00FB55F1"/>
    <w:rsid w:val="00FC021A"/>
    <w:rsid w:val="00FC0824"/>
    <w:rsid w:val="00FC2230"/>
    <w:rsid w:val="00FC40CA"/>
    <w:rsid w:val="00FC502A"/>
    <w:rsid w:val="00FC56CB"/>
    <w:rsid w:val="00FC59BE"/>
    <w:rsid w:val="00FD3731"/>
    <w:rsid w:val="00FD42EA"/>
    <w:rsid w:val="00FD5ECE"/>
    <w:rsid w:val="00FD649D"/>
    <w:rsid w:val="00FD6770"/>
    <w:rsid w:val="00FE04B4"/>
    <w:rsid w:val="00FE0F7A"/>
    <w:rsid w:val="00FE2ACF"/>
    <w:rsid w:val="00FE3B0F"/>
    <w:rsid w:val="00FE7F09"/>
    <w:rsid w:val="00FF037E"/>
    <w:rsid w:val="00FF3A95"/>
    <w:rsid w:val="00FF3BEC"/>
    <w:rsid w:val="00FF4228"/>
    <w:rsid w:val="7F8FE04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oNotEmbedSmartTags/>
  <w:decimalSymbol w:val="."/>
  <w:listSeparator w:val=","/>
  <w14:docId w14:val="60E3A8F6"/>
  <w15:docId w15:val="{52ACFCFA-74C2-47A1-A4FD-539B058CE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locked="1" w:semiHidden="1" w:unhideWhenUsed="1" w:qFormat="1"/>
    <w:lsdException w:name="heading 5" w:qFormat="1"/>
    <w:lsdException w:name="heading 6" w:qFormat="1"/>
    <w:lsdException w:name="heading 7"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qFormat="1"/>
    <w:lsdException w:name="footnote text" w:semiHidden="1" w:qFormat="1"/>
    <w:lsdException w:name="annotation text" w:semiHidden="1" w:unhideWhenUsed="1"/>
    <w:lsdException w:name="header" w:semiHidden="1" w:qFormat="1"/>
    <w:lsdException w:name="footer" w:semiHidden="1"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qFormat="1"/>
    <w:lsdException w:name="Body Text Indent" w:semiHidden="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w:semiHidden="1" w:qFormat="1"/>
    <w:lsdException w:name="Body Text First Indent 2" w:semiHidden="1" w:qFormat="1"/>
    <w:lsdException w:name="Note Heading" w:semiHidden="1" w:unhideWhenUsed="1"/>
    <w:lsdException w:name="Body Text 2" w:semiHidden="1" w:qFormat="1"/>
    <w:lsdException w:name="Body Text 3" w:semiHidden="1" w:qFormat="1"/>
    <w:lsdException w:name="Body Text Indent 2" w:semiHidden="1" w:qFormat="1"/>
    <w:lsdException w:name="Body Text Indent 3" w:semiHidden="1" w:qFormat="1"/>
    <w:lsdException w:name="Block Text" w:semiHidden="1" w:unhideWhenUsed="1"/>
    <w:lsdException w:name="Hyperlink" w:qFormat="1"/>
    <w:lsdException w:name="FollowedHyperlink" w:qFormat="1"/>
    <w:lsdException w:name="Strong" w:locked="1" w:qFormat="1"/>
    <w:lsdException w:name="Emphasis" w:locked="1"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qFormat="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cs="Arial"/>
      <w:lang w:val="en-GB"/>
    </w:rPr>
  </w:style>
  <w:style w:type="paragraph" w:styleId="Heading1">
    <w:name w:val="heading 1"/>
    <w:basedOn w:val="Normal"/>
    <w:next w:val="Normal"/>
    <w:link w:val="Heading1Char"/>
    <w:qFormat/>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qFormat/>
    <w:pPr>
      <w:keepNext/>
      <w:spacing w:before="240" w:after="60"/>
      <w:outlineLvl w:val="1"/>
    </w:pPr>
    <w:rPr>
      <w:rFonts w:ascii="Cambria" w:hAnsi="Cambria" w:cs="Times New Roman"/>
      <w:b/>
      <w:bCs/>
      <w:i/>
      <w:iCs/>
      <w:sz w:val="28"/>
      <w:szCs w:val="28"/>
    </w:rPr>
  </w:style>
  <w:style w:type="paragraph" w:styleId="Heading3">
    <w:name w:val="heading 3"/>
    <w:basedOn w:val="Normal"/>
    <w:next w:val="Normal"/>
    <w:link w:val="Heading3Char"/>
    <w:qFormat/>
    <w:pPr>
      <w:keepNext/>
      <w:spacing w:before="240" w:after="60"/>
      <w:outlineLvl w:val="2"/>
    </w:pPr>
    <w:rPr>
      <w:rFonts w:ascii="Cambria" w:hAnsi="Cambria" w:cs="Times New Roman"/>
      <w:b/>
      <w:bCs/>
      <w:sz w:val="26"/>
      <w:szCs w:val="26"/>
    </w:rPr>
  </w:style>
  <w:style w:type="paragraph" w:styleId="Heading5">
    <w:name w:val="heading 5"/>
    <w:basedOn w:val="Normal"/>
    <w:next w:val="Normal"/>
    <w:link w:val="Heading5Char"/>
    <w:qFormat/>
    <w:pPr>
      <w:spacing w:before="240" w:after="60"/>
      <w:outlineLvl w:val="4"/>
    </w:pPr>
    <w:rPr>
      <w:rFonts w:ascii="Calibri" w:hAnsi="Calibri" w:cs="Times New Roman"/>
      <w:b/>
      <w:bCs/>
      <w:i/>
      <w:iCs/>
      <w:sz w:val="26"/>
      <w:szCs w:val="26"/>
    </w:rPr>
  </w:style>
  <w:style w:type="paragraph" w:styleId="Heading6">
    <w:name w:val="heading 6"/>
    <w:basedOn w:val="Normal"/>
    <w:next w:val="Normal"/>
    <w:link w:val="Heading6Char"/>
    <w:qFormat/>
    <w:pPr>
      <w:spacing w:before="240" w:after="60"/>
      <w:outlineLvl w:val="5"/>
    </w:pPr>
    <w:rPr>
      <w:rFonts w:ascii="Calibri" w:hAnsi="Calibri" w:cs="Times New Roman"/>
      <w:b/>
      <w:bCs/>
    </w:rPr>
  </w:style>
  <w:style w:type="paragraph" w:styleId="Heading7">
    <w:name w:val="heading 7"/>
    <w:basedOn w:val="Normal"/>
    <w:next w:val="Normal"/>
    <w:link w:val="Heading7Char"/>
    <w:qFormat/>
    <w:pPr>
      <w:spacing w:before="240" w:after="60"/>
      <w:outlineLvl w:val="6"/>
    </w:pPr>
    <w:rPr>
      <w:rFonts w:ascii="Calibri" w:hAnsi="Calibri"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qFormat/>
    <w:rPr>
      <w:rFonts w:ascii="Times New Roman" w:hAnsi="Times New Roman" w:cs="Times New Roman"/>
      <w:sz w:val="2"/>
    </w:rPr>
  </w:style>
  <w:style w:type="paragraph" w:styleId="BodyText">
    <w:name w:val="Body Text"/>
    <w:basedOn w:val="Normal"/>
    <w:link w:val="BodyTextChar"/>
    <w:semiHidden/>
    <w:qFormat/>
    <w:pPr>
      <w:spacing w:after="120"/>
    </w:pPr>
    <w:rPr>
      <w:rFonts w:cs="Times New Roman"/>
    </w:rPr>
  </w:style>
  <w:style w:type="paragraph" w:styleId="BodyText2">
    <w:name w:val="Body Text 2"/>
    <w:basedOn w:val="Normal"/>
    <w:link w:val="BodyText2Char"/>
    <w:semiHidden/>
    <w:qFormat/>
    <w:pPr>
      <w:spacing w:after="120" w:line="480" w:lineRule="auto"/>
    </w:pPr>
    <w:rPr>
      <w:rFonts w:cs="Times New Roman"/>
    </w:rPr>
  </w:style>
  <w:style w:type="paragraph" w:styleId="BodyText3">
    <w:name w:val="Body Text 3"/>
    <w:basedOn w:val="Normal"/>
    <w:link w:val="BodyText3Char"/>
    <w:semiHidden/>
    <w:qFormat/>
    <w:pPr>
      <w:spacing w:after="120"/>
    </w:pPr>
    <w:rPr>
      <w:rFonts w:cs="Times New Roman"/>
      <w:sz w:val="16"/>
      <w:szCs w:val="16"/>
    </w:rPr>
  </w:style>
  <w:style w:type="paragraph" w:styleId="BodyTextFirstIndent">
    <w:name w:val="Body Text First Indent"/>
    <w:basedOn w:val="BodyText"/>
    <w:link w:val="BodyTextFirstIndentChar"/>
    <w:semiHidden/>
    <w:qFormat/>
    <w:pPr>
      <w:ind w:firstLine="210"/>
    </w:pPr>
  </w:style>
  <w:style w:type="paragraph" w:styleId="BodyTextIndent">
    <w:name w:val="Body Text Indent"/>
    <w:basedOn w:val="Normal"/>
    <w:link w:val="BodyTextIndentChar"/>
    <w:semiHidden/>
    <w:qFormat/>
    <w:pPr>
      <w:spacing w:after="120"/>
      <w:ind w:left="283"/>
    </w:pPr>
    <w:rPr>
      <w:rFonts w:cs="Times New Roman"/>
    </w:rPr>
  </w:style>
  <w:style w:type="paragraph" w:styleId="BodyTextFirstIndent2">
    <w:name w:val="Body Text First Indent 2"/>
    <w:basedOn w:val="BodyTextIndent"/>
    <w:link w:val="BodyTextFirstIndent2Char"/>
    <w:semiHidden/>
    <w:qFormat/>
    <w:pPr>
      <w:ind w:firstLine="210"/>
    </w:pPr>
  </w:style>
  <w:style w:type="paragraph" w:styleId="BodyTextIndent2">
    <w:name w:val="Body Text Indent 2"/>
    <w:basedOn w:val="Normal"/>
    <w:link w:val="BodyTextIndent2Char"/>
    <w:semiHidden/>
    <w:qFormat/>
    <w:pPr>
      <w:spacing w:after="120" w:line="480" w:lineRule="auto"/>
      <w:ind w:left="283"/>
    </w:pPr>
    <w:rPr>
      <w:rFonts w:cs="Times New Roman"/>
    </w:rPr>
  </w:style>
  <w:style w:type="paragraph" w:styleId="BodyTextIndent3">
    <w:name w:val="Body Text Indent 3"/>
    <w:basedOn w:val="Normal"/>
    <w:link w:val="BodyTextIndent3Char"/>
    <w:semiHidden/>
    <w:qFormat/>
    <w:pPr>
      <w:spacing w:after="120"/>
      <w:ind w:left="283"/>
    </w:pPr>
    <w:rPr>
      <w:rFonts w:cs="Times New Roman"/>
      <w:sz w:val="16"/>
      <w:szCs w:val="16"/>
    </w:rPr>
  </w:style>
  <w:style w:type="paragraph" w:styleId="Caption">
    <w:name w:val="caption"/>
    <w:basedOn w:val="Normal"/>
    <w:next w:val="Normal"/>
    <w:qFormat/>
    <w:rPr>
      <w:b/>
      <w:bCs/>
    </w:rPr>
  </w:style>
  <w:style w:type="paragraph" w:styleId="DocumentMap">
    <w:name w:val="Document Map"/>
    <w:basedOn w:val="Normal"/>
    <w:semiHidden/>
    <w:qFormat/>
    <w:pPr>
      <w:shd w:val="clear" w:color="auto" w:fill="000080"/>
    </w:pPr>
    <w:rPr>
      <w:rFonts w:ascii="Tahoma" w:hAnsi="Tahoma" w:cs="Tahoma"/>
    </w:rPr>
  </w:style>
  <w:style w:type="character" w:styleId="FollowedHyperlink">
    <w:name w:val="FollowedHyperlink"/>
    <w:qFormat/>
    <w:rPr>
      <w:rFonts w:cs="Times New Roman"/>
      <w:color w:val="800080"/>
      <w:u w:val="single"/>
    </w:rPr>
  </w:style>
  <w:style w:type="paragraph" w:styleId="Footer">
    <w:name w:val="footer"/>
    <w:basedOn w:val="Normal"/>
    <w:link w:val="FooterChar"/>
    <w:semiHidden/>
    <w:qFormat/>
    <w:pPr>
      <w:tabs>
        <w:tab w:val="center" w:pos="4703"/>
        <w:tab w:val="right" w:pos="9406"/>
      </w:tabs>
    </w:pPr>
    <w:rPr>
      <w:rFonts w:cs="Times New Roman"/>
    </w:rPr>
  </w:style>
  <w:style w:type="character" w:styleId="FootnoteReference">
    <w:name w:val="footnote reference"/>
    <w:basedOn w:val="DefaultParagraphFont"/>
    <w:semiHidden/>
    <w:unhideWhenUsed/>
    <w:qFormat/>
    <w:rPr>
      <w:vertAlign w:val="superscript"/>
    </w:rPr>
  </w:style>
  <w:style w:type="paragraph" w:styleId="FootnoteText">
    <w:name w:val="footnote text"/>
    <w:basedOn w:val="Normal"/>
    <w:link w:val="FootnoteTextChar"/>
    <w:semiHidden/>
    <w:qFormat/>
    <w:rPr>
      <w:rFonts w:cs="Times New Roman"/>
    </w:rPr>
  </w:style>
  <w:style w:type="paragraph" w:styleId="Header">
    <w:name w:val="header"/>
    <w:basedOn w:val="Normal"/>
    <w:link w:val="HeaderChar"/>
    <w:semiHidden/>
    <w:qFormat/>
    <w:pPr>
      <w:tabs>
        <w:tab w:val="center" w:pos="4703"/>
        <w:tab w:val="right" w:pos="9406"/>
      </w:tabs>
    </w:pPr>
    <w:rPr>
      <w:rFonts w:cs="Times New Roman"/>
    </w:rPr>
  </w:style>
  <w:style w:type="character" w:styleId="Hyperlink">
    <w:name w:val="Hyperlink"/>
    <w:qFormat/>
    <w:rPr>
      <w:rFonts w:cs="Times New Roman"/>
      <w:color w:val="0000FF"/>
      <w:u w:val="single"/>
    </w:rPr>
  </w:style>
  <w:style w:type="paragraph" w:styleId="ListNumber">
    <w:name w:val="List Number"/>
    <w:basedOn w:val="Normal"/>
    <w:semiHidden/>
    <w:qFormat/>
    <w:pPr>
      <w:tabs>
        <w:tab w:val="left" w:pos="360"/>
      </w:tabs>
      <w:ind w:left="360" w:hanging="360"/>
    </w:pPr>
  </w:style>
  <w:style w:type="paragraph" w:styleId="NormalIndent">
    <w:name w:val="Normal Indent"/>
    <w:basedOn w:val="Normal"/>
    <w:semiHidden/>
    <w:qFormat/>
    <w:pPr>
      <w:ind w:left="720"/>
    </w:pPr>
  </w:style>
  <w:style w:type="paragraph" w:styleId="Subtitle">
    <w:name w:val="Subtitle"/>
    <w:basedOn w:val="Normal"/>
    <w:link w:val="SubtitleChar"/>
    <w:qFormat/>
    <w:pPr>
      <w:spacing w:after="60"/>
      <w:jc w:val="center"/>
      <w:outlineLvl w:val="1"/>
    </w:pPr>
    <w:rPr>
      <w:rFonts w:ascii="Cambria" w:hAnsi="Cambria" w:cs="Times New Roman"/>
      <w:sz w:val="24"/>
      <w:szCs w:val="24"/>
    </w:rPr>
  </w:style>
  <w:style w:type="table" w:styleId="TableClassic1">
    <w:name w:val="Table Classic 1"/>
    <w:basedOn w:val="TableNormal"/>
    <w:semiHidden/>
    <w:qFormat/>
    <w:rPr>
      <w:rFonts w:ascii="Arial" w:hAnsi="Arial"/>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il"/>
          <w:tr2bl w:val="nil"/>
        </w:tcBorders>
      </w:tcPr>
    </w:tblStylePr>
    <w:tblStylePr w:type="lastRow">
      <w:rPr>
        <w:rFonts w:cs="Times New Roman"/>
        <w:color w:val="auto"/>
      </w:rPr>
      <w:tblPr/>
      <w:tcPr>
        <w:tcBorders>
          <w:top w:val="single" w:sz="6" w:space="0" w:color="000000"/>
          <w:tl2br w:val="nil"/>
          <w:tr2bl w:val="nil"/>
        </w:tcBorders>
      </w:tcPr>
    </w:tblStylePr>
    <w:tblStylePr w:type="firstCol">
      <w:rPr>
        <w:rFonts w:cs="Times New Roman"/>
      </w:rPr>
      <w:tblPr/>
      <w:tcPr>
        <w:tcBorders>
          <w:right w:val="single" w:sz="6" w:space="0" w:color="000000"/>
          <w:tl2br w:val="nil"/>
          <w:tr2bl w:val="nil"/>
        </w:tcBorders>
      </w:tcPr>
    </w:tblStylePr>
    <w:tblStylePr w:type="neCell">
      <w:rPr>
        <w:rFonts w:cs="Times New Roman"/>
        <w:b/>
        <w:bCs/>
        <w:i w:val="0"/>
        <w:iCs w:val="0"/>
      </w:rPr>
      <w:tblPr/>
      <w:tcPr>
        <w:tcBorders>
          <w:tl2br w:val="nil"/>
          <w:tr2bl w:val="nil"/>
        </w:tcBorders>
      </w:tcPr>
    </w:tblStylePr>
    <w:tblStylePr w:type="swCell">
      <w:rPr>
        <w:rFonts w:cs="Times New Roman"/>
        <w:b/>
        <w:bCs/>
      </w:rPr>
      <w:tblPr/>
      <w:tcPr>
        <w:tcBorders>
          <w:tl2br w:val="nil"/>
          <w:tr2bl w:val="nil"/>
        </w:tcBorders>
      </w:tcPr>
    </w:tblStylePr>
  </w:style>
  <w:style w:type="table" w:styleId="TableElegant">
    <w:name w:val="Table Elegant"/>
    <w:basedOn w:val="TableNormal"/>
    <w:semiHidden/>
    <w:qFormat/>
    <w:rPr>
      <w:rFonts w:ascii="Arial" w:hAnsi="Arial"/>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il"/>
          <w:tr2bl w:val="nil"/>
        </w:tcBorders>
      </w:tcPr>
    </w:tblStylePr>
  </w:style>
  <w:style w:type="table" w:styleId="TableGrid">
    <w:name w:val="Table Grid"/>
    <w:basedOn w:val="TableNormal"/>
    <w:qFormat/>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List6">
    <w:name w:val="Table List 6"/>
    <w:basedOn w:val="TableNormal"/>
    <w:semiHidden/>
    <w:qFormat/>
    <w:rPr>
      <w:rFonts w:ascii="Arial" w:hAnsi="Arial"/>
    </w:r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il"/>
          <w:tr2bl w:val="nil"/>
        </w:tcBorders>
      </w:tcPr>
    </w:tblStylePr>
    <w:tblStylePr w:type="firstCol">
      <w:rPr>
        <w:rFonts w:cs="Times New Roman"/>
        <w:b/>
        <w:bCs/>
      </w:rPr>
      <w:tblPr/>
      <w:tcPr>
        <w:tcBorders>
          <w:right w:val="single" w:sz="12" w:space="0" w:color="000000"/>
          <w:tl2br w:val="nil"/>
          <w:tr2bl w:val="nil"/>
        </w:tcBorders>
      </w:tcPr>
    </w:tblStylePr>
    <w:tblStylePr w:type="band1Horz">
      <w:rPr>
        <w:rFonts w:cs="Times New Roman"/>
      </w:rPr>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TableSimple2">
    <w:name w:val="Table Simple 2"/>
    <w:basedOn w:val="TableNormal"/>
    <w:semiHidden/>
    <w:qFormat/>
    <w:rPr>
      <w:rFonts w:ascii="Arial" w:hAnsi="Arial"/>
    </w:rPr>
    <w:tblPr/>
    <w:tblStylePr w:type="firstRow">
      <w:rPr>
        <w:rFonts w:cs="Times New Roman"/>
        <w:b/>
        <w:bCs/>
      </w:rPr>
      <w:tblPr/>
      <w:tcPr>
        <w:tcBorders>
          <w:bottom w:val="single" w:sz="12" w:space="0" w:color="000000"/>
          <w:tl2br w:val="nil"/>
          <w:tr2bl w:val="nil"/>
        </w:tcBorders>
      </w:tcPr>
    </w:tblStylePr>
    <w:tblStylePr w:type="lastRow">
      <w:rPr>
        <w:rFonts w:cs="Times New Roman"/>
        <w:b/>
        <w:bCs/>
        <w:color w:val="auto"/>
      </w:rPr>
      <w:tblPr/>
      <w:tcPr>
        <w:tcBorders>
          <w:top w:val="single" w:sz="6" w:space="0" w:color="000000"/>
          <w:tl2br w:val="nil"/>
          <w:tr2bl w:val="nil"/>
        </w:tcBorders>
      </w:tcPr>
    </w:tblStylePr>
    <w:tblStylePr w:type="firstCol">
      <w:rPr>
        <w:rFonts w:cs="Times New Roman"/>
        <w:b/>
        <w:bCs/>
      </w:rPr>
      <w:tblPr/>
      <w:tcPr>
        <w:tcBorders>
          <w:right w:val="single" w:sz="12" w:space="0" w:color="000000"/>
          <w:tl2br w:val="nil"/>
          <w:tr2bl w:val="nil"/>
        </w:tcBorders>
      </w:tcPr>
    </w:tblStylePr>
    <w:tblStylePr w:type="lastCol">
      <w:rPr>
        <w:rFonts w:cs="Times New Roman"/>
        <w:b/>
        <w:bCs/>
      </w:rPr>
      <w:tblPr/>
      <w:tcPr>
        <w:tcBorders>
          <w:left w:val="single" w:sz="6" w:space="0" w:color="000000"/>
          <w:tl2br w:val="nil"/>
          <w:tr2bl w:val="nil"/>
        </w:tcBorders>
      </w:tcPr>
    </w:tblStylePr>
    <w:tblStylePr w:type="neCell">
      <w:rPr>
        <w:rFonts w:cs="Times New Roman"/>
        <w:b/>
        <w:bCs/>
      </w:rPr>
      <w:tblPr/>
      <w:tcPr>
        <w:tcBorders>
          <w:left w:val="nil"/>
          <w:tl2br w:val="nil"/>
          <w:tr2bl w:val="nil"/>
        </w:tcBorders>
      </w:tcPr>
    </w:tblStylePr>
    <w:tblStylePr w:type="swCell">
      <w:rPr>
        <w:rFonts w:cs="Times New Roman"/>
        <w:b/>
        <w:bCs/>
      </w:rPr>
      <w:tblPr/>
      <w:tcPr>
        <w:tcBorders>
          <w:top w:val="nil"/>
          <w:tl2br w:val="nil"/>
          <w:tr2bl w:val="nil"/>
        </w:tcBorders>
      </w:tcPr>
    </w:tblStylePr>
  </w:style>
  <w:style w:type="paragraph" w:styleId="Title">
    <w:name w:val="Title"/>
    <w:basedOn w:val="Normal"/>
    <w:link w:val="TitleChar"/>
    <w:qFormat/>
    <w:pPr>
      <w:spacing w:before="240" w:after="60"/>
      <w:jc w:val="center"/>
      <w:outlineLvl w:val="0"/>
    </w:pPr>
    <w:rPr>
      <w:rFonts w:ascii="Cambria" w:hAnsi="Cambria" w:cs="Times New Roman"/>
      <w:b/>
      <w:bCs/>
      <w:kern w:val="28"/>
      <w:sz w:val="32"/>
      <w:szCs w:val="32"/>
    </w:rPr>
  </w:style>
  <w:style w:type="character" w:customStyle="1" w:styleId="Heading1Char">
    <w:name w:val="Heading 1 Char"/>
    <w:link w:val="Heading1"/>
    <w:qFormat/>
    <w:locked/>
    <w:rPr>
      <w:rFonts w:ascii="Cambria" w:hAnsi="Cambria" w:cs="Times New Roman"/>
      <w:b/>
      <w:bCs/>
      <w:kern w:val="32"/>
      <w:sz w:val="32"/>
      <w:szCs w:val="32"/>
    </w:rPr>
  </w:style>
  <w:style w:type="character" w:customStyle="1" w:styleId="Heading2Char">
    <w:name w:val="Heading 2 Char"/>
    <w:link w:val="Heading2"/>
    <w:semiHidden/>
    <w:qFormat/>
    <w:locked/>
    <w:rPr>
      <w:rFonts w:ascii="Cambria" w:hAnsi="Cambria" w:cs="Times New Roman"/>
      <w:b/>
      <w:bCs/>
      <w:i/>
      <w:iCs/>
      <w:sz w:val="28"/>
      <w:szCs w:val="28"/>
    </w:rPr>
  </w:style>
  <w:style w:type="character" w:customStyle="1" w:styleId="Heading3Char">
    <w:name w:val="Heading 3 Char"/>
    <w:link w:val="Heading3"/>
    <w:semiHidden/>
    <w:qFormat/>
    <w:locked/>
    <w:rPr>
      <w:rFonts w:ascii="Cambria" w:hAnsi="Cambria" w:cs="Times New Roman"/>
      <w:b/>
      <w:bCs/>
      <w:sz w:val="26"/>
      <w:szCs w:val="26"/>
    </w:rPr>
  </w:style>
  <w:style w:type="character" w:customStyle="1" w:styleId="Heading5Char">
    <w:name w:val="Heading 5 Char"/>
    <w:link w:val="Heading5"/>
    <w:semiHidden/>
    <w:qFormat/>
    <w:locked/>
    <w:rPr>
      <w:rFonts w:ascii="Calibri" w:hAnsi="Calibri" w:cs="Times New Roman"/>
      <w:b/>
      <w:bCs/>
      <w:i/>
      <w:iCs/>
      <w:sz w:val="26"/>
      <w:szCs w:val="26"/>
    </w:rPr>
  </w:style>
  <w:style w:type="character" w:customStyle="1" w:styleId="Heading6Char">
    <w:name w:val="Heading 6 Char"/>
    <w:link w:val="Heading6"/>
    <w:semiHidden/>
    <w:qFormat/>
    <w:locked/>
    <w:rPr>
      <w:rFonts w:ascii="Calibri" w:hAnsi="Calibri" w:cs="Times New Roman"/>
      <w:b/>
      <w:bCs/>
    </w:rPr>
  </w:style>
  <w:style w:type="character" w:customStyle="1" w:styleId="Heading7Char">
    <w:name w:val="Heading 7 Char"/>
    <w:link w:val="Heading7"/>
    <w:semiHidden/>
    <w:qFormat/>
    <w:locked/>
    <w:rPr>
      <w:rFonts w:ascii="Calibri" w:hAnsi="Calibri" w:cs="Times New Roman"/>
      <w:sz w:val="24"/>
      <w:szCs w:val="24"/>
    </w:rPr>
  </w:style>
  <w:style w:type="paragraph" w:customStyle="1" w:styleId="Naslovsaopstenja">
    <w:name w:val="Naslov saopstenja"/>
    <w:basedOn w:val="Title"/>
    <w:next w:val="Caption"/>
    <w:qFormat/>
    <w:pPr>
      <w:spacing w:after="0"/>
    </w:pPr>
    <w:rPr>
      <w:sz w:val="24"/>
      <w:szCs w:val="24"/>
    </w:rPr>
  </w:style>
  <w:style w:type="character" w:customStyle="1" w:styleId="TitleChar">
    <w:name w:val="Title Char"/>
    <w:link w:val="Title"/>
    <w:qFormat/>
    <w:locked/>
    <w:rPr>
      <w:rFonts w:ascii="Cambria" w:hAnsi="Cambria" w:cs="Times New Roman"/>
      <w:b/>
      <w:bCs/>
      <w:kern w:val="28"/>
      <w:sz w:val="32"/>
      <w:szCs w:val="32"/>
    </w:rPr>
  </w:style>
  <w:style w:type="paragraph" w:customStyle="1" w:styleId="Podnaslovsopstenja">
    <w:name w:val="Podnaslov sopstenja"/>
    <w:basedOn w:val="Normal"/>
    <w:qFormat/>
    <w:pPr>
      <w:spacing w:after="120"/>
      <w:jc w:val="center"/>
    </w:pPr>
    <w:rPr>
      <w:b/>
      <w:bCs/>
      <w:sz w:val="22"/>
      <w:szCs w:val="22"/>
    </w:rPr>
  </w:style>
  <w:style w:type="character" w:customStyle="1" w:styleId="SubtitleChar">
    <w:name w:val="Subtitle Char"/>
    <w:link w:val="Subtitle"/>
    <w:qFormat/>
    <w:locked/>
    <w:rPr>
      <w:rFonts w:ascii="Cambria" w:hAnsi="Cambria" w:cs="Times New Roman"/>
      <w:sz w:val="24"/>
      <w:szCs w:val="24"/>
    </w:rPr>
  </w:style>
  <w:style w:type="paragraph" w:customStyle="1" w:styleId="NaslovMetodologijaiNapomena">
    <w:name w:val="Naslov Metodologija i Napomena"/>
    <w:basedOn w:val="Normal"/>
    <w:qFormat/>
    <w:pPr>
      <w:spacing w:before="120" w:after="240"/>
      <w:jc w:val="center"/>
    </w:pPr>
    <w:rPr>
      <w:b/>
      <w:bCs/>
    </w:rPr>
  </w:style>
  <w:style w:type="paragraph" w:customStyle="1" w:styleId="TekstMetodologijaiNapomena">
    <w:name w:val="Tekst Metodologija i Napomena"/>
    <w:basedOn w:val="BodyTextFirstIndent"/>
    <w:next w:val="BodyText"/>
    <w:qFormat/>
    <w:pPr>
      <w:spacing w:before="120" w:after="0"/>
      <w:ind w:firstLine="397"/>
      <w:jc w:val="both"/>
    </w:pPr>
    <w:rPr>
      <w:lang w:val="sr-Cyrl-CS"/>
    </w:rPr>
  </w:style>
  <w:style w:type="character" w:customStyle="1" w:styleId="BodyTextChar">
    <w:name w:val="Body Text Char"/>
    <w:link w:val="BodyText"/>
    <w:semiHidden/>
    <w:qFormat/>
    <w:locked/>
    <w:rPr>
      <w:rFonts w:ascii="Arial" w:hAnsi="Arial" w:cs="Arial"/>
      <w:sz w:val="20"/>
      <w:szCs w:val="20"/>
    </w:rPr>
  </w:style>
  <w:style w:type="character" w:customStyle="1" w:styleId="BodyTextFirstIndentChar">
    <w:name w:val="Body Text First Indent Char"/>
    <w:basedOn w:val="BodyTextChar"/>
    <w:link w:val="BodyTextFirstIndent"/>
    <w:semiHidden/>
    <w:qFormat/>
    <w:locked/>
    <w:rPr>
      <w:rFonts w:ascii="Arial" w:hAnsi="Arial" w:cs="Arial"/>
      <w:sz w:val="20"/>
      <w:szCs w:val="20"/>
    </w:rPr>
  </w:style>
  <w:style w:type="paragraph" w:customStyle="1" w:styleId="Style1">
    <w:name w:val="Style1"/>
    <w:semiHidden/>
    <w:qFormat/>
    <w:rPr>
      <w:rFonts w:ascii="Arial" w:hAnsi="Arial" w:cs="Arial"/>
    </w:rPr>
  </w:style>
  <w:style w:type="character" w:customStyle="1" w:styleId="BodyTextIndentChar">
    <w:name w:val="Body Text Indent Char"/>
    <w:link w:val="BodyTextIndent"/>
    <w:semiHidden/>
    <w:qFormat/>
    <w:locked/>
    <w:rPr>
      <w:rFonts w:ascii="Arial" w:hAnsi="Arial" w:cs="Arial"/>
      <w:sz w:val="20"/>
      <w:szCs w:val="20"/>
    </w:rPr>
  </w:style>
  <w:style w:type="character" w:customStyle="1" w:styleId="BodyTextIndent2Char">
    <w:name w:val="Body Text Indent 2 Char"/>
    <w:link w:val="BodyTextIndent2"/>
    <w:semiHidden/>
    <w:qFormat/>
    <w:locked/>
    <w:rPr>
      <w:rFonts w:ascii="Arial" w:hAnsi="Arial" w:cs="Arial"/>
      <w:sz w:val="20"/>
      <w:szCs w:val="20"/>
    </w:rPr>
  </w:style>
  <w:style w:type="character" w:customStyle="1" w:styleId="BodyText3Char">
    <w:name w:val="Body Text 3 Char"/>
    <w:link w:val="BodyText3"/>
    <w:semiHidden/>
    <w:qFormat/>
    <w:locked/>
    <w:rPr>
      <w:rFonts w:ascii="Arial" w:hAnsi="Arial" w:cs="Arial"/>
      <w:sz w:val="16"/>
      <w:szCs w:val="16"/>
    </w:rPr>
  </w:style>
  <w:style w:type="character" w:customStyle="1" w:styleId="BodyTextFirstIndent2Char">
    <w:name w:val="Body Text First Indent 2 Char"/>
    <w:basedOn w:val="BodyTextIndentChar"/>
    <w:link w:val="BodyTextFirstIndent2"/>
    <w:semiHidden/>
    <w:qFormat/>
    <w:locked/>
    <w:rPr>
      <w:rFonts w:ascii="Arial" w:hAnsi="Arial" w:cs="Arial"/>
      <w:sz w:val="20"/>
      <w:szCs w:val="20"/>
    </w:rPr>
  </w:style>
  <w:style w:type="character" w:customStyle="1" w:styleId="BodyTextIndent3Char">
    <w:name w:val="Body Text Indent 3 Char"/>
    <w:link w:val="BodyTextIndent3"/>
    <w:semiHidden/>
    <w:qFormat/>
    <w:locked/>
    <w:rPr>
      <w:rFonts w:ascii="Arial" w:hAnsi="Arial" w:cs="Arial"/>
      <w:sz w:val="16"/>
      <w:szCs w:val="16"/>
    </w:rPr>
  </w:style>
  <w:style w:type="character" w:customStyle="1" w:styleId="BalloonTextChar">
    <w:name w:val="Balloon Text Char"/>
    <w:link w:val="BalloonText"/>
    <w:semiHidden/>
    <w:qFormat/>
    <w:locked/>
    <w:rPr>
      <w:rFonts w:cs="Times New Roman"/>
      <w:sz w:val="2"/>
    </w:rPr>
  </w:style>
  <w:style w:type="character" w:customStyle="1" w:styleId="BodyText2Char">
    <w:name w:val="Body Text 2 Char"/>
    <w:link w:val="BodyText2"/>
    <w:semiHidden/>
    <w:qFormat/>
    <w:locked/>
    <w:rPr>
      <w:rFonts w:ascii="Arial" w:hAnsi="Arial" w:cs="Arial"/>
      <w:sz w:val="20"/>
      <w:szCs w:val="20"/>
    </w:rPr>
  </w:style>
  <w:style w:type="paragraph" w:customStyle="1" w:styleId="StylePasusFirstline06cmBefore0ptAfter0pt">
    <w:name w:val="Style Pasus + First line:  06 cm Before:  0 pt After:  0 pt"/>
    <w:basedOn w:val="TekstMetodologijaiNapomena"/>
    <w:semiHidden/>
    <w:qFormat/>
    <w:pPr>
      <w:spacing w:before="0"/>
      <w:ind w:firstLine="340"/>
    </w:pPr>
  </w:style>
  <w:style w:type="paragraph" w:customStyle="1" w:styleId="Naslovtabela">
    <w:name w:val="Naslov tabela"/>
    <w:basedOn w:val="Normal"/>
    <w:qFormat/>
    <w:pPr>
      <w:tabs>
        <w:tab w:val="left" w:pos="284"/>
      </w:tabs>
      <w:spacing w:before="120" w:after="120"/>
      <w:ind w:left="284" w:hanging="284"/>
      <w:jc w:val="center"/>
    </w:pPr>
    <w:rPr>
      <w:b/>
      <w:bCs/>
    </w:rPr>
  </w:style>
  <w:style w:type="paragraph" w:customStyle="1" w:styleId="Tabela-Zaglavlje">
    <w:name w:val="Tabela-Zaglavlje"/>
    <w:basedOn w:val="Normal"/>
    <w:qFormat/>
    <w:pPr>
      <w:jc w:val="center"/>
    </w:pPr>
    <w:rPr>
      <w:sz w:val="16"/>
      <w:szCs w:val="16"/>
      <w:lang w:val="sr-Latn-CS"/>
    </w:rPr>
  </w:style>
  <w:style w:type="paragraph" w:customStyle="1" w:styleId="Tabela-Pretkolona">
    <w:name w:val="Tabela-Pretkolona"/>
    <w:basedOn w:val="Normal"/>
    <w:rPr>
      <w:sz w:val="16"/>
      <w:szCs w:val="16"/>
      <w:lang w:val="sr-Latn-CS"/>
    </w:rPr>
  </w:style>
  <w:style w:type="paragraph" w:customStyle="1" w:styleId="Tabela-PretkolonaI">
    <w:name w:val="Tabela-PretkolonaI"/>
    <w:basedOn w:val="Normal"/>
    <w:qFormat/>
    <w:rPr>
      <w:i/>
      <w:iCs/>
      <w:sz w:val="16"/>
      <w:szCs w:val="16"/>
      <w:lang w:val="sr-Latn-CS"/>
    </w:rPr>
  </w:style>
  <w:style w:type="paragraph" w:customStyle="1" w:styleId="Tabela-PretkolonaB">
    <w:name w:val="Tabela-PretkolonaB"/>
    <w:basedOn w:val="Normal"/>
    <w:qFormat/>
    <w:rPr>
      <w:b/>
      <w:bCs/>
      <w:sz w:val="16"/>
      <w:szCs w:val="16"/>
      <w:lang w:val="sr-Latn-CS"/>
    </w:rPr>
  </w:style>
  <w:style w:type="paragraph" w:customStyle="1" w:styleId="Tabela-Brojevi">
    <w:name w:val="Tabela-Brojevi"/>
    <w:basedOn w:val="Normal"/>
    <w:pPr>
      <w:jc w:val="right"/>
    </w:pPr>
    <w:rPr>
      <w:sz w:val="16"/>
      <w:szCs w:val="16"/>
      <w:lang w:val="sr-Latn-CS"/>
    </w:rPr>
  </w:style>
  <w:style w:type="character" w:customStyle="1" w:styleId="FootnoteTextChar">
    <w:name w:val="Footnote Text Char"/>
    <w:link w:val="FootnoteText"/>
    <w:semiHidden/>
    <w:qFormat/>
    <w:locked/>
    <w:rPr>
      <w:rFonts w:ascii="Arial" w:hAnsi="Arial" w:cs="Arial"/>
      <w:sz w:val="20"/>
      <w:szCs w:val="20"/>
    </w:rPr>
  </w:style>
  <w:style w:type="paragraph" w:customStyle="1" w:styleId="Tabela-BrojeviI">
    <w:name w:val="Tabela-BrojeviI"/>
    <w:basedOn w:val="Normal"/>
    <w:qFormat/>
    <w:pPr>
      <w:jc w:val="right"/>
    </w:pPr>
    <w:rPr>
      <w:i/>
      <w:iCs/>
      <w:sz w:val="16"/>
      <w:szCs w:val="16"/>
      <w:lang w:val="sr-Latn-CS"/>
    </w:rPr>
  </w:style>
  <w:style w:type="paragraph" w:customStyle="1" w:styleId="Tabela-BrojeviB">
    <w:name w:val="Tabela-BrojeviB"/>
    <w:basedOn w:val="Normal"/>
    <w:qFormat/>
    <w:pPr>
      <w:jc w:val="right"/>
    </w:pPr>
    <w:rPr>
      <w:b/>
      <w:bCs/>
      <w:sz w:val="16"/>
      <w:szCs w:val="16"/>
      <w:lang w:val="sr-Latn-CS"/>
    </w:rPr>
  </w:style>
  <w:style w:type="paragraph" w:customStyle="1" w:styleId="Fusnota-Broj1">
    <w:name w:val="Fusnota-Broj1"/>
    <w:basedOn w:val="Normal"/>
    <w:qFormat/>
    <w:pPr>
      <w:tabs>
        <w:tab w:val="left" w:pos="360"/>
      </w:tabs>
      <w:ind w:left="360" w:hanging="360"/>
    </w:pPr>
    <w:rPr>
      <w:sz w:val="14"/>
      <w:szCs w:val="14"/>
      <w:vertAlign w:val="superscript"/>
      <w:lang w:val="sr-Latn-CS"/>
    </w:rPr>
  </w:style>
  <w:style w:type="paragraph" w:customStyle="1" w:styleId="Fusnota-Tekst1">
    <w:name w:val="Fusnota-Tekst1"/>
    <w:basedOn w:val="Normal"/>
    <w:qFormat/>
    <w:rPr>
      <w:sz w:val="14"/>
      <w:szCs w:val="14"/>
      <w:lang w:val="sr-Latn-CS"/>
    </w:rPr>
  </w:style>
  <w:style w:type="paragraph" w:customStyle="1" w:styleId="Naslovgrafikona">
    <w:name w:val="Naslov grafikona"/>
    <w:basedOn w:val="Normal"/>
    <w:next w:val="Normal"/>
    <w:qFormat/>
    <w:pPr>
      <w:framePr w:hSpace="181" w:wrap="auto" w:vAnchor="page" w:hAnchor="margin" w:xAlign="center" w:y="14176"/>
      <w:spacing w:before="120" w:after="120"/>
      <w:jc w:val="center"/>
    </w:pPr>
    <w:rPr>
      <w:b/>
      <w:bCs/>
      <w:lang w:val="ru-RU"/>
    </w:rPr>
  </w:style>
  <w:style w:type="character" w:customStyle="1" w:styleId="HeaderChar">
    <w:name w:val="Header Char"/>
    <w:link w:val="Header"/>
    <w:semiHidden/>
    <w:qFormat/>
    <w:locked/>
    <w:rPr>
      <w:rFonts w:ascii="Arial" w:hAnsi="Arial" w:cs="Arial"/>
      <w:sz w:val="20"/>
      <w:szCs w:val="20"/>
    </w:rPr>
  </w:style>
  <w:style w:type="character" w:customStyle="1" w:styleId="FooterChar">
    <w:name w:val="Footer Char"/>
    <w:link w:val="Footer"/>
    <w:semiHidden/>
    <w:qFormat/>
    <w:locked/>
    <w:rPr>
      <w:rFonts w:ascii="Arial" w:hAnsi="Arial" w:cs="Arial"/>
      <w:sz w:val="20"/>
      <w:szCs w:val="20"/>
    </w:rPr>
  </w:style>
  <w:style w:type="paragraph" w:customStyle="1" w:styleId="CarCar">
    <w:name w:val="Car Car"/>
    <w:basedOn w:val="Normal"/>
    <w:qFormat/>
    <w:pPr>
      <w:spacing w:after="160" w:line="240" w:lineRule="exact"/>
    </w:pPr>
    <w:rPr>
      <w:rFonts w:ascii="Verdana" w:hAnsi="Verdana" w:cs="Verdana"/>
      <w:i/>
      <w:iCs/>
    </w:rPr>
  </w:style>
  <w:style w:type="paragraph" w:styleId="ListParagraph">
    <w:name w:val="List Paragraph"/>
    <w:basedOn w:val="Normal"/>
    <w:qFormat/>
    <w:pPr>
      <w:ind w:left="720"/>
    </w:pPr>
  </w:style>
  <w:style w:type="character" w:customStyle="1" w:styleId="hps">
    <w:name w:val="hps"/>
    <w:basedOn w:val="DefaultParagraphFont"/>
    <w:qFormat/>
  </w:style>
  <w:style w:type="character" w:customStyle="1" w:styleId="shorttext">
    <w:name w:val="short_text"/>
    <w:basedOn w:val="DefaultParagraphFont"/>
    <w:qFormat/>
  </w:style>
  <w:style w:type="character" w:customStyle="1" w:styleId="hpsalt-edited">
    <w:name w:val="hps alt-edited"/>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20ana.vignjevic@stat.gov.rs,%20gordana.isailovic@stat.gov.r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data.stat.gov.rs/Metadata/25_Zivotna%20sredina/Html/09020301_ESMS_G0_2016_1.html" TargetMode="External"/><Relationship Id="rId4" Type="http://schemas.openxmlformats.org/officeDocument/2006/relationships/webSettings" Target="webSettings.xml"/><Relationship Id="rId9" Type="http://schemas.openxmlformats.org/officeDocument/2006/relationships/chart" Target="charts/chart1.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C:\RZS\Saopstenja\Zastita\2023\ZS-91\M-Tro&#353;kovi%20za%20za&#353;%20&#382;s_Grafikon%20za%20Milana.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Sheet1!$A$8</c:f>
              <c:strCache>
                <c:ptCount val="1"/>
                <c:pt idx="0">
                  <c:v> Investments for environmental protection</c:v>
                </c:pt>
              </c:strCache>
            </c:strRef>
          </c:tx>
          <c:spPr>
            <a:solidFill>
              <a:srgbClr val="A969A4"/>
            </a:solidFill>
            <a:ln>
              <a:noFill/>
            </a:ln>
            <a:effectLst/>
          </c:spPr>
          <c:invertIfNegative val="0"/>
          <c:cat>
            <c:numRef>
              <c:f>Sheet1!$B$7:$D$7</c:f>
              <c:numCache>
                <c:formatCode>General</c:formatCode>
                <c:ptCount val="3"/>
                <c:pt idx="0">
                  <c:v>2020</c:v>
                </c:pt>
                <c:pt idx="1">
                  <c:v>2021</c:v>
                </c:pt>
                <c:pt idx="2">
                  <c:v>2022</c:v>
                </c:pt>
              </c:numCache>
            </c:numRef>
          </c:cat>
          <c:val>
            <c:numRef>
              <c:f>Sheet1!$B$8:$D$8</c:f>
              <c:numCache>
                <c:formatCode>General</c:formatCode>
                <c:ptCount val="3"/>
                <c:pt idx="0">
                  <c:v>18470.599999999999</c:v>
                </c:pt>
                <c:pt idx="1">
                  <c:v>29803.266361655602</c:v>
                </c:pt>
                <c:pt idx="2">
                  <c:v>27231.801442777778</c:v>
                </c:pt>
              </c:numCache>
            </c:numRef>
          </c:val>
          <c:extLst>
            <c:ext xmlns:c16="http://schemas.microsoft.com/office/drawing/2014/chart" uri="{C3380CC4-5D6E-409C-BE32-E72D297353CC}">
              <c16:uniqueId val="{00000000-6F69-429A-99BF-730E042A47B6}"/>
            </c:ext>
          </c:extLst>
        </c:ser>
        <c:ser>
          <c:idx val="1"/>
          <c:order val="1"/>
          <c:tx>
            <c:strRef>
              <c:f>Sheet1!$A$9</c:f>
              <c:strCache>
                <c:ptCount val="1"/>
                <c:pt idx="0">
                  <c:v> Current expenditures for environmental protection </c:v>
                </c:pt>
              </c:strCache>
            </c:strRef>
          </c:tx>
          <c:spPr>
            <a:solidFill>
              <a:srgbClr val="EADFED"/>
            </a:solidFill>
            <a:ln>
              <a:noFill/>
            </a:ln>
            <a:effectLst/>
          </c:spPr>
          <c:invertIfNegative val="0"/>
          <c:cat>
            <c:numRef>
              <c:f>Sheet1!$B$7:$D$7</c:f>
              <c:numCache>
                <c:formatCode>General</c:formatCode>
                <c:ptCount val="3"/>
                <c:pt idx="0">
                  <c:v>2020</c:v>
                </c:pt>
                <c:pt idx="1">
                  <c:v>2021</c:v>
                </c:pt>
                <c:pt idx="2">
                  <c:v>2022</c:v>
                </c:pt>
              </c:numCache>
            </c:numRef>
          </c:cat>
          <c:val>
            <c:numRef>
              <c:f>Sheet1!$B$9:$D$9</c:f>
              <c:numCache>
                <c:formatCode>General</c:formatCode>
                <c:ptCount val="3"/>
                <c:pt idx="0">
                  <c:v>28227.5</c:v>
                </c:pt>
                <c:pt idx="1">
                  <c:v>38873.059889221782</c:v>
                </c:pt>
                <c:pt idx="2">
                  <c:v>42019.363652639258</c:v>
                </c:pt>
              </c:numCache>
            </c:numRef>
          </c:val>
          <c:extLst>
            <c:ext xmlns:c16="http://schemas.microsoft.com/office/drawing/2014/chart" uri="{C3380CC4-5D6E-409C-BE32-E72D297353CC}">
              <c16:uniqueId val="{00000001-6F69-429A-99BF-730E042A47B6}"/>
            </c:ext>
          </c:extLst>
        </c:ser>
        <c:dLbls>
          <c:showLegendKey val="0"/>
          <c:showVal val="0"/>
          <c:showCatName val="0"/>
          <c:showSerName val="0"/>
          <c:showPercent val="0"/>
          <c:showBubbleSize val="0"/>
        </c:dLbls>
        <c:gapWidth val="150"/>
        <c:overlap val="100"/>
        <c:axId val="499355503"/>
        <c:axId val="499357999"/>
      </c:barChart>
      <c:catAx>
        <c:axId val="49935550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499357999"/>
        <c:crosses val="autoZero"/>
        <c:auto val="1"/>
        <c:lblAlgn val="ctr"/>
        <c:lblOffset val="100"/>
        <c:noMultiLvlLbl val="0"/>
      </c:catAx>
      <c:valAx>
        <c:axId val="49935799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499355503"/>
        <c:crosses val="autoZero"/>
        <c:crossBetween val="between"/>
      </c:valAx>
      <c:spPr>
        <a:noFill/>
        <a:ln>
          <a:noFill/>
        </a:ln>
        <a:effectLst/>
      </c:spPr>
    </c:plotArea>
    <c:legend>
      <c:legendPos val="b"/>
      <c:layout>
        <c:manualLayout>
          <c:xMode val="edge"/>
          <c:yMode val="edge"/>
          <c:x val="6.4962659857477095E-2"/>
          <c:y val="0.84921199072828135"/>
          <c:w val="0.90535262128868899"/>
          <c:h val="0.12432714929376937"/>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noFill/>
      <a:round/>
    </a:ln>
    <a:effectLst/>
  </c:spPr>
  <c:txPr>
    <a:bodyPr/>
    <a:lstStyle/>
    <a:p>
      <a:pPr>
        <a:defRPr sz="800">
          <a:latin typeface="Arial" panose="020B0604020202020204" pitchFamily="34" charset="0"/>
          <a:cs typeface="Arial" panose="020B0604020202020204" pitchFamily="34"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600</Words>
  <Characters>3424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4016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e51id02</dc:creator>
  <cp:lastModifiedBy>Dragana Steljic</cp:lastModifiedBy>
  <cp:revision>10</cp:revision>
  <cp:lastPrinted>2019-11-20T09:48:00Z</cp:lastPrinted>
  <dcterms:created xsi:type="dcterms:W3CDTF">2022-10-21T12:30:00Z</dcterms:created>
  <dcterms:modified xsi:type="dcterms:W3CDTF">2023-11-16T08:23:00Z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1033-11.1.0.11698</vt:lpwstr>
  </property>
</Properties>
</file>