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02"/>
        <w:gridCol w:w="5049"/>
        <w:gridCol w:w="3214"/>
      </w:tblGrid>
      <w:tr w:rsidR="002577D1" w:rsidRPr="00C32106" w14:paraId="206EDF9D" w14:textId="77777777">
        <w:trPr>
          <w:cantSplit/>
          <w:trHeight w:val="631"/>
          <w:jc w:val="center"/>
        </w:trPr>
        <w:tc>
          <w:tcPr>
            <w:tcW w:w="812" w:type="pct"/>
            <w:tcBorders>
              <w:top w:val="single" w:sz="12" w:space="0" w:color="808080"/>
              <w:left w:val="nil"/>
              <w:bottom w:val="nil"/>
            </w:tcBorders>
            <w:vAlign w:val="center"/>
          </w:tcPr>
          <w:p w14:paraId="69C0E231" w14:textId="77777777" w:rsidR="002577D1" w:rsidRPr="00C32106" w:rsidRDefault="00C149A4" w:rsidP="001C0C7C">
            <w:pPr>
              <w:rPr>
                <w:rFonts w:cs="Arial"/>
                <w:color w:val="808080"/>
                <w:szCs w:val="20"/>
              </w:rPr>
            </w:pPr>
            <w:r w:rsidRPr="00C32106">
              <w:rPr>
                <w:color w:val="808080"/>
                <w:sz w:val="8"/>
                <w:szCs w:val="8"/>
              </w:rPr>
              <w:t xml:space="preserve">  </w:t>
            </w:r>
            <w:r w:rsidR="0041739D" w:rsidRPr="00C32106">
              <w:rPr>
                <w:color w:val="808080"/>
                <w:sz w:val="8"/>
                <w:szCs w:val="8"/>
              </w:rPr>
              <w:t xml:space="preserve">   </w:t>
            </w:r>
            <w:r w:rsidRPr="00C32106">
              <w:rPr>
                <w:color w:val="808080"/>
                <w:sz w:val="8"/>
                <w:szCs w:val="8"/>
              </w:rPr>
              <w:t xml:space="preserve">               </w:t>
            </w:r>
            <w:r w:rsidR="00C1673A" w:rsidRPr="00C32106">
              <w:rPr>
                <w:noProof/>
                <w:color w:val="808080"/>
                <w:lang w:val="en-US"/>
              </w:rPr>
              <w:drawing>
                <wp:anchor distT="0" distB="0" distL="114300" distR="114300" simplePos="0" relativeHeight="251657728" behindDoc="0" locked="0" layoutInCell="1" allowOverlap="1" wp14:anchorId="30696294" wp14:editId="435116C3">
                  <wp:simplePos x="0" y="0"/>
                  <wp:positionH relativeFrom="character">
                    <wp:posOffset>0</wp:posOffset>
                  </wp:positionH>
                  <wp:positionV relativeFrom="line">
                    <wp:posOffset>0</wp:posOffset>
                  </wp:positionV>
                  <wp:extent cx="904875" cy="219075"/>
                  <wp:effectExtent l="0" t="0" r="0" b="0"/>
                  <wp:wrapNone/>
                  <wp:docPr id="9" name="Picture 9"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RZ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14:sizeRelH relativeFrom="page">
                    <wp14:pctWidth>0</wp14:pctWidth>
                  </wp14:sizeRelH>
                  <wp14:sizeRelV relativeFrom="page">
                    <wp14:pctHeight>0</wp14:pctHeight>
                  </wp14:sizeRelV>
                </wp:anchor>
              </w:drawing>
            </w:r>
            <w:r w:rsidR="00C1673A" w:rsidRPr="00C32106">
              <w:rPr>
                <w:noProof/>
                <w:color w:val="808080"/>
                <w:lang w:val="en-US"/>
              </w:rPr>
              <mc:AlternateContent>
                <mc:Choice Requires="wps">
                  <w:drawing>
                    <wp:inline distT="0" distB="0" distL="0" distR="0" wp14:anchorId="1405F6C4" wp14:editId="43D87147">
                      <wp:extent cx="904240" cy="22098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2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6C40D9" id="AutoShape 1" o:spid="_x0000_s1026" style="width:7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" filled="f" stroked="f">
                      <o:lock v:ext="edit" aspectratio="t"/>
                      <w10:anchorlock/>
                    </v:rect>
                  </w:pict>
                </mc:Fallback>
              </mc:AlternateContent>
            </w:r>
          </w:p>
        </w:tc>
        <w:tc>
          <w:tcPr>
            <w:tcW w:w="2559" w:type="pct"/>
            <w:tcBorders>
              <w:top w:val="single" w:sz="12" w:space="0" w:color="808080"/>
              <w:left w:val="nil"/>
              <w:bottom w:val="nil"/>
            </w:tcBorders>
            <w:vAlign w:val="center"/>
          </w:tcPr>
          <w:p w14:paraId="27B266EA" w14:textId="77777777" w:rsidR="002577D1" w:rsidRPr="00C32106" w:rsidRDefault="004F2649" w:rsidP="001C0C7C">
            <w:pPr>
              <w:rPr>
                <w:rFonts w:cs="Arial"/>
                <w:szCs w:val="20"/>
              </w:rPr>
            </w:pPr>
            <w:r w:rsidRPr="00C32106">
              <w:rPr>
                <w:rFonts w:cs="Arial"/>
                <w:szCs w:val="20"/>
              </w:rPr>
              <w:t>Republic of Serbia</w:t>
            </w:r>
          </w:p>
          <w:p w14:paraId="0222F52E" w14:textId="77777777" w:rsidR="002577D1" w:rsidRPr="00C32106" w:rsidRDefault="004F2649" w:rsidP="004F2649">
            <w:pPr>
              <w:rPr>
                <w:rFonts w:cs="Arial"/>
                <w:szCs w:val="20"/>
              </w:rPr>
            </w:pPr>
            <w:r w:rsidRPr="00C32106">
              <w:rPr>
                <w:rFonts w:cs="Arial"/>
                <w:szCs w:val="20"/>
              </w:rPr>
              <w:t>Statistical Office of the Republic of Serbia</w:t>
            </w:r>
          </w:p>
        </w:tc>
        <w:tc>
          <w:tcPr>
            <w:tcW w:w="0" w:type="auto"/>
            <w:tcBorders>
              <w:top w:val="single" w:sz="12" w:space="0" w:color="808080"/>
              <w:bottom w:val="nil"/>
              <w:right w:val="nil"/>
            </w:tcBorders>
            <w:vAlign w:val="center"/>
          </w:tcPr>
          <w:p w14:paraId="122494D8" w14:textId="77777777" w:rsidR="002577D1" w:rsidRPr="00C32106" w:rsidRDefault="002577D1" w:rsidP="001C0C7C">
            <w:pPr>
              <w:jc w:val="right"/>
              <w:rPr>
                <w:rFonts w:cs="Arial"/>
                <w:b/>
                <w:color w:val="808080"/>
                <w:szCs w:val="20"/>
              </w:rPr>
            </w:pPr>
            <w:r w:rsidRPr="00C32106">
              <w:rPr>
                <w:rFonts w:cs="Arial"/>
                <w:szCs w:val="20"/>
              </w:rPr>
              <w:t>ISSN 0353-9555</w:t>
            </w:r>
          </w:p>
        </w:tc>
      </w:tr>
      <w:tr w:rsidR="002577D1" w:rsidRPr="00C32106" w14:paraId="25D7DFEB" w14:textId="77777777">
        <w:trPr>
          <w:cantSplit/>
          <w:trHeight w:val="836"/>
          <w:jc w:val="center"/>
        </w:trPr>
        <w:tc>
          <w:tcPr>
            <w:tcW w:w="0" w:type="auto"/>
            <w:gridSpan w:val="2"/>
            <w:tcBorders>
              <w:top w:val="nil"/>
              <w:left w:val="nil"/>
              <w:right w:val="nil"/>
            </w:tcBorders>
            <w:vAlign w:val="center"/>
          </w:tcPr>
          <w:p w14:paraId="58855CE8" w14:textId="77777777" w:rsidR="002577D1" w:rsidRPr="00C32106" w:rsidRDefault="004F2649" w:rsidP="001C0C7C">
            <w:pPr>
              <w:rPr>
                <w:color w:val="808080"/>
                <w:szCs w:val="20"/>
              </w:rPr>
            </w:pPr>
            <w:r w:rsidRPr="00C32106">
              <w:rPr>
                <w:rFonts w:cs="Arial"/>
                <w:b/>
                <w:color w:val="808080"/>
                <w:sz w:val="48"/>
                <w:szCs w:val="48"/>
              </w:rPr>
              <w:t>STATISTICAL RELEASE</w:t>
            </w:r>
          </w:p>
        </w:tc>
        <w:tc>
          <w:tcPr>
            <w:tcW w:w="0" w:type="auto"/>
            <w:tcBorders>
              <w:top w:val="nil"/>
              <w:left w:val="nil"/>
              <w:right w:val="nil"/>
            </w:tcBorders>
            <w:shd w:val="clear" w:color="auto" w:fill="auto"/>
            <w:vAlign w:val="center"/>
          </w:tcPr>
          <w:p w14:paraId="0F4A0614" w14:textId="77777777" w:rsidR="002577D1" w:rsidRPr="00C32106" w:rsidRDefault="004F2649" w:rsidP="00AC2005">
            <w:pPr>
              <w:jc w:val="right"/>
              <w:rPr>
                <w:b/>
                <w:color w:val="808080"/>
                <w:sz w:val="12"/>
              </w:rPr>
            </w:pPr>
            <w:r w:rsidRPr="00C32106">
              <w:rPr>
                <w:rFonts w:cs="Arial"/>
                <w:b/>
                <w:bCs/>
                <w:color w:val="808080"/>
                <w:sz w:val="48"/>
                <w:szCs w:val="48"/>
              </w:rPr>
              <w:t>DD</w:t>
            </w:r>
            <w:r w:rsidR="00AC2005" w:rsidRPr="00C32106">
              <w:rPr>
                <w:rFonts w:cs="Arial"/>
                <w:b/>
                <w:bCs/>
                <w:color w:val="808080"/>
                <w:sz w:val="48"/>
                <w:szCs w:val="48"/>
              </w:rPr>
              <w:t>6</w:t>
            </w:r>
            <w:r w:rsidR="00A24A95" w:rsidRPr="00C32106">
              <w:rPr>
                <w:rFonts w:cs="Arial"/>
                <w:b/>
                <w:bCs/>
                <w:color w:val="808080"/>
                <w:sz w:val="48"/>
                <w:szCs w:val="48"/>
              </w:rPr>
              <w:t>0</w:t>
            </w:r>
          </w:p>
        </w:tc>
      </w:tr>
      <w:tr w:rsidR="002577D1" w:rsidRPr="00C32106" w14:paraId="3B4B9D15" w14:textId="77777777">
        <w:trPr>
          <w:cantSplit/>
          <w:trHeight w:hRule="exact" w:val="279"/>
          <w:jc w:val="center"/>
        </w:trPr>
        <w:tc>
          <w:tcPr>
            <w:tcW w:w="0" w:type="auto"/>
            <w:gridSpan w:val="2"/>
            <w:tcBorders>
              <w:top w:val="nil"/>
              <w:left w:val="nil"/>
              <w:bottom w:val="nil"/>
              <w:right w:val="nil"/>
            </w:tcBorders>
            <w:vAlign w:val="center"/>
          </w:tcPr>
          <w:p w14:paraId="65B60C1E" w14:textId="19F3DD3A" w:rsidR="002577D1" w:rsidRPr="00C32106" w:rsidRDefault="004F2649" w:rsidP="00EE06BE">
            <w:pPr>
              <w:rPr>
                <w:rFonts w:cs="Arial"/>
                <w:szCs w:val="20"/>
              </w:rPr>
            </w:pPr>
            <w:r w:rsidRPr="00C32106">
              <w:rPr>
                <w:rFonts w:cs="Arial"/>
                <w:szCs w:val="20"/>
              </w:rPr>
              <w:t xml:space="preserve">Number </w:t>
            </w:r>
            <w:r w:rsidR="00EE06BE">
              <w:rPr>
                <w:rFonts w:cs="Arial"/>
                <w:szCs w:val="20"/>
              </w:rPr>
              <w:t>293</w:t>
            </w:r>
            <w:r w:rsidR="002577D1" w:rsidRPr="00C32106">
              <w:rPr>
                <w:rFonts w:cs="Arial"/>
                <w:szCs w:val="20"/>
              </w:rPr>
              <w:t xml:space="preserve"> - </w:t>
            </w:r>
            <w:r w:rsidRPr="00C32106">
              <w:rPr>
                <w:rFonts w:cs="Arial"/>
                <w:szCs w:val="20"/>
              </w:rPr>
              <w:t>Year</w:t>
            </w:r>
            <w:r w:rsidR="002577D1" w:rsidRPr="00C32106">
              <w:rPr>
                <w:rFonts w:cs="Arial"/>
                <w:szCs w:val="20"/>
              </w:rPr>
              <w:t xml:space="preserve"> LX</w:t>
            </w:r>
            <w:r w:rsidR="008948E0" w:rsidRPr="00C32106">
              <w:rPr>
                <w:rFonts w:cs="Arial"/>
                <w:szCs w:val="20"/>
              </w:rPr>
              <w:t>V</w:t>
            </w:r>
            <w:r w:rsidR="002F56F8" w:rsidRPr="00C32106">
              <w:rPr>
                <w:rFonts w:cs="Arial"/>
                <w:szCs w:val="20"/>
              </w:rPr>
              <w:t>I</w:t>
            </w:r>
            <w:r w:rsidR="00B23AAE" w:rsidRPr="00C32106">
              <w:rPr>
                <w:rFonts w:cs="Arial"/>
                <w:szCs w:val="20"/>
              </w:rPr>
              <w:t>I</w:t>
            </w:r>
            <w:r w:rsidR="00F2416D" w:rsidRPr="00C32106">
              <w:rPr>
                <w:rFonts w:cs="Arial"/>
                <w:szCs w:val="20"/>
              </w:rPr>
              <w:t>I</w:t>
            </w:r>
            <w:r w:rsidR="002577D1" w:rsidRPr="00C32106">
              <w:rPr>
                <w:rFonts w:cs="Arial"/>
                <w:szCs w:val="20"/>
              </w:rPr>
              <w:t xml:space="preserve">, </w:t>
            </w:r>
            <w:r w:rsidR="00AC2005" w:rsidRPr="00C32106">
              <w:rPr>
                <w:rFonts w:cs="Arial"/>
                <w:szCs w:val="20"/>
              </w:rPr>
              <w:t>3</w:t>
            </w:r>
            <w:r w:rsidR="0060643B" w:rsidRPr="00C32106">
              <w:rPr>
                <w:rFonts w:cs="Arial"/>
                <w:szCs w:val="20"/>
              </w:rPr>
              <w:t>1</w:t>
            </w:r>
            <w:r w:rsidR="002577D1" w:rsidRPr="00C32106">
              <w:rPr>
                <w:rFonts w:cs="Arial"/>
                <w:szCs w:val="20"/>
              </w:rPr>
              <w:t>.</w:t>
            </w:r>
            <w:r w:rsidR="0060643B" w:rsidRPr="00C32106">
              <w:rPr>
                <w:rFonts w:cs="Arial"/>
                <w:szCs w:val="20"/>
              </w:rPr>
              <w:t>10</w:t>
            </w:r>
            <w:r w:rsidR="002577D1" w:rsidRPr="00C32106">
              <w:rPr>
                <w:rFonts w:cs="Arial"/>
                <w:szCs w:val="20"/>
              </w:rPr>
              <w:t>.</w:t>
            </w:r>
            <w:r w:rsidR="00996365" w:rsidRPr="00C32106">
              <w:rPr>
                <w:rFonts w:cs="Arial"/>
                <w:szCs w:val="20"/>
              </w:rPr>
              <w:t>20</w:t>
            </w:r>
            <w:r w:rsidR="0060643B" w:rsidRPr="00C32106">
              <w:rPr>
                <w:rFonts w:cs="Arial"/>
                <w:szCs w:val="20"/>
              </w:rPr>
              <w:t>23</w:t>
            </w:r>
          </w:p>
        </w:tc>
        <w:tc>
          <w:tcPr>
            <w:tcW w:w="0" w:type="auto"/>
            <w:tcBorders>
              <w:left w:val="nil"/>
              <w:bottom w:val="nil"/>
              <w:right w:val="nil"/>
            </w:tcBorders>
            <w:shd w:val="clear" w:color="auto" w:fill="auto"/>
            <w:vAlign w:val="center"/>
          </w:tcPr>
          <w:p w14:paraId="13FBBB42" w14:textId="77777777" w:rsidR="002577D1" w:rsidRPr="00C32106" w:rsidRDefault="002577D1" w:rsidP="001C0C7C">
            <w:pPr>
              <w:jc w:val="right"/>
              <w:rPr>
                <w:rFonts w:cs="Arial"/>
                <w:b/>
                <w:color w:val="808080"/>
                <w:sz w:val="48"/>
                <w:szCs w:val="48"/>
              </w:rPr>
            </w:pPr>
          </w:p>
        </w:tc>
      </w:tr>
      <w:tr w:rsidR="002577D1" w:rsidRPr="00C32106" w14:paraId="2554191A" w14:textId="77777777">
        <w:trPr>
          <w:cantSplit/>
          <w:trHeight w:val="411"/>
          <w:jc w:val="center"/>
        </w:trPr>
        <w:tc>
          <w:tcPr>
            <w:tcW w:w="0" w:type="auto"/>
            <w:gridSpan w:val="2"/>
            <w:tcBorders>
              <w:top w:val="nil"/>
              <w:left w:val="nil"/>
              <w:bottom w:val="single" w:sz="12" w:space="0" w:color="808080"/>
              <w:right w:val="nil"/>
            </w:tcBorders>
            <w:vAlign w:val="center"/>
          </w:tcPr>
          <w:p w14:paraId="5ED5FAC1" w14:textId="77777777" w:rsidR="002577D1" w:rsidRPr="00C32106" w:rsidRDefault="004F2649" w:rsidP="00E3719C">
            <w:pPr>
              <w:rPr>
                <w:b/>
                <w:bCs/>
                <w:sz w:val="24"/>
              </w:rPr>
            </w:pPr>
            <w:r w:rsidRPr="00C32106">
              <w:rPr>
                <w:rFonts w:cs="Arial"/>
                <w:b/>
                <w:bCs/>
                <w:sz w:val="24"/>
              </w:rPr>
              <w:t>Education statistics</w:t>
            </w:r>
          </w:p>
        </w:tc>
        <w:tc>
          <w:tcPr>
            <w:tcW w:w="0" w:type="auto"/>
            <w:tcBorders>
              <w:top w:val="nil"/>
              <w:left w:val="nil"/>
              <w:bottom w:val="single" w:sz="12" w:space="0" w:color="808080"/>
              <w:right w:val="nil"/>
            </w:tcBorders>
            <w:vAlign w:val="center"/>
          </w:tcPr>
          <w:p w14:paraId="5201ACEE" w14:textId="638E187E" w:rsidR="002577D1" w:rsidRPr="00C32106" w:rsidRDefault="004F2649" w:rsidP="00EE06BE">
            <w:pPr>
              <w:jc w:val="right"/>
              <w:rPr>
                <w:b/>
                <w:szCs w:val="20"/>
              </w:rPr>
            </w:pPr>
            <w:r w:rsidRPr="00C32106">
              <w:rPr>
                <w:rFonts w:cs="Arial"/>
                <w:szCs w:val="20"/>
              </w:rPr>
              <w:t>SERB</w:t>
            </w:r>
            <w:r w:rsidR="00EE06BE">
              <w:rPr>
                <w:rFonts w:cs="Arial"/>
                <w:szCs w:val="20"/>
              </w:rPr>
              <w:t>293</w:t>
            </w:r>
            <w:r w:rsidR="002577D1" w:rsidRPr="00C32106">
              <w:rPr>
                <w:rFonts w:cs="Arial"/>
                <w:szCs w:val="20"/>
              </w:rPr>
              <w:t xml:space="preserve"> </w:t>
            </w:r>
            <w:r w:rsidRPr="00C32106">
              <w:rPr>
                <w:rFonts w:cs="Arial"/>
                <w:szCs w:val="20"/>
              </w:rPr>
              <w:t>DD</w:t>
            </w:r>
            <w:r w:rsidR="006E6BA4" w:rsidRPr="00C32106">
              <w:rPr>
                <w:rFonts w:cs="Arial"/>
                <w:szCs w:val="20"/>
              </w:rPr>
              <w:t>6</w:t>
            </w:r>
            <w:r w:rsidR="00A24A95" w:rsidRPr="00C32106">
              <w:rPr>
                <w:rFonts w:cs="Arial"/>
                <w:szCs w:val="20"/>
              </w:rPr>
              <w:t>0</w:t>
            </w:r>
            <w:r w:rsidR="00996365" w:rsidRPr="00C32106">
              <w:rPr>
                <w:rFonts w:cs="Arial"/>
                <w:szCs w:val="20"/>
              </w:rPr>
              <w:t xml:space="preserve"> </w:t>
            </w:r>
            <w:r w:rsidR="00AC2005" w:rsidRPr="00C32106">
              <w:rPr>
                <w:rFonts w:cs="Arial"/>
                <w:szCs w:val="20"/>
              </w:rPr>
              <w:t>3</w:t>
            </w:r>
            <w:r w:rsidR="0060643B" w:rsidRPr="00C32106">
              <w:rPr>
                <w:rFonts w:cs="Arial"/>
                <w:szCs w:val="20"/>
              </w:rPr>
              <w:t>11023</w:t>
            </w:r>
          </w:p>
        </w:tc>
      </w:tr>
    </w:tbl>
    <w:p w14:paraId="2653D0D7" w14:textId="2D2B9689" w:rsidR="002D5D8C" w:rsidRPr="00C32106" w:rsidRDefault="002D5D8C" w:rsidP="00AC2005">
      <w:pPr>
        <w:pStyle w:val="Heading8"/>
        <w:spacing w:before="840" w:after="480"/>
        <w:rPr>
          <w:sz w:val="24"/>
          <w:lang w:val="en-GB"/>
        </w:rPr>
      </w:pPr>
      <w:r w:rsidRPr="00C32106">
        <w:rPr>
          <w:sz w:val="24"/>
          <w:lang w:val="en-GB"/>
        </w:rPr>
        <w:t>Adult Education Survey, 20</w:t>
      </w:r>
      <w:r w:rsidR="007D6463" w:rsidRPr="00C32106">
        <w:rPr>
          <w:sz w:val="24"/>
          <w:lang w:val="en-GB"/>
        </w:rPr>
        <w:t>22</w:t>
      </w:r>
      <w:r w:rsidRPr="00C32106">
        <w:rPr>
          <w:sz w:val="24"/>
          <w:lang w:val="en-GB"/>
        </w:rPr>
        <w:t xml:space="preserve"> </w:t>
      </w:r>
    </w:p>
    <w:p w14:paraId="787F8C23" w14:textId="17FAA1FC" w:rsidR="00AC2005" w:rsidRPr="00C32106" w:rsidRDefault="00AC2005" w:rsidP="00EE06BE">
      <w:pPr>
        <w:pStyle w:val="NoSpacing"/>
        <w:spacing w:before="120" w:after="120"/>
        <w:jc w:val="both"/>
        <w:rPr>
          <w:rFonts w:ascii="Arial" w:hAnsi="Arial" w:cs="Arial"/>
          <w:bCs/>
          <w:color w:val="FF0000"/>
          <w:sz w:val="20"/>
          <w:szCs w:val="20"/>
          <w:lang w:val="en-GB"/>
        </w:rPr>
      </w:pPr>
      <w:r w:rsidRPr="00C32106">
        <w:rPr>
          <w:rFonts w:ascii="Arial" w:hAnsi="Arial" w:cs="Arial"/>
          <w:b/>
          <w:bCs/>
          <w:i/>
          <w:iCs/>
          <w:sz w:val="20"/>
          <w:szCs w:val="20"/>
          <w:lang w:val="en-GB"/>
        </w:rPr>
        <w:t>Adult Education Survey – AES</w:t>
      </w:r>
      <w:r w:rsidRPr="00C32106">
        <w:rPr>
          <w:rFonts w:ascii="Arial" w:hAnsi="Arial" w:cs="Arial"/>
          <w:bCs/>
          <w:sz w:val="20"/>
          <w:szCs w:val="20"/>
          <w:lang w:val="en-GB"/>
        </w:rPr>
        <w:t xml:space="preserve"> </w:t>
      </w:r>
      <w:proofErr w:type="gramStart"/>
      <w:r w:rsidR="002D5D8C" w:rsidRPr="00C32106">
        <w:rPr>
          <w:rFonts w:ascii="Arial" w:hAnsi="Arial" w:cs="Arial"/>
          <w:bCs/>
          <w:sz w:val="20"/>
          <w:szCs w:val="20"/>
          <w:lang w:val="en-GB"/>
        </w:rPr>
        <w:t>was conducted</w:t>
      </w:r>
      <w:proofErr w:type="gramEnd"/>
      <w:r w:rsidR="002D5D8C" w:rsidRPr="00C32106">
        <w:rPr>
          <w:rFonts w:ascii="Arial" w:hAnsi="Arial" w:cs="Arial"/>
          <w:bCs/>
          <w:sz w:val="20"/>
          <w:szCs w:val="20"/>
          <w:lang w:val="en-GB"/>
        </w:rPr>
        <w:t xml:space="preserve"> for the </w:t>
      </w:r>
      <w:r w:rsidR="0060643B" w:rsidRPr="00C32106">
        <w:rPr>
          <w:rFonts w:ascii="Arial" w:hAnsi="Arial" w:cs="Arial"/>
          <w:bCs/>
          <w:sz w:val="20"/>
          <w:szCs w:val="20"/>
          <w:lang w:val="en-GB"/>
        </w:rPr>
        <w:t>thir</w:t>
      </w:r>
      <w:r w:rsidR="002D5D8C" w:rsidRPr="00C32106">
        <w:rPr>
          <w:rFonts w:ascii="Arial" w:hAnsi="Arial" w:cs="Arial"/>
          <w:bCs/>
          <w:sz w:val="20"/>
          <w:szCs w:val="20"/>
          <w:lang w:val="en-GB"/>
        </w:rPr>
        <w:t>d time in the Republic of Serbia in 20</w:t>
      </w:r>
      <w:r w:rsidR="0060643B" w:rsidRPr="00C32106">
        <w:rPr>
          <w:rFonts w:ascii="Arial" w:hAnsi="Arial" w:cs="Arial"/>
          <w:bCs/>
          <w:sz w:val="20"/>
          <w:szCs w:val="20"/>
          <w:lang w:val="en-GB"/>
        </w:rPr>
        <w:t xml:space="preserve">22 according to Eurostat standards and methodology. </w:t>
      </w:r>
      <w:r w:rsidRPr="00C32106">
        <w:rPr>
          <w:rFonts w:ascii="Arial" w:hAnsi="Arial" w:cs="Arial"/>
          <w:bCs/>
          <w:color w:val="FF0000"/>
          <w:sz w:val="20"/>
          <w:szCs w:val="20"/>
          <w:lang w:val="en-GB"/>
        </w:rPr>
        <w:t xml:space="preserve"> </w:t>
      </w:r>
    </w:p>
    <w:p w14:paraId="4DDF3129" w14:textId="05F65316" w:rsidR="0060643B" w:rsidRPr="00C32106" w:rsidRDefault="0060643B" w:rsidP="00EE06BE">
      <w:pPr>
        <w:spacing w:before="120" w:after="120"/>
        <w:jc w:val="both"/>
        <w:rPr>
          <w:szCs w:val="20"/>
        </w:rPr>
      </w:pPr>
      <w:r w:rsidRPr="00C32106">
        <w:rPr>
          <w:szCs w:val="20"/>
        </w:rPr>
        <w:t xml:space="preserve">In this round of </w:t>
      </w:r>
      <w:r w:rsidR="007D6463" w:rsidRPr="00C32106">
        <w:rPr>
          <w:szCs w:val="20"/>
        </w:rPr>
        <w:t xml:space="preserve">the </w:t>
      </w:r>
      <w:r w:rsidRPr="00C32106">
        <w:rPr>
          <w:szCs w:val="20"/>
        </w:rPr>
        <w:t xml:space="preserve">survey, the sample was extended to include young people (aged 18-24), for whom the data show that more than two-thirds (67.8%) participate in some kind of formal or </w:t>
      </w:r>
      <w:r w:rsidR="006C1C63">
        <w:rPr>
          <w:szCs w:val="20"/>
        </w:rPr>
        <w:t>non-</w:t>
      </w:r>
      <w:r w:rsidRPr="00C32106">
        <w:rPr>
          <w:szCs w:val="20"/>
        </w:rPr>
        <w:t xml:space="preserve">formal education and training. More than half of respondents of this age (58.2%) </w:t>
      </w:r>
      <w:r w:rsidR="00ED5825" w:rsidRPr="00C32106">
        <w:rPr>
          <w:szCs w:val="20"/>
        </w:rPr>
        <w:t>participates</w:t>
      </w:r>
      <w:r w:rsidRPr="00C32106">
        <w:rPr>
          <w:szCs w:val="20"/>
        </w:rPr>
        <w:t xml:space="preserve"> in formal education, while 29.9% of them participate in </w:t>
      </w:r>
      <w:r w:rsidR="006C1C63">
        <w:rPr>
          <w:szCs w:val="20"/>
        </w:rPr>
        <w:t>no</w:t>
      </w:r>
      <w:r w:rsidRPr="00C32106">
        <w:rPr>
          <w:szCs w:val="20"/>
        </w:rPr>
        <w:t>n</w:t>
      </w:r>
      <w:r w:rsidR="006C1C63">
        <w:rPr>
          <w:szCs w:val="20"/>
        </w:rPr>
        <w:t>-</w:t>
      </w:r>
      <w:r w:rsidRPr="00C32106">
        <w:rPr>
          <w:szCs w:val="20"/>
        </w:rPr>
        <w:t>formal education.</w:t>
      </w:r>
    </w:p>
    <w:p w14:paraId="27617CC8" w14:textId="4DDBAD95" w:rsidR="00AC2005" w:rsidRDefault="0060643B" w:rsidP="0060643B">
      <w:pPr>
        <w:spacing w:before="320" w:after="60" w:line="228" w:lineRule="auto"/>
        <w:rPr>
          <w:b/>
        </w:rPr>
      </w:pPr>
      <w:r w:rsidRPr="00C32106">
        <w:rPr>
          <w:b/>
        </w:rPr>
        <w:t xml:space="preserve">Table </w:t>
      </w:r>
      <w:r w:rsidR="00AC2005" w:rsidRPr="00C32106">
        <w:rPr>
          <w:b/>
        </w:rPr>
        <w:t xml:space="preserve">1. </w:t>
      </w:r>
      <w:r w:rsidRPr="00C32106">
        <w:rPr>
          <w:b/>
        </w:rPr>
        <w:t xml:space="preserve">Share of respondents aged 18-24 in </w:t>
      </w:r>
      <w:r w:rsidR="002D5D8C" w:rsidRPr="00C32106">
        <w:rPr>
          <w:b/>
        </w:rPr>
        <w:t>formal</w:t>
      </w:r>
      <w:r w:rsidR="00E13424" w:rsidRPr="00C32106">
        <w:rPr>
          <w:b/>
        </w:rPr>
        <w:t xml:space="preserve"> and/or</w:t>
      </w:r>
      <w:r w:rsidR="002D5D8C" w:rsidRPr="00C32106">
        <w:rPr>
          <w:b/>
        </w:rPr>
        <w:t xml:space="preserve"> </w:t>
      </w:r>
      <w:r w:rsidR="006C1C63">
        <w:rPr>
          <w:b/>
        </w:rPr>
        <w:t>non-</w:t>
      </w:r>
      <w:r w:rsidR="002D5D8C" w:rsidRPr="00C32106">
        <w:rPr>
          <w:b/>
        </w:rPr>
        <w:t>formal education and trainings (</w:t>
      </w:r>
      <w:proofErr w:type="gramStart"/>
      <w:r w:rsidR="002D5D8C" w:rsidRPr="00C32106">
        <w:rPr>
          <w:b/>
        </w:rPr>
        <w:t>%</w:t>
      </w:r>
      <w:proofErr w:type="gramEnd"/>
      <w:r w:rsidR="002D5D8C" w:rsidRPr="00C32106">
        <w:rPr>
          <w:b/>
        </w:rPr>
        <w:t xml:space="preserve">) </w:t>
      </w:r>
    </w:p>
    <w:tbl>
      <w:tblPr>
        <w:tblStyle w:val="TableGrid"/>
        <w:tblW w:w="9866"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4138"/>
        <w:gridCol w:w="1909"/>
        <w:gridCol w:w="1911"/>
        <w:gridCol w:w="1908"/>
      </w:tblGrid>
      <w:tr w:rsidR="00EE06BE" w:rsidRPr="00CC6409" w14:paraId="1793AFA1" w14:textId="77777777" w:rsidTr="00EE06BE">
        <w:trPr>
          <w:jc w:val="center"/>
        </w:trPr>
        <w:tc>
          <w:tcPr>
            <w:tcW w:w="4138" w:type="dxa"/>
            <w:tcBorders>
              <w:right w:val="single" w:sz="4" w:space="0" w:color="BFBFBF" w:themeColor="background1" w:themeShade="BF"/>
            </w:tcBorders>
            <w:shd w:val="clear" w:color="auto" w:fill="F2F2F2" w:themeFill="background1" w:themeFillShade="F2"/>
          </w:tcPr>
          <w:p w14:paraId="4DB90519" w14:textId="77777777" w:rsidR="00EE06BE" w:rsidRPr="00CC6409" w:rsidRDefault="00EE06BE" w:rsidP="00EE06BE">
            <w:pPr>
              <w:spacing w:before="80" w:after="80" w:line="228" w:lineRule="auto"/>
              <w:jc w:val="both"/>
              <w:rPr>
                <w:noProof/>
                <w:sz w:val="16"/>
                <w:szCs w:val="16"/>
              </w:rPr>
            </w:pPr>
          </w:p>
        </w:tc>
        <w:tc>
          <w:tcPr>
            <w:tcW w:w="1909" w:type="dxa"/>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4E0564E6" w14:textId="0E4E4A88" w:rsidR="00EE06BE" w:rsidRPr="00CC6409" w:rsidRDefault="00EE06BE" w:rsidP="00EE06BE">
            <w:pPr>
              <w:spacing w:before="80" w:after="80" w:line="228" w:lineRule="auto"/>
              <w:ind w:right="170"/>
              <w:jc w:val="right"/>
              <w:rPr>
                <w:noProof/>
                <w:sz w:val="16"/>
                <w:szCs w:val="16"/>
              </w:rPr>
            </w:pPr>
            <w:r w:rsidRPr="00C32106">
              <w:rPr>
                <w:rFonts w:cs="Arial"/>
                <w:color w:val="000000"/>
                <w:sz w:val="16"/>
                <w:szCs w:val="16"/>
              </w:rPr>
              <w:t>Total</w:t>
            </w:r>
          </w:p>
        </w:tc>
        <w:tc>
          <w:tcPr>
            <w:tcW w:w="1911" w:type="dxa"/>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3FFCBD12" w14:textId="1CE6320B" w:rsidR="00EE06BE" w:rsidRPr="00CC6409" w:rsidRDefault="00EE06BE" w:rsidP="00EE06BE">
            <w:pPr>
              <w:spacing w:before="80" w:after="80" w:line="228" w:lineRule="auto"/>
              <w:ind w:right="170"/>
              <w:jc w:val="right"/>
              <w:rPr>
                <w:noProof/>
                <w:sz w:val="16"/>
                <w:szCs w:val="16"/>
              </w:rPr>
            </w:pPr>
            <w:r w:rsidRPr="00C32106">
              <w:rPr>
                <w:rFonts w:cs="Arial"/>
                <w:color w:val="000000"/>
                <w:sz w:val="16"/>
                <w:szCs w:val="16"/>
              </w:rPr>
              <w:t>Males</w:t>
            </w:r>
          </w:p>
        </w:tc>
        <w:tc>
          <w:tcPr>
            <w:tcW w:w="1908" w:type="dxa"/>
            <w:tcBorders>
              <w:left w:val="single" w:sz="4" w:space="0" w:color="BFBFBF" w:themeColor="background1" w:themeShade="BF"/>
            </w:tcBorders>
            <w:shd w:val="clear" w:color="auto" w:fill="F2F2F2" w:themeFill="background1" w:themeFillShade="F2"/>
          </w:tcPr>
          <w:p w14:paraId="5DEE3C7F" w14:textId="05462733" w:rsidR="00EE06BE" w:rsidRPr="00CC6409" w:rsidRDefault="00EE06BE" w:rsidP="00EE06BE">
            <w:pPr>
              <w:spacing w:before="80" w:after="80" w:line="228" w:lineRule="auto"/>
              <w:ind w:right="170"/>
              <w:jc w:val="right"/>
              <w:rPr>
                <w:noProof/>
                <w:sz w:val="16"/>
                <w:szCs w:val="16"/>
              </w:rPr>
            </w:pPr>
            <w:r w:rsidRPr="00C32106">
              <w:rPr>
                <w:rFonts w:cs="Arial"/>
                <w:color w:val="000000"/>
                <w:sz w:val="16"/>
                <w:szCs w:val="16"/>
              </w:rPr>
              <w:t>Females</w:t>
            </w:r>
          </w:p>
        </w:tc>
      </w:tr>
      <w:tr w:rsidR="00EE06BE" w:rsidRPr="00CC6409" w14:paraId="178D5D65" w14:textId="77777777" w:rsidTr="00301605">
        <w:trPr>
          <w:jc w:val="center"/>
        </w:trPr>
        <w:tc>
          <w:tcPr>
            <w:tcW w:w="4138" w:type="dxa"/>
          </w:tcPr>
          <w:p w14:paraId="17C55EA6" w14:textId="3F1E6AA6" w:rsidR="00EE06BE" w:rsidRPr="00CC6409" w:rsidRDefault="00EE06BE" w:rsidP="00EE06BE">
            <w:pPr>
              <w:spacing w:before="80" w:after="80" w:line="228" w:lineRule="auto"/>
              <w:rPr>
                <w:noProof/>
                <w:sz w:val="16"/>
                <w:szCs w:val="16"/>
              </w:rPr>
            </w:pPr>
            <w:r w:rsidRPr="00C32106">
              <w:rPr>
                <w:rFonts w:cs="Arial"/>
                <w:color w:val="000000"/>
                <w:sz w:val="16"/>
                <w:szCs w:val="16"/>
              </w:rPr>
              <w:t xml:space="preserve">Share in formal and/or </w:t>
            </w:r>
            <w:r w:rsidR="006C1C63">
              <w:rPr>
                <w:rFonts w:cs="Arial"/>
                <w:color w:val="000000"/>
                <w:sz w:val="16"/>
                <w:szCs w:val="16"/>
              </w:rPr>
              <w:t>no</w:t>
            </w:r>
            <w:r w:rsidRPr="00C32106">
              <w:rPr>
                <w:rFonts w:cs="Arial"/>
                <w:color w:val="000000"/>
                <w:sz w:val="16"/>
                <w:szCs w:val="16"/>
              </w:rPr>
              <w:t>n</w:t>
            </w:r>
            <w:r w:rsidR="006C1C63">
              <w:rPr>
                <w:rFonts w:cs="Arial"/>
                <w:color w:val="000000"/>
                <w:sz w:val="16"/>
                <w:szCs w:val="16"/>
              </w:rPr>
              <w:t>-</w:t>
            </w:r>
            <w:r w:rsidRPr="00C32106">
              <w:rPr>
                <w:rFonts w:cs="Arial"/>
                <w:color w:val="000000"/>
                <w:sz w:val="16"/>
                <w:szCs w:val="16"/>
              </w:rPr>
              <w:t xml:space="preserve">formal education and training </w:t>
            </w:r>
          </w:p>
        </w:tc>
        <w:tc>
          <w:tcPr>
            <w:tcW w:w="1909" w:type="dxa"/>
            <w:vAlign w:val="center"/>
          </w:tcPr>
          <w:p w14:paraId="09CCD1C3" w14:textId="02DD7A76"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lang w:val="en-US"/>
              </w:rPr>
              <w:t>67</w:t>
            </w:r>
            <w:r w:rsidR="00203804">
              <w:rPr>
                <w:rFonts w:cs="Arial"/>
                <w:color w:val="000000"/>
                <w:sz w:val="16"/>
                <w:szCs w:val="16"/>
                <w:lang w:val="en-US"/>
              </w:rPr>
              <w:t>.</w:t>
            </w:r>
            <w:r w:rsidRPr="00CC6409">
              <w:rPr>
                <w:rFonts w:cs="Arial"/>
                <w:color w:val="000000"/>
                <w:sz w:val="16"/>
                <w:szCs w:val="16"/>
                <w:lang w:val="en-US"/>
              </w:rPr>
              <w:t>8</w:t>
            </w:r>
          </w:p>
        </w:tc>
        <w:tc>
          <w:tcPr>
            <w:tcW w:w="1911" w:type="dxa"/>
            <w:vAlign w:val="center"/>
          </w:tcPr>
          <w:p w14:paraId="1197D5F2" w14:textId="4010EC5E"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lang w:val="en-US"/>
              </w:rPr>
              <w:t>67</w:t>
            </w:r>
            <w:r w:rsidR="00203804">
              <w:rPr>
                <w:rFonts w:cs="Arial"/>
                <w:color w:val="000000"/>
                <w:sz w:val="16"/>
                <w:szCs w:val="16"/>
                <w:lang w:val="en-US"/>
              </w:rPr>
              <w:t>.</w:t>
            </w:r>
            <w:r w:rsidRPr="00CC6409">
              <w:rPr>
                <w:rFonts w:cs="Arial"/>
                <w:color w:val="000000"/>
                <w:sz w:val="16"/>
                <w:szCs w:val="16"/>
                <w:lang w:val="en-US"/>
              </w:rPr>
              <w:t>2</w:t>
            </w:r>
          </w:p>
        </w:tc>
        <w:tc>
          <w:tcPr>
            <w:tcW w:w="1908" w:type="dxa"/>
            <w:vAlign w:val="center"/>
          </w:tcPr>
          <w:p w14:paraId="08F76FEC" w14:textId="53FA530F"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lang w:val="en-US"/>
              </w:rPr>
              <w:t>68</w:t>
            </w:r>
            <w:r w:rsidR="00203804">
              <w:rPr>
                <w:rFonts w:cs="Arial"/>
                <w:color w:val="000000"/>
                <w:sz w:val="16"/>
                <w:szCs w:val="16"/>
                <w:lang w:val="en-US"/>
              </w:rPr>
              <w:t>.</w:t>
            </w:r>
            <w:r w:rsidRPr="00CC6409">
              <w:rPr>
                <w:rFonts w:cs="Arial"/>
                <w:color w:val="000000"/>
                <w:sz w:val="16"/>
                <w:szCs w:val="16"/>
                <w:lang w:val="en-US"/>
              </w:rPr>
              <w:t>4</w:t>
            </w:r>
          </w:p>
        </w:tc>
      </w:tr>
      <w:tr w:rsidR="00EE06BE" w:rsidRPr="00CC6409" w14:paraId="17339A83" w14:textId="77777777" w:rsidTr="00301605">
        <w:trPr>
          <w:jc w:val="center"/>
        </w:trPr>
        <w:tc>
          <w:tcPr>
            <w:tcW w:w="4138" w:type="dxa"/>
          </w:tcPr>
          <w:p w14:paraId="2544A90F" w14:textId="48E96768" w:rsidR="00EE06BE" w:rsidRPr="00CC6409" w:rsidRDefault="00EE06BE" w:rsidP="00EE06BE">
            <w:pPr>
              <w:spacing w:before="80" w:after="80" w:line="228" w:lineRule="auto"/>
              <w:jc w:val="both"/>
              <w:rPr>
                <w:noProof/>
                <w:sz w:val="16"/>
                <w:szCs w:val="16"/>
              </w:rPr>
            </w:pPr>
            <w:r w:rsidRPr="00C32106">
              <w:rPr>
                <w:rFonts w:cs="Arial"/>
                <w:color w:val="000000"/>
                <w:sz w:val="16"/>
                <w:szCs w:val="16"/>
              </w:rPr>
              <w:t xml:space="preserve">Share in formal education </w:t>
            </w:r>
          </w:p>
        </w:tc>
        <w:tc>
          <w:tcPr>
            <w:tcW w:w="1909" w:type="dxa"/>
            <w:vAlign w:val="center"/>
          </w:tcPr>
          <w:p w14:paraId="56167539" w14:textId="5B412FDA"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rPr>
              <w:t>58</w:t>
            </w:r>
            <w:r w:rsidR="00203804">
              <w:rPr>
                <w:rFonts w:cs="Arial"/>
                <w:color w:val="000000"/>
                <w:sz w:val="16"/>
                <w:szCs w:val="16"/>
              </w:rPr>
              <w:t>.</w:t>
            </w:r>
            <w:r w:rsidRPr="00CC6409">
              <w:rPr>
                <w:rFonts w:cs="Arial"/>
                <w:color w:val="000000"/>
                <w:sz w:val="16"/>
                <w:szCs w:val="16"/>
              </w:rPr>
              <w:t>2</w:t>
            </w:r>
          </w:p>
        </w:tc>
        <w:tc>
          <w:tcPr>
            <w:tcW w:w="1911" w:type="dxa"/>
            <w:vAlign w:val="center"/>
          </w:tcPr>
          <w:p w14:paraId="369BDE34" w14:textId="15EB23C7"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rPr>
              <w:t>54</w:t>
            </w:r>
            <w:r w:rsidR="00203804">
              <w:rPr>
                <w:rFonts w:cs="Arial"/>
                <w:color w:val="000000"/>
                <w:sz w:val="16"/>
                <w:szCs w:val="16"/>
              </w:rPr>
              <w:t>.</w:t>
            </w:r>
            <w:r w:rsidRPr="00CC6409">
              <w:rPr>
                <w:rFonts w:cs="Arial"/>
                <w:color w:val="000000"/>
                <w:sz w:val="16"/>
                <w:szCs w:val="16"/>
              </w:rPr>
              <w:t>5</w:t>
            </w:r>
          </w:p>
        </w:tc>
        <w:tc>
          <w:tcPr>
            <w:tcW w:w="1908" w:type="dxa"/>
            <w:vAlign w:val="center"/>
          </w:tcPr>
          <w:p w14:paraId="14A84A35" w14:textId="35659C84"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rPr>
              <w:t>62</w:t>
            </w:r>
            <w:r w:rsidR="00203804">
              <w:rPr>
                <w:rFonts w:cs="Arial"/>
                <w:color w:val="000000"/>
                <w:sz w:val="16"/>
                <w:szCs w:val="16"/>
              </w:rPr>
              <w:t>.</w:t>
            </w:r>
            <w:r w:rsidRPr="00CC6409">
              <w:rPr>
                <w:rFonts w:cs="Arial"/>
                <w:color w:val="000000"/>
                <w:sz w:val="16"/>
                <w:szCs w:val="16"/>
              </w:rPr>
              <w:t>3</w:t>
            </w:r>
          </w:p>
        </w:tc>
      </w:tr>
      <w:tr w:rsidR="00EE06BE" w:rsidRPr="00CC6409" w14:paraId="6690036D" w14:textId="77777777" w:rsidTr="00301605">
        <w:trPr>
          <w:jc w:val="center"/>
        </w:trPr>
        <w:tc>
          <w:tcPr>
            <w:tcW w:w="4138" w:type="dxa"/>
          </w:tcPr>
          <w:p w14:paraId="31BB6377" w14:textId="32BC1B69" w:rsidR="00EE06BE" w:rsidRPr="00CC6409" w:rsidRDefault="00EE06BE" w:rsidP="00EE06BE">
            <w:pPr>
              <w:spacing w:before="80" w:after="80" w:line="228" w:lineRule="auto"/>
              <w:jc w:val="both"/>
              <w:rPr>
                <w:noProof/>
                <w:sz w:val="16"/>
                <w:szCs w:val="16"/>
              </w:rPr>
            </w:pPr>
            <w:r w:rsidRPr="00C32106">
              <w:rPr>
                <w:rFonts w:cs="Arial"/>
                <w:color w:val="000000"/>
                <w:sz w:val="16"/>
                <w:szCs w:val="16"/>
              </w:rPr>
              <w:t xml:space="preserve">Share in </w:t>
            </w:r>
            <w:r w:rsidR="006C1C63">
              <w:rPr>
                <w:rFonts w:cs="Arial"/>
                <w:color w:val="000000"/>
                <w:sz w:val="16"/>
                <w:szCs w:val="16"/>
              </w:rPr>
              <w:t>non-</w:t>
            </w:r>
            <w:r w:rsidRPr="00C32106">
              <w:rPr>
                <w:rFonts w:cs="Arial"/>
                <w:color w:val="000000"/>
                <w:sz w:val="16"/>
                <w:szCs w:val="16"/>
              </w:rPr>
              <w:t xml:space="preserve">formal education and training </w:t>
            </w:r>
          </w:p>
        </w:tc>
        <w:tc>
          <w:tcPr>
            <w:tcW w:w="1909" w:type="dxa"/>
            <w:vAlign w:val="center"/>
          </w:tcPr>
          <w:p w14:paraId="7CE397D4" w14:textId="1F755DBC"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rPr>
              <w:t>29</w:t>
            </w:r>
            <w:r w:rsidR="00203804">
              <w:rPr>
                <w:rFonts w:cs="Arial"/>
                <w:color w:val="000000"/>
                <w:sz w:val="16"/>
                <w:szCs w:val="16"/>
              </w:rPr>
              <w:t>.</w:t>
            </w:r>
            <w:r w:rsidRPr="00CC6409">
              <w:rPr>
                <w:rFonts w:cs="Arial"/>
                <w:color w:val="000000"/>
                <w:sz w:val="16"/>
                <w:szCs w:val="16"/>
              </w:rPr>
              <w:t>9</w:t>
            </w:r>
          </w:p>
        </w:tc>
        <w:tc>
          <w:tcPr>
            <w:tcW w:w="1911" w:type="dxa"/>
            <w:vAlign w:val="center"/>
          </w:tcPr>
          <w:p w14:paraId="4244AAC8" w14:textId="49A11AEC"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lang w:val="en-US"/>
              </w:rPr>
              <w:t xml:space="preserve">  26</w:t>
            </w:r>
            <w:r w:rsidR="00203804">
              <w:rPr>
                <w:rFonts w:cs="Arial"/>
                <w:color w:val="000000"/>
                <w:sz w:val="16"/>
                <w:szCs w:val="16"/>
                <w:lang w:val="en-US"/>
              </w:rPr>
              <w:t>.</w:t>
            </w:r>
            <w:r w:rsidRPr="00CC6409">
              <w:rPr>
                <w:rFonts w:cs="Arial"/>
                <w:color w:val="000000"/>
                <w:sz w:val="16"/>
                <w:szCs w:val="16"/>
                <w:lang w:val="en-US"/>
              </w:rPr>
              <w:t>9</w:t>
            </w:r>
          </w:p>
        </w:tc>
        <w:tc>
          <w:tcPr>
            <w:tcW w:w="1908" w:type="dxa"/>
            <w:vAlign w:val="center"/>
          </w:tcPr>
          <w:p w14:paraId="5F58A3C7" w14:textId="4C999A61" w:rsidR="00EE06BE" w:rsidRPr="00CC6409" w:rsidRDefault="00EE06BE" w:rsidP="00EE06BE">
            <w:pPr>
              <w:spacing w:before="80" w:after="80" w:line="228" w:lineRule="auto"/>
              <w:ind w:right="170"/>
              <w:jc w:val="right"/>
              <w:rPr>
                <w:noProof/>
                <w:sz w:val="16"/>
                <w:szCs w:val="16"/>
              </w:rPr>
            </w:pPr>
            <w:r w:rsidRPr="00CC6409">
              <w:rPr>
                <w:rFonts w:cs="Arial"/>
                <w:color w:val="000000"/>
                <w:sz w:val="16"/>
                <w:szCs w:val="16"/>
                <w:lang w:val="en-US"/>
              </w:rPr>
              <w:t>33</w:t>
            </w:r>
            <w:r w:rsidR="00203804">
              <w:rPr>
                <w:rFonts w:cs="Arial"/>
                <w:color w:val="000000"/>
                <w:sz w:val="16"/>
                <w:szCs w:val="16"/>
                <w:lang w:val="en-US"/>
              </w:rPr>
              <w:t>.</w:t>
            </w:r>
            <w:r w:rsidRPr="00CC6409">
              <w:rPr>
                <w:rFonts w:cs="Arial"/>
                <w:color w:val="000000"/>
                <w:sz w:val="16"/>
                <w:szCs w:val="16"/>
                <w:lang w:val="en-US"/>
              </w:rPr>
              <w:t>2</w:t>
            </w:r>
          </w:p>
        </w:tc>
      </w:tr>
    </w:tbl>
    <w:p w14:paraId="342A596E" w14:textId="79FF36FD" w:rsidR="00BF1606" w:rsidRPr="00C32106" w:rsidRDefault="00BF1606" w:rsidP="00EE06BE">
      <w:pPr>
        <w:spacing w:before="320" w:after="120"/>
        <w:jc w:val="both"/>
        <w:rPr>
          <w:szCs w:val="20"/>
        </w:rPr>
      </w:pPr>
      <w:r w:rsidRPr="00C32106">
        <w:rPr>
          <w:szCs w:val="20"/>
        </w:rPr>
        <w:t xml:space="preserve">When it comes to adults, the situation is significantly different. According to the results obtained, the </w:t>
      </w:r>
      <w:r w:rsidRPr="00C32106">
        <w:rPr>
          <w:b/>
          <w:bCs/>
          <w:szCs w:val="20"/>
        </w:rPr>
        <w:t xml:space="preserve">participation rate of adults (25-69 years) in some form of formal or </w:t>
      </w:r>
      <w:r w:rsidR="006C1C63">
        <w:rPr>
          <w:b/>
          <w:bCs/>
          <w:szCs w:val="20"/>
        </w:rPr>
        <w:t>no</w:t>
      </w:r>
      <w:r w:rsidRPr="00C32106">
        <w:rPr>
          <w:b/>
          <w:bCs/>
          <w:szCs w:val="20"/>
        </w:rPr>
        <w:t>n</w:t>
      </w:r>
      <w:r w:rsidR="006C1C63">
        <w:rPr>
          <w:b/>
          <w:bCs/>
          <w:szCs w:val="20"/>
        </w:rPr>
        <w:t>-</w:t>
      </w:r>
      <w:r w:rsidRPr="00C32106">
        <w:rPr>
          <w:b/>
          <w:bCs/>
          <w:szCs w:val="20"/>
        </w:rPr>
        <w:t xml:space="preserve">formal education or training is </w:t>
      </w:r>
      <w:r w:rsidR="006C0A48" w:rsidRPr="00C32106">
        <w:rPr>
          <w:b/>
          <w:bCs/>
          <w:szCs w:val="20"/>
        </w:rPr>
        <w:t>19.9%</w:t>
      </w:r>
      <w:r w:rsidR="006C0A48" w:rsidRPr="00C32106">
        <w:rPr>
          <w:szCs w:val="20"/>
        </w:rPr>
        <w:t xml:space="preserve"> and</w:t>
      </w:r>
      <w:r w:rsidRPr="00C32106">
        <w:rPr>
          <w:szCs w:val="20"/>
        </w:rPr>
        <w:t xml:space="preserve"> is almost identical as in the previous survey cycle in 2016, when it was 19.8%.</w:t>
      </w:r>
    </w:p>
    <w:p w14:paraId="657167E0" w14:textId="7EEE0910" w:rsidR="00BF1606" w:rsidRPr="00C32106" w:rsidRDefault="00BF1606" w:rsidP="00EE06BE">
      <w:pPr>
        <w:spacing w:before="120" w:after="120"/>
        <w:jc w:val="both"/>
      </w:pPr>
      <w:r w:rsidRPr="00C32106">
        <w:t xml:space="preserve">Women (21.3%) are more represented than men (18.4%) in some form of education and training in the </w:t>
      </w:r>
      <w:proofErr w:type="gramStart"/>
      <w:r w:rsidRPr="00C32106">
        <w:t>12 month</w:t>
      </w:r>
      <w:proofErr w:type="gramEnd"/>
      <w:r w:rsidRPr="00C32106">
        <w:t xml:space="preserve"> period preceding the survey. Unlike young people, adults more often participate in </w:t>
      </w:r>
      <w:r w:rsidR="006C1C63">
        <w:t>no</w:t>
      </w:r>
      <w:r w:rsidRPr="00C32106">
        <w:t>n</w:t>
      </w:r>
      <w:r w:rsidR="006C1C63">
        <w:t>-</w:t>
      </w:r>
      <w:r w:rsidRPr="00C32106">
        <w:t>formal education and training (17.</w:t>
      </w:r>
      <w:r w:rsidR="00ED5825">
        <w:t>4</w:t>
      </w:r>
      <w:r w:rsidRPr="00C32106">
        <w:t>%), while only 3.7% participate in formal education.</w:t>
      </w:r>
    </w:p>
    <w:p w14:paraId="01DDE927" w14:textId="1542F3BA" w:rsidR="00F947E5" w:rsidRPr="00C32106" w:rsidRDefault="00BF1606" w:rsidP="00EE06BE">
      <w:pPr>
        <w:spacing w:before="120" w:after="120"/>
        <w:jc w:val="both"/>
      </w:pPr>
      <w:r w:rsidRPr="00C32106">
        <w:t xml:space="preserve">Observed according to the level of acquired education and </w:t>
      </w:r>
      <w:r w:rsidR="007D6463" w:rsidRPr="00C32106">
        <w:t>employment</w:t>
      </w:r>
      <w:r w:rsidRPr="00C32106">
        <w:t xml:space="preserve"> status, the data show that both women and men who </w:t>
      </w:r>
      <w:proofErr w:type="gramStart"/>
      <w:r w:rsidRPr="00C32106">
        <w:t>are employed</w:t>
      </w:r>
      <w:proofErr w:type="gramEnd"/>
      <w:r w:rsidRPr="00C32106">
        <w:t xml:space="preserve"> and have completed </w:t>
      </w:r>
      <w:r w:rsidR="006C1C63">
        <w:t>upper-</w:t>
      </w:r>
      <w:r w:rsidR="00F947E5" w:rsidRPr="00C32106">
        <w:t>secondary</w:t>
      </w:r>
      <w:r w:rsidRPr="00C32106">
        <w:t xml:space="preserve"> </w:t>
      </w:r>
      <w:r w:rsidR="00F947E5" w:rsidRPr="00C32106">
        <w:t xml:space="preserve">school </w:t>
      </w:r>
      <w:r w:rsidRPr="00C32106">
        <w:t>most often participate in lifelong education.</w:t>
      </w:r>
    </w:p>
    <w:p w14:paraId="0612EB84" w14:textId="5B59F8D9" w:rsidR="00F947E5" w:rsidRPr="00C32106" w:rsidRDefault="00F947E5" w:rsidP="00EE06BE">
      <w:pPr>
        <w:spacing w:before="320" w:after="60"/>
        <w:jc w:val="both"/>
        <w:rPr>
          <w:b/>
          <w:color w:val="FF0000"/>
        </w:rPr>
      </w:pPr>
      <w:r w:rsidRPr="00C32106">
        <w:rPr>
          <w:rFonts w:cs="Arial"/>
          <w:b/>
          <w:bCs/>
          <w:color w:val="000000"/>
          <w:szCs w:val="20"/>
        </w:rPr>
        <w:t>Table 2.</w:t>
      </w:r>
      <w:r w:rsidRPr="00C32106">
        <w:rPr>
          <w:b/>
        </w:rPr>
        <w:t xml:space="preserve"> Share of adults (25-69) in formal and/or </w:t>
      </w:r>
      <w:r w:rsidR="006C1C63">
        <w:rPr>
          <w:b/>
        </w:rPr>
        <w:t>non-</w:t>
      </w:r>
      <w:r w:rsidRPr="00C32106">
        <w:rPr>
          <w:b/>
        </w:rPr>
        <w:t>formal education and training (</w:t>
      </w:r>
      <w:proofErr w:type="gramStart"/>
      <w:r w:rsidRPr="00C32106">
        <w:rPr>
          <w:b/>
        </w:rPr>
        <w:t>%</w:t>
      </w:r>
      <w:proofErr w:type="gramEnd"/>
      <w:r w:rsidRPr="00C32106">
        <w:rPr>
          <w:b/>
        </w:rPr>
        <w:t xml:space="preserve">) </w:t>
      </w:r>
    </w:p>
    <w:tbl>
      <w:tblPr>
        <w:tblStyle w:val="TableGrid"/>
        <w:tblW w:w="9866"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1560"/>
        <w:gridCol w:w="2578"/>
        <w:gridCol w:w="1909"/>
        <w:gridCol w:w="1911"/>
        <w:gridCol w:w="1908"/>
      </w:tblGrid>
      <w:tr w:rsidR="00F947E5" w:rsidRPr="00C32106" w14:paraId="3DD1CB1E" w14:textId="77777777" w:rsidTr="007849B7">
        <w:trPr>
          <w:jc w:val="center"/>
        </w:trPr>
        <w:tc>
          <w:tcPr>
            <w:tcW w:w="4138" w:type="dxa"/>
            <w:gridSpan w:val="2"/>
            <w:tcBorders>
              <w:right w:val="single" w:sz="4" w:space="0" w:color="BFBFBF" w:themeColor="background1" w:themeShade="BF"/>
            </w:tcBorders>
            <w:shd w:val="clear" w:color="auto" w:fill="F2F2F2" w:themeFill="background1" w:themeFillShade="F2"/>
          </w:tcPr>
          <w:p w14:paraId="614D6CC2" w14:textId="77777777" w:rsidR="00F947E5" w:rsidRPr="00C32106" w:rsidRDefault="00F947E5" w:rsidP="007849B7">
            <w:pPr>
              <w:spacing w:before="80" w:after="80" w:line="228" w:lineRule="auto"/>
              <w:jc w:val="both"/>
              <w:rPr>
                <w:sz w:val="16"/>
                <w:szCs w:val="16"/>
              </w:rPr>
            </w:pPr>
          </w:p>
        </w:tc>
        <w:tc>
          <w:tcPr>
            <w:tcW w:w="1909"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524529" w14:textId="40936F47"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Total</w:t>
            </w:r>
          </w:p>
        </w:tc>
        <w:tc>
          <w:tcPr>
            <w:tcW w:w="1911"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342B4E" w14:textId="02A8B364"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Males</w:t>
            </w:r>
          </w:p>
        </w:tc>
        <w:tc>
          <w:tcPr>
            <w:tcW w:w="1908" w:type="dxa"/>
            <w:tcBorders>
              <w:left w:val="single" w:sz="4" w:space="0" w:color="BFBFBF" w:themeColor="background1" w:themeShade="BF"/>
            </w:tcBorders>
            <w:shd w:val="clear" w:color="auto" w:fill="F2F2F2" w:themeFill="background1" w:themeFillShade="F2"/>
            <w:vAlign w:val="center"/>
          </w:tcPr>
          <w:p w14:paraId="416E4174" w14:textId="70C5CE5C"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Females</w:t>
            </w:r>
          </w:p>
        </w:tc>
      </w:tr>
      <w:tr w:rsidR="00F947E5" w:rsidRPr="00C32106" w14:paraId="17ADCFB0" w14:textId="77777777" w:rsidTr="007849B7">
        <w:trPr>
          <w:jc w:val="center"/>
        </w:trPr>
        <w:tc>
          <w:tcPr>
            <w:tcW w:w="4138" w:type="dxa"/>
            <w:gridSpan w:val="2"/>
          </w:tcPr>
          <w:p w14:paraId="346A1EC8" w14:textId="51B8F6D1" w:rsidR="00F947E5" w:rsidRPr="00C32106" w:rsidRDefault="00F947E5" w:rsidP="007849B7">
            <w:pPr>
              <w:spacing w:before="80" w:after="80" w:line="228" w:lineRule="auto"/>
              <w:rPr>
                <w:sz w:val="16"/>
                <w:szCs w:val="16"/>
              </w:rPr>
            </w:pPr>
            <w:r w:rsidRPr="00C32106">
              <w:rPr>
                <w:rFonts w:cs="Arial"/>
                <w:color w:val="000000"/>
                <w:sz w:val="16"/>
                <w:szCs w:val="16"/>
              </w:rPr>
              <w:t xml:space="preserve">Share in formal and/or </w:t>
            </w:r>
            <w:r w:rsidR="006C1C63">
              <w:rPr>
                <w:rFonts w:cs="Arial"/>
                <w:color w:val="000000"/>
                <w:sz w:val="16"/>
                <w:szCs w:val="16"/>
              </w:rPr>
              <w:t>non-</w:t>
            </w:r>
            <w:r w:rsidRPr="00C32106">
              <w:rPr>
                <w:rFonts w:cs="Arial"/>
                <w:color w:val="000000"/>
                <w:sz w:val="16"/>
                <w:szCs w:val="16"/>
              </w:rPr>
              <w:t xml:space="preserve">formal education and training </w:t>
            </w:r>
          </w:p>
        </w:tc>
        <w:tc>
          <w:tcPr>
            <w:tcW w:w="1909" w:type="dxa"/>
            <w:vAlign w:val="center"/>
          </w:tcPr>
          <w:p w14:paraId="662BB32C" w14:textId="3493DF07"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19</w:t>
            </w:r>
            <w:r w:rsidR="00203804">
              <w:rPr>
                <w:rFonts w:cs="Arial"/>
                <w:color w:val="000000"/>
                <w:sz w:val="16"/>
                <w:szCs w:val="16"/>
              </w:rPr>
              <w:t>.</w:t>
            </w:r>
            <w:r w:rsidRPr="00C32106">
              <w:rPr>
                <w:rFonts w:cs="Arial"/>
                <w:color w:val="000000"/>
                <w:sz w:val="16"/>
                <w:szCs w:val="16"/>
              </w:rPr>
              <w:t>9</w:t>
            </w:r>
          </w:p>
        </w:tc>
        <w:tc>
          <w:tcPr>
            <w:tcW w:w="1911" w:type="dxa"/>
            <w:vAlign w:val="center"/>
          </w:tcPr>
          <w:p w14:paraId="35859AFE" w14:textId="52A4B64F"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18</w:t>
            </w:r>
            <w:r w:rsidR="00203804">
              <w:rPr>
                <w:rFonts w:cs="Arial"/>
                <w:color w:val="000000"/>
                <w:sz w:val="16"/>
                <w:szCs w:val="16"/>
              </w:rPr>
              <w:t>.</w:t>
            </w:r>
            <w:r w:rsidRPr="00C32106">
              <w:rPr>
                <w:rFonts w:cs="Arial"/>
                <w:color w:val="000000"/>
                <w:sz w:val="16"/>
                <w:szCs w:val="16"/>
              </w:rPr>
              <w:t>4</w:t>
            </w:r>
          </w:p>
        </w:tc>
        <w:tc>
          <w:tcPr>
            <w:tcW w:w="1908" w:type="dxa"/>
            <w:vAlign w:val="center"/>
          </w:tcPr>
          <w:p w14:paraId="6197CD5A" w14:textId="66B0815E"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21</w:t>
            </w:r>
            <w:r w:rsidR="00203804">
              <w:rPr>
                <w:rFonts w:cs="Arial"/>
                <w:color w:val="000000"/>
                <w:sz w:val="16"/>
                <w:szCs w:val="16"/>
              </w:rPr>
              <w:t>.</w:t>
            </w:r>
            <w:r w:rsidRPr="00C32106">
              <w:rPr>
                <w:rFonts w:cs="Arial"/>
                <w:color w:val="000000"/>
                <w:sz w:val="16"/>
                <w:szCs w:val="16"/>
              </w:rPr>
              <w:t>3</w:t>
            </w:r>
          </w:p>
        </w:tc>
      </w:tr>
      <w:tr w:rsidR="00F947E5" w:rsidRPr="00C32106" w14:paraId="5A0AB0F2" w14:textId="77777777" w:rsidTr="007849B7">
        <w:trPr>
          <w:jc w:val="center"/>
        </w:trPr>
        <w:tc>
          <w:tcPr>
            <w:tcW w:w="4138" w:type="dxa"/>
            <w:gridSpan w:val="2"/>
            <w:vAlign w:val="center"/>
          </w:tcPr>
          <w:p w14:paraId="02054C30" w14:textId="17C2DFC4" w:rsidR="00F947E5" w:rsidRPr="00C32106" w:rsidRDefault="00F947E5" w:rsidP="007849B7">
            <w:pPr>
              <w:spacing w:before="80" w:after="80" w:line="228" w:lineRule="auto"/>
              <w:jc w:val="both"/>
              <w:rPr>
                <w:sz w:val="16"/>
                <w:szCs w:val="16"/>
              </w:rPr>
            </w:pPr>
            <w:r w:rsidRPr="00C32106">
              <w:rPr>
                <w:rFonts w:cs="Arial"/>
                <w:color w:val="000000"/>
                <w:sz w:val="16"/>
                <w:szCs w:val="16"/>
              </w:rPr>
              <w:t xml:space="preserve">Share in formal education </w:t>
            </w:r>
          </w:p>
        </w:tc>
        <w:tc>
          <w:tcPr>
            <w:tcW w:w="1909" w:type="dxa"/>
            <w:vAlign w:val="center"/>
          </w:tcPr>
          <w:p w14:paraId="20487839" w14:textId="281E9456"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3</w:t>
            </w:r>
            <w:r w:rsidR="00203804">
              <w:rPr>
                <w:rFonts w:cs="Arial"/>
                <w:color w:val="000000"/>
                <w:sz w:val="16"/>
                <w:szCs w:val="16"/>
              </w:rPr>
              <w:t>.</w:t>
            </w:r>
            <w:r w:rsidRPr="00C32106">
              <w:rPr>
                <w:rFonts w:cs="Arial"/>
                <w:color w:val="000000"/>
                <w:sz w:val="16"/>
                <w:szCs w:val="16"/>
              </w:rPr>
              <w:t>7</w:t>
            </w:r>
          </w:p>
        </w:tc>
        <w:tc>
          <w:tcPr>
            <w:tcW w:w="1911" w:type="dxa"/>
            <w:vAlign w:val="center"/>
          </w:tcPr>
          <w:p w14:paraId="1738F1B0" w14:textId="3FBBCDFB"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3</w:t>
            </w:r>
            <w:r w:rsidR="00203804">
              <w:rPr>
                <w:rFonts w:cs="Arial"/>
                <w:color w:val="000000"/>
                <w:sz w:val="16"/>
                <w:szCs w:val="16"/>
              </w:rPr>
              <w:t>.</w:t>
            </w:r>
            <w:r w:rsidRPr="00C32106">
              <w:rPr>
                <w:rFonts w:cs="Arial"/>
                <w:color w:val="000000"/>
                <w:sz w:val="16"/>
                <w:szCs w:val="16"/>
              </w:rPr>
              <w:t>1</w:t>
            </w:r>
          </w:p>
        </w:tc>
        <w:tc>
          <w:tcPr>
            <w:tcW w:w="1908" w:type="dxa"/>
            <w:vAlign w:val="center"/>
          </w:tcPr>
          <w:p w14:paraId="7E9CA248" w14:textId="1D446E94"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4</w:t>
            </w:r>
            <w:r w:rsidR="00203804">
              <w:rPr>
                <w:rFonts w:cs="Arial"/>
                <w:color w:val="000000"/>
                <w:sz w:val="16"/>
                <w:szCs w:val="16"/>
              </w:rPr>
              <w:t>.</w:t>
            </w:r>
            <w:r w:rsidRPr="00C32106">
              <w:rPr>
                <w:rFonts w:cs="Arial"/>
                <w:color w:val="000000"/>
                <w:sz w:val="16"/>
                <w:szCs w:val="16"/>
              </w:rPr>
              <w:t>3</w:t>
            </w:r>
          </w:p>
        </w:tc>
      </w:tr>
      <w:tr w:rsidR="00F947E5" w:rsidRPr="00C32106" w14:paraId="262E6DD4" w14:textId="77777777" w:rsidTr="007849B7">
        <w:trPr>
          <w:jc w:val="center"/>
        </w:trPr>
        <w:tc>
          <w:tcPr>
            <w:tcW w:w="4138" w:type="dxa"/>
            <w:gridSpan w:val="2"/>
            <w:vAlign w:val="center"/>
          </w:tcPr>
          <w:p w14:paraId="67331971" w14:textId="68B50628" w:rsidR="00F947E5" w:rsidRPr="00C32106" w:rsidRDefault="00F947E5" w:rsidP="007849B7">
            <w:pPr>
              <w:spacing w:before="80" w:after="80" w:line="228" w:lineRule="auto"/>
              <w:jc w:val="both"/>
              <w:rPr>
                <w:sz w:val="16"/>
                <w:szCs w:val="16"/>
              </w:rPr>
            </w:pPr>
            <w:r w:rsidRPr="00C32106">
              <w:rPr>
                <w:rFonts w:cs="Arial"/>
                <w:color w:val="000000"/>
                <w:sz w:val="16"/>
                <w:szCs w:val="16"/>
              </w:rPr>
              <w:t xml:space="preserve">Share in </w:t>
            </w:r>
            <w:r w:rsidR="006C1C63">
              <w:rPr>
                <w:rFonts w:cs="Arial"/>
                <w:color w:val="000000"/>
                <w:sz w:val="16"/>
                <w:szCs w:val="16"/>
              </w:rPr>
              <w:t>non-</w:t>
            </w:r>
            <w:r w:rsidRPr="00C32106">
              <w:rPr>
                <w:rFonts w:cs="Arial"/>
                <w:color w:val="000000"/>
                <w:sz w:val="16"/>
                <w:szCs w:val="16"/>
              </w:rPr>
              <w:t xml:space="preserve">formal education and training </w:t>
            </w:r>
          </w:p>
        </w:tc>
        <w:tc>
          <w:tcPr>
            <w:tcW w:w="1909" w:type="dxa"/>
            <w:vAlign w:val="center"/>
          </w:tcPr>
          <w:p w14:paraId="2E63E29D" w14:textId="0E177946"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17</w:t>
            </w:r>
            <w:r w:rsidR="00203804">
              <w:rPr>
                <w:rFonts w:cs="Arial"/>
                <w:color w:val="000000"/>
                <w:sz w:val="16"/>
                <w:szCs w:val="16"/>
              </w:rPr>
              <w:t>.</w:t>
            </w:r>
            <w:r w:rsidR="00ED5825">
              <w:rPr>
                <w:rFonts w:cs="Arial"/>
                <w:color w:val="000000"/>
                <w:sz w:val="16"/>
                <w:szCs w:val="16"/>
              </w:rPr>
              <w:t>4</w:t>
            </w:r>
          </w:p>
        </w:tc>
        <w:tc>
          <w:tcPr>
            <w:tcW w:w="1911" w:type="dxa"/>
            <w:vAlign w:val="center"/>
          </w:tcPr>
          <w:p w14:paraId="48F95D5A" w14:textId="22B1FB6D"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16</w:t>
            </w:r>
            <w:r w:rsidR="00203804">
              <w:rPr>
                <w:rFonts w:cs="Arial"/>
                <w:color w:val="000000"/>
                <w:sz w:val="16"/>
                <w:szCs w:val="16"/>
              </w:rPr>
              <w:t>.</w:t>
            </w:r>
            <w:r w:rsidRPr="00C32106">
              <w:rPr>
                <w:rFonts w:cs="Arial"/>
                <w:color w:val="000000"/>
                <w:sz w:val="16"/>
                <w:szCs w:val="16"/>
              </w:rPr>
              <w:t>0</w:t>
            </w:r>
          </w:p>
        </w:tc>
        <w:tc>
          <w:tcPr>
            <w:tcW w:w="1908" w:type="dxa"/>
            <w:vAlign w:val="center"/>
          </w:tcPr>
          <w:p w14:paraId="217F2801" w14:textId="30B957A4" w:rsidR="00F947E5" w:rsidRPr="00C32106" w:rsidRDefault="00F947E5" w:rsidP="007849B7">
            <w:pPr>
              <w:spacing w:before="80" w:after="80" w:line="228" w:lineRule="auto"/>
              <w:ind w:right="170"/>
              <w:jc w:val="right"/>
              <w:rPr>
                <w:sz w:val="16"/>
                <w:szCs w:val="16"/>
              </w:rPr>
            </w:pPr>
            <w:r w:rsidRPr="00C32106">
              <w:rPr>
                <w:rFonts w:cs="Arial"/>
                <w:color w:val="000000"/>
                <w:sz w:val="16"/>
                <w:szCs w:val="16"/>
              </w:rPr>
              <w:t>18</w:t>
            </w:r>
            <w:r w:rsidR="00203804">
              <w:rPr>
                <w:rFonts w:cs="Arial"/>
                <w:color w:val="000000"/>
                <w:sz w:val="16"/>
                <w:szCs w:val="16"/>
              </w:rPr>
              <w:t>.</w:t>
            </w:r>
            <w:r w:rsidRPr="00C32106">
              <w:rPr>
                <w:rFonts w:cs="Arial"/>
                <w:color w:val="000000"/>
                <w:sz w:val="16"/>
                <w:szCs w:val="16"/>
              </w:rPr>
              <w:t>8</w:t>
            </w:r>
          </w:p>
        </w:tc>
      </w:tr>
      <w:tr w:rsidR="00F947E5" w:rsidRPr="00C32106" w14:paraId="2B845EF5" w14:textId="77777777" w:rsidTr="00312AB2">
        <w:trPr>
          <w:jc w:val="center"/>
        </w:trPr>
        <w:tc>
          <w:tcPr>
            <w:tcW w:w="1560" w:type="dxa"/>
            <w:vMerge w:val="restart"/>
            <w:shd w:val="clear" w:color="auto" w:fill="F2F2F2" w:themeFill="background1" w:themeFillShade="F2"/>
            <w:vAlign w:val="center"/>
          </w:tcPr>
          <w:p w14:paraId="5E383215" w14:textId="1040D8EE" w:rsidR="00F947E5" w:rsidRPr="00C32106" w:rsidRDefault="00F947E5" w:rsidP="00F947E5">
            <w:pPr>
              <w:spacing w:before="80" w:after="80" w:line="228" w:lineRule="auto"/>
              <w:ind w:right="57"/>
              <w:jc w:val="both"/>
              <w:rPr>
                <w:rFonts w:cs="Arial"/>
                <w:color w:val="000000"/>
                <w:sz w:val="16"/>
                <w:szCs w:val="16"/>
              </w:rPr>
            </w:pPr>
            <w:r w:rsidRPr="00C32106">
              <w:rPr>
                <w:rFonts w:cs="Arial"/>
                <w:color w:val="000000"/>
                <w:sz w:val="16"/>
                <w:szCs w:val="16"/>
              </w:rPr>
              <w:t xml:space="preserve">The highest completed education </w:t>
            </w:r>
          </w:p>
        </w:tc>
        <w:tc>
          <w:tcPr>
            <w:tcW w:w="2578" w:type="dxa"/>
            <w:shd w:val="clear" w:color="auto" w:fill="F2F2F2" w:themeFill="background1" w:themeFillShade="F2"/>
            <w:vAlign w:val="bottom"/>
          </w:tcPr>
          <w:p w14:paraId="2CE64831" w14:textId="18B7CC49" w:rsidR="00F947E5" w:rsidRPr="00C32106" w:rsidRDefault="00F947E5" w:rsidP="00F947E5">
            <w:pPr>
              <w:spacing w:before="80" w:after="80" w:line="228" w:lineRule="auto"/>
              <w:jc w:val="both"/>
              <w:rPr>
                <w:rFonts w:cs="Arial"/>
                <w:color w:val="000000"/>
                <w:sz w:val="16"/>
                <w:szCs w:val="16"/>
              </w:rPr>
            </w:pPr>
            <w:r w:rsidRPr="00C32106">
              <w:rPr>
                <w:rFonts w:cs="Arial"/>
                <w:bCs/>
                <w:color w:val="000000"/>
                <w:sz w:val="16"/>
                <w:szCs w:val="16"/>
              </w:rPr>
              <w:t>Primary education</w:t>
            </w:r>
          </w:p>
        </w:tc>
        <w:tc>
          <w:tcPr>
            <w:tcW w:w="1909" w:type="dxa"/>
            <w:shd w:val="clear" w:color="auto" w:fill="F2F2F2" w:themeFill="background1" w:themeFillShade="F2"/>
            <w:vAlign w:val="center"/>
          </w:tcPr>
          <w:p w14:paraId="196C3D3F" w14:textId="01C12F4B"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12</w:t>
            </w:r>
            <w:r w:rsidR="00203804">
              <w:rPr>
                <w:rFonts w:cs="Arial"/>
                <w:color w:val="000000"/>
                <w:sz w:val="16"/>
                <w:szCs w:val="16"/>
              </w:rPr>
              <w:t>.</w:t>
            </w:r>
            <w:r w:rsidRPr="00C32106">
              <w:rPr>
                <w:rFonts w:cs="Arial"/>
                <w:color w:val="000000"/>
                <w:sz w:val="16"/>
                <w:szCs w:val="16"/>
              </w:rPr>
              <w:t>0</w:t>
            </w:r>
          </w:p>
        </w:tc>
        <w:tc>
          <w:tcPr>
            <w:tcW w:w="1911" w:type="dxa"/>
            <w:shd w:val="clear" w:color="auto" w:fill="F2F2F2" w:themeFill="background1" w:themeFillShade="F2"/>
            <w:vAlign w:val="center"/>
          </w:tcPr>
          <w:p w14:paraId="68764B43" w14:textId="12C1978A"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9</w:t>
            </w:r>
            <w:r w:rsidR="00203804">
              <w:rPr>
                <w:rFonts w:cs="Arial"/>
                <w:color w:val="000000"/>
                <w:sz w:val="16"/>
                <w:szCs w:val="16"/>
              </w:rPr>
              <w:t>.</w:t>
            </w:r>
            <w:r w:rsidRPr="00C32106">
              <w:rPr>
                <w:rFonts w:cs="Arial"/>
                <w:color w:val="000000"/>
                <w:sz w:val="16"/>
                <w:szCs w:val="16"/>
              </w:rPr>
              <w:t>2</w:t>
            </w:r>
          </w:p>
        </w:tc>
        <w:tc>
          <w:tcPr>
            <w:tcW w:w="1908" w:type="dxa"/>
            <w:shd w:val="clear" w:color="auto" w:fill="F2F2F2" w:themeFill="background1" w:themeFillShade="F2"/>
            <w:vAlign w:val="center"/>
          </w:tcPr>
          <w:p w14:paraId="1D323E15" w14:textId="3A1F3E9A"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14</w:t>
            </w:r>
            <w:r w:rsidR="00203804">
              <w:rPr>
                <w:rFonts w:cs="Arial"/>
                <w:color w:val="000000"/>
                <w:sz w:val="16"/>
                <w:szCs w:val="16"/>
              </w:rPr>
              <w:t>.</w:t>
            </w:r>
            <w:r w:rsidRPr="00C32106">
              <w:rPr>
                <w:rFonts w:cs="Arial"/>
                <w:color w:val="000000"/>
                <w:sz w:val="16"/>
                <w:szCs w:val="16"/>
              </w:rPr>
              <w:t>7</w:t>
            </w:r>
          </w:p>
        </w:tc>
      </w:tr>
      <w:tr w:rsidR="00F947E5" w:rsidRPr="00C32106" w14:paraId="6FE3C192" w14:textId="77777777" w:rsidTr="00312AB2">
        <w:trPr>
          <w:jc w:val="center"/>
        </w:trPr>
        <w:tc>
          <w:tcPr>
            <w:tcW w:w="1560" w:type="dxa"/>
            <w:vMerge/>
            <w:shd w:val="clear" w:color="auto" w:fill="F2F2F2" w:themeFill="background1" w:themeFillShade="F2"/>
            <w:vAlign w:val="center"/>
          </w:tcPr>
          <w:p w14:paraId="103BA0BE" w14:textId="77777777" w:rsidR="00F947E5" w:rsidRPr="00C32106" w:rsidRDefault="00F947E5" w:rsidP="00F947E5">
            <w:pPr>
              <w:spacing w:before="80" w:after="80" w:line="228" w:lineRule="auto"/>
              <w:ind w:right="57"/>
              <w:jc w:val="both"/>
              <w:rPr>
                <w:rFonts w:cs="Arial"/>
                <w:color w:val="000000"/>
                <w:sz w:val="16"/>
                <w:szCs w:val="16"/>
              </w:rPr>
            </w:pPr>
          </w:p>
        </w:tc>
        <w:tc>
          <w:tcPr>
            <w:tcW w:w="2578" w:type="dxa"/>
            <w:shd w:val="clear" w:color="auto" w:fill="F2F2F2" w:themeFill="background1" w:themeFillShade="F2"/>
            <w:vAlign w:val="bottom"/>
          </w:tcPr>
          <w:p w14:paraId="5A92544A" w14:textId="54BEBA47" w:rsidR="00F947E5" w:rsidRPr="00C32106" w:rsidRDefault="006C1C63" w:rsidP="00F947E5">
            <w:pPr>
              <w:spacing w:before="80" w:after="80" w:line="228" w:lineRule="auto"/>
              <w:jc w:val="both"/>
              <w:rPr>
                <w:rFonts w:cs="Arial"/>
                <w:color w:val="000000"/>
                <w:sz w:val="16"/>
                <w:szCs w:val="16"/>
              </w:rPr>
            </w:pPr>
            <w:r>
              <w:rPr>
                <w:rFonts w:cs="Arial"/>
                <w:bCs/>
                <w:color w:val="000000"/>
                <w:sz w:val="16"/>
                <w:szCs w:val="16"/>
              </w:rPr>
              <w:t>Upper-s</w:t>
            </w:r>
            <w:r w:rsidR="00F947E5" w:rsidRPr="00C32106">
              <w:rPr>
                <w:rFonts w:cs="Arial"/>
                <w:bCs/>
                <w:color w:val="000000"/>
                <w:sz w:val="16"/>
                <w:szCs w:val="16"/>
              </w:rPr>
              <w:t>econdary education</w:t>
            </w:r>
          </w:p>
        </w:tc>
        <w:tc>
          <w:tcPr>
            <w:tcW w:w="1909" w:type="dxa"/>
            <w:shd w:val="clear" w:color="auto" w:fill="F2F2F2" w:themeFill="background1" w:themeFillShade="F2"/>
            <w:vAlign w:val="center"/>
          </w:tcPr>
          <w:p w14:paraId="3AB88EB9" w14:textId="42DEAA3E"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56</w:t>
            </w:r>
            <w:r w:rsidR="00203804">
              <w:rPr>
                <w:rFonts w:cs="Arial"/>
                <w:color w:val="000000"/>
                <w:sz w:val="16"/>
                <w:szCs w:val="16"/>
              </w:rPr>
              <w:t>.</w:t>
            </w:r>
            <w:r w:rsidRPr="00C32106">
              <w:rPr>
                <w:rFonts w:cs="Arial"/>
                <w:color w:val="000000"/>
                <w:sz w:val="16"/>
                <w:szCs w:val="16"/>
              </w:rPr>
              <w:t>2</w:t>
            </w:r>
          </w:p>
        </w:tc>
        <w:tc>
          <w:tcPr>
            <w:tcW w:w="1911" w:type="dxa"/>
            <w:shd w:val="clear" w:color="auto" w:fill="F2F2F2" w:themeFill="background1" w:themeFillShade="F2"/>
            <w:vAlign w:val="center"/>
          </w:tcPr>
          <w:p w14:paraId="55482200" w14:textId="74C51B9C"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61</w:t>
            </w:r>
            <w:r w:rsidR="00203804">
              <w:rPr>
                <w:rFonts w:cs="Arial"/>
                <w:color w:val="000000"/>
                <w:sz w:val="16"/>
                <w:szCs w:val="16"/>
              </w:rPr>
              <w:t>.</w:t>
            </w:r>
            <w:r w:rsidRPr="00C32106">
              <w:rPr>
                <w:rFonts w:cs="Arial"/>
                <w:color w:val="000000"/>
                <w:sz w:val="16"/>
                <w:szCs w:val="16"/>
              </w:rPr>
              <w:t>8</w:t>
            </w:r>
          </w:p>
        </w:tc>
        <w:tc>
          <w:tcPr>
            <w:tcW w:w="1908" w:type="dxa"/>
            <w:shd w:val="clear" w:color="auto" w:fill="F2F2F2" w:themeFill="background1" w:themeFillShade="F2"/>
            <w:vAlign w:val="center"/>
          </w:tcPr>
          <w:p w14:paraId="4B4D4F30" w14:textId="36D4F06F"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50</w:t>
            </w:r>
            <w:r w:rsidR="00203804">
              <w:rPr>
                <w:rFonts w:cs="Arial"/>
                <w:color w:val="000000"/>
                <w:sz w:val="16"/>
                <w:szCs w:val="16"/>
              </w:rPr>
              <w:t>.</w:t>
            </w:r>
            <w:r w:rsidRPr="00C32106">
              <w:rPr>
                <w:rFonts w:cs="Arial"/>
                <w:color w:val="000000"/>
                <w:sz w:val="16"/>
                <w:szCs w:val="16"/>
              </w:rPr>
              <w:t>8</w:t>
            </w:r>
          </w:p>
        </w:tc>
      </w:tr>
      <w:tr w:rsidR="00F947E5" w:rsidRPr="00C32106" w14:paraId="476002B7" w14:textId="77777777" w:rsidTr="00312AB2">
        <w:trPr>
          <w:jc w:val="center"/>
        </w:trPr>
        <w:tc>
          <w:tcPr>
            <w:tcW w:w="1560" w:type="dxa"/>
            <w:vMerge/>
            <w:shd w:val="clear" w:color="auto" w:fill="F2F2F2" w:themeFill="background1" w:themeFillShade="F2"/>
            <w:vAlign w:val="center"/>
          </w:tcPr>
          <w:p w14:paraId="0F85F5C7" w14:textId="77777777" w:rsidR="00F947E5" w:rsidRPr="00C32106" w:rsidRDefault="00F947E5" w:rsidP="00F947E5">
            <w:pPr>
              <w:spacing w:before="80" w:after="80" w:line="228" w:lineRule="auto"/>
              <w:ind w:right="57"/>
              <w:jc w:val="both"/>
              <w:rPr>
                <w:rFonts w:cs="Arial"/>
                <w:color w:val="000000"/>
                <w:sz w:val="16"/>
                <w:szCs w:val="16"/>
              </w:rPr>
            </w:pPr>
          </w:p>
        </w:tc>
        <w:tc>
          <w:tcPr>
            <w:tcW w:w="2578" w:type="dxa"/>
            <w:shd w:val="clear" w:color="auto" w:fill="F2F2F2" w:themeFill="background1" w:themeFillShade="F2"/>
            <w:vAlign w:val="bottom"/>
          </w:tcPr>
          <w:p w14:paraId="213290F6" w14:textId="553026AD" w:rsidR="00F947E5" w:rsidRPr="00C32106" w:rsidRDefault="00F947E5" w:rsidP="00F947E5">
            <w:pPr>
              <w:spacing w:before="80" w:after="80" w:line="228" w:lineRule="auto"/>
              <w:jc w:val="both"/>
              <w:rPr>
                <w:rFonts w:cs="Arial"/>
                <w:color w:val="000000"/>
                <w:sz w:val="16"/>
                <w:szCs w:val="16"/>
              </w:rPr>
            </w:pPr>
            <w:r w:rsidRPr="00C32106">
              <w:rPr>
                <w:rFonts w:cs="Arial"/>
                <w:bCs/>
                <w:color w:val="000000"/>
                <w:sz w:val="16"/>
                <w:szCs w:val="16"/>
              </w:rPr>
              <w:t>Tertiary education</w:t>
            </w:r>
          </w:p>
        </w:tc>
        <w:tc>
          <w:tcPr>
            <w:tcW w:w="1909" w:type="dxa"/>
            <w:shd w:val="clear" w:color="auto" w:fill="F2F2F2" w:themeFill="background1" w:themeFillShade="F2"/>
            <w:vAlign w:val="center"/>
          </w:tcPr>
          <w:p w14:paraId="2BEFF3A7" w14:textId="245E5DCA"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31</w:t>
            </w:r>
            <w:r w:rsidR="00203804">
              <w:rPr>
                <w:rFonts w:cs="Arial"/>
                <w:color w:val="000000"/>
                <w:sz w:val="16"/>
                <w:szCs w:val="16"/>
              </w:rPr>
              <w:t>.</w:t>
            </w:r>
            <w:r w:rsidRPr="00C32106">
              <w:rPr>
                <w:rFonts w:cs="Arial"/>
                <w:color w:val="000000"/>
                <w:sz w:val="16"/>
                <w:szCs w:val="16"/>
              </w:rPr>
              <w:t>8</w:t>
            </w:r>
          </w:p>
        </w:tc>
        <w:tc>
          <w:tcPr>
            <w:tcW w:w="1911" w:type="dxa"/>
            <w:shd w:val="clear" w:color="auto" w:fill="F2F2F2" w:themeFill="background1" w:themeFillShade="F2"/>
            <w:vAlign w:val="center"/>
          </w:tcPr>
          <w:p w14:paraId="2F630FAE" w14:textId="79D21EA1"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29</w:t>
            </w:r>
            <w:r w:rsidR="00203804">
              <w:rPr>
                <w:rFonts w:cs="Arial"/>
                <w:color w:val="000000"/>
                <w:sz w:val="16"/>
                <w:szCs w:val="16"/>
              </w:rPr>
              <w:t>.</w:t>
            </w:r>
            <w:r w:rsidRPr="00C32106">
              <w:rPr>
                <w:rFonts w:cs="Arial"/>
                <w:color w:val="000000"/>
                <w:sz w:val="16"/>
                <w:szCs w:val="16"/>
              </w:rPr>
              <w:t>0</w:t>
            </w:r>
          </w:p>
        </w:tc>
        <w:tc>
          <w:tcPr>
            <w:tcW w:w="1908" w:type="dxa"/>
            <w:shd w:val="clear" w:color="auto" w:fill="F2F2F2" w:themeFill="background1" w:themeFillShade="F2"/>
            <w:vAlign w:val="center"/>
          </w:tcPr>
          <w:p w14:paraId="065D6107" w14:textId="2155B3B4"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34</w:t>
            </w:r>
            <w:r w:rsidR="00203804">
              <w:rPr>
                <w:rFonts w:cs="Arial"/>
                <w:color w:val="000000"/>
                <w:sz w:val="16"/>
                <w:szCs w:val="16"/>
              </w:rPr>
              <w:t>.</w:t>
            </w:r>
            <w:r w:rsidRPr="00C32106">
              <w:rPr>
                <w:rFonts w:cs="Arial"/>
                <w:color w:val="000000"/>
                <w:sz w:val="16"/>
                <w:szCs w:val="16"/>
              </w:rPr>
              <w:t>5</w:t>
            </w:r>
          </w:p>
        </w:tc>
      </w:tr>
      <w:tr w:rsidR="00F947E5" w:rsidRPr="00C32106" w14:paraId="1B8BB959" w14:textId="77777777" w:rsidTr="00312AB2">
        <w:trPr>
          <w:jc w:val="center"/>
        </w:trPr>
        <w:tc>
          <w:tcPr>
            <w:tcW w:w="1560" w:type="dxa"/>
            <w:vMerge w:val="restart"/>
            <w:vAlign w:val="center"/>
          </w:tcPr>
          <w:p w14:paraId="4954F0A9" w14:textId="17DB654C" w:rsidR="00F947E5" w:rsidRPr="00C32106" w:rsidRDefault="00F947E5" w:rsidP="00F947E5">
            <w:pPr>
              <w:spacing w:before="80" w:after="80" w:line="228" w:lineRule="auto"/>
              <w:ind w:right="57"/>
              <w:jc w:val="both"/>
              <w:rPr>
                <w:rFonts w:cs="Arial"/>
                <w:color w:val="000000"/>
                <w:sz w:val="16"/>
                <w:szCs w:val="16"/>
              </w:rPr>
            </w:pPr>
            <w:r w:rsidRPr="00C32106">
              <w:rPr>
                <w:rFonts w:cs="Arial"/>
                <w:color w:val="000000"/>
                <w:sz w:val="16"/>
                <w:szCs w:val="16"/>
              </w:rPr>
              <w:t xml:space="preserve">Employment status </w:t>
            </w:r>
          </w:p>
        </w:tc>
        <w:tc>
          <w:tcPr>
            <w:tcW w:w="2578" w:type="dxa"/>
            <w:vAlign w:val="bottom"/>
          </w:tcPr>
          <w:p w14:paraId="5AA1567D" w14:textId="055CD481" w:rsidR="00F947E5" w:rsidRPr="00C32106" w:rsidRDefault="00F947E5" w:rsidP="00F947E5">
            <w:pPr>
              <w:spacing w:before="80" w:after="80" w:line="228" w:lineRule="auto"/>
              <w:jc w:val="both"/>
              <w:rPr>
                <w:rFonts w:cs="Arial"/>
                <w:color w:val="000000"/>
                <w:sz w:val="16"/>
                <w:szCs w:val="16"/>
              </w:rPr>
            </w:pPr>
            <w:r w:rsidRPr="00C32106">
              <w:rPr>
                <w:rFonts w:cs="Arial"/>
                <w:bCs/>
                <w:color w:val="000000"/>
                <w:sz w:val="16"/>
                <w:szCs w:val="16"/>
              </w:rPr>
              <w:t>Employed</w:t>
            </w:r>
          </w:p>
        </w:tc>
        <w:tc>
          <w:tcPr>
            <w:tcW w:w="1909" w:type="dxa"/>
            <w:vAlign w:val="center"/>
          </w:tcPr>
          <w:p w14:paraId="7A7FE41B" w14:textId="5E30938C"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52</w:t>
            </w:r>
            <w:r w:rsidR="00203804">
              <w:rPr>
                <w:rFonts w:cs="Arial"/>
                <w:color w:val="000000"/>
                <w:sz w:val="16"/>
                <w:szCs w:val="16"/>
              </w:rPr>
              <w:t>.</w:t>
            </w:r>
            <w:r w:rsidRPr="00C32106">
              <w:rPr>
                <w:rFonts w:cs="Arial"/>
                <w:color w:val="000000"/>
                <w:sz w:val="16"/>
                <w:szCs w:val="16"/>
              </w:rPr>
              <w:t>3</w:t>
            </w:r>
          </w:p>
        </w:tc>
        <w:tc>
          <w:tcPr>
            <w:tcW w:w="1911" w:type="dxa"/>
            <w:vAlign w:val="center"/>
          </w:tcPr>
          <w:p w14:paraId="175ED2D4" w14:textId="7B43404C"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58</w:t>
            </w:r>
            <w:r w:rsidR="00203804">
              <w:rPr>
                <w:rFonts w:cs="Arial"/>
                <w:color w:val="000000"/>
                <w:sz w:val="16"/>
                <w:szCs w:val="16"/>
              </w:rPr>
              <w:t>.</w:t>
            </w:r>
            <w:r w:rsidRPr="00C32106">
              <w:rPr>
                <w:rFonts w:cs="Arial"/>
                <w:color w:val="000000"/>
                <w:sz w:val="16"/>
                <w:szCs w:val="16"/>
              </w:rPr>
              <w:t>7</w:t>
            </w:r>
          </w:p>
        </w:tc>
        <w:tc>
          <w:tcPr>
            <w:tcW w:w="1908" w:type="dxa"/>
            <w:vAlign w:val="center"/>
          </w:tcPr>
          <w:p w14:paraId="2BCABB99" w14:textId="3F0F3C96"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46</w:t>
            </w:r>
            <w:r w:rsidR="00203804">
              <w:rPr>
                <w:rFonts w:cs="Arial"/>
                <w:color w:val="000000"/>
                <w:sz w:val="16"/>
                <w:szCs w:val="16"/>
              </w:rPr>
              <w:t>.</w:t>
            </w:r>
            <w:r w:rsidRPr="00C32106">
              <w:rPr>
                <w:rFonts w:cs="Arial"/>
                <w:color w:val="000000"/>
                <w:sz w:val="16"/>
                <w:szCs w:val="16"/>
              </w:rPr>
              <w:t>1</w:t>
            </w:r>
          </w:p>
        </w:tc>
      </w:tr>
      <w:tr w:rsidR="00F947E5" w:rsidRPr="00C32106" w14:paraId="76FA9EA1" w14:textId="77777777" w:rsidTr="00312AB2">
        <w:trPr>
          <w:jc w:val="center"/>
        </w:trPr>
        <w:tc>
          <w:tcPr>
            <w:tcW w:w="1560" w:type="dxa"/>
            <w:vMerge/>
            <w:vAlign w:val="center"/>
          </w:tcPr>
          <w:p w14:paraId="5A5239DC" w14:textId="77777777" w:rsidR="00F947E5" w:rsidRPr="00C32106" w:rsidRDefault="00F947E5" w:rsidP="00F947E5">
            <w:pPr>
              <w:spacing w:before="80" w:after="80" w:line="228" w:lineRule="auto"/>
              <w:jc w:val="both"/>
              <w:rPr>
                <w:rFonts w:cs="Arial"/>
                <w:color w:val="000000"/>
                <w:sz w:val="16"/>
                <w:szCs w:val="16"/>
              </w:rPr>
            </w:pPr>
          </w:p>
        </w:tc>
        <w:tc>
          <w:tcPr>
            <w:tcW w:w="2578" w:type="dxa"/>
            <w:vAlign w:val="bottom"/>
          </w:tcPr>
          <w:p w14:paraId="1F82A569" w14:textId="2421D6F3" w:rsidR="00F947E5" w:rsidRPr="00C32106" w:rsidRDefault="00F947E5" w:rsidP="00F947E5">
            <w:pPr>
              <w:spacing w:before="80" w:after="80" w:line="228" w:lineRule="auto"/>
              <w:jc w:val="both"/>
              <w:rPr>
                <w:rFonts w:cs="Arial"/>
                <w:color w:val="000000"/>
                <w:sz w:val="16"/>
                <w:szCs w:val="16"/>
              </w:rPr>
            </w:pPr>
            <w:r w:rsidRPr="00C32106">
              <w:rPr>
                <w:rFonts w:cs="Arial"/>
                <w:bCs/>
                <w:color w:val="000000"/>
                <w:sz w:val="16"/>
                <w:szCs w:val="16"/>
              </w:rPr>
              <w:t>Unemployed</w:t>
            </w:r>
          </w:p>
        </w:tc>
        <w:tc>
          <w:tcPr>
            <w:tcW w:w="1909" w:type="dxa"/>
            <w:vAlign w:val="center"/>
          </w:tcPr>
          <w:p w14:paraId="7210639D" w14:textId="3BEB4B94"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23</w:t>
            </w:r>
            <w:r w:rsidR="00203804">
              <w:rPr>
                <w:rFonts w:cs="Arial"/>
                <w:color w:val="000000"/>
                <w:sz w:val="16"/>
                <w:szCs w:val="16"/>
              </w:rPr>
              <w:t>.</w:t>
            </w:r>
            <w:r w:rsidRPr="00C32106">
              <w:rPr>
                <w:rFonts w:cs="Arial"/>
                <w:color w:val="000000"/>
                <w:sz w:val="16"/>
                <w:szCs w:val="16"/>
              </w:rPr>
              <w:t>7</w:t>
            </w:r>
          </w:p>
        </w:tc>
        <w:tc>
          <w:tcPr>
            <w:tcW w:w="1911" w:type="dxa"/>
            <w:vAlign w:val="center"/>
          </w:tcPr>
          <w:p w14:paraId="79CA8042" w14:textId="5E3E79EC"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21</w:t>
            </w:r>
            <w:r w:rsidR="00203804">
              <w:rPr>
                <w:rFonts w:cs="Arial"/>
                <w:color w:val="000000"/>
                <w:sz w:val="16"/>
                <w:szCs w:val="16"/>
              </w:rPr>
              <w:t>.</w:t>
            </w:r>
            <w:r w:rsidRPr="00C32106">
              <w:rPr>
                <w:rFonts w:cs="Arial"/>
                <w:color w:val="000000"/>
                <w:sz w:val="16"/>
                <w:szCs w:val="16"/>
              </w:rPr>
              <w:t>5</w:t>
            </w:r>
          </w:p>
        </w:tc>
        <w:tc>
          <w:tcPr>
            <w:tcW w:w="1908" w:type="dxa"/>
            <w:vAlign w:val="center"/>
          </w:tcPr>
          <w:p w14:paraId="68A7587D" w14:textId="0C32528C"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25</w:t>
            </w:r>
            <w:r w:rsidR="00203804">
              <w:rPr>
                <w:rFonts w:cs="Arial"/>
                <w:color w:val="000000"/>
                <w:sz w:val="16"/>
                <w:szCs w:val="16"/>
              </w:rPr>
              <w:t>.</w:t>
            </w:r>
            <w:r w:rsidRPr="00C32106">
              <w:rPr>
                <w:rFonts w:cs="Arial"/>
                <w:color w:val="000000"/>
                <w:sz w:val="16"/>
                <w:szCs w:val="16"/>
              </w:rPr>
              <w:t>8</w:t>
            </w:r>
          </w:p>
        </w:tc>
      </w:tr>
      <w:tr w:rsidR="00F947E5" w:rsidRPr="00C32106" w14:paraId="575EA611" w14:textId="77777777" w:rsidTr="00312AB2">
        <w:trPr>
          <w:jc w:val="center"/>
        </w:trPr>
        <w:tc>
          <w:tcPr>
            <w:tcW w:w="1560" w:type="dxa"/>
            <w:vMerge/>
            <w:vAlign w:val="center"/>
          </w:tcPr>
          <w:p w14:paraId="07A483EC" w14:textId="77777777" w:rsidR="00F947E5" w:rsidRPr="00C32106" w:rsidRDefault="00F947E5" w:rsidP="00F947E5">
            <w:pPr>
              <w:spacing w:before="80" w:after="80" w:line="228" w:lineRule="auto"/>
              <w:jc w:val="both"/>
              <w:rPr>
                <w:rFonts w:cs="Arial"/>
                <w:color w:val="000000"/>
                <w:sz w:val="16"/>
                <w:szCs w:val="16"/>
              </w:rPr>
            </w:pPr>
          </w:p>
        </w:tc>
        <w:tc>
          <w:tcPr>
            <w:tcW w:w="2578" w:type="dxa"/>
            <w:vAlign w:val="bottom"/>
          </w:tcPr>
          <w:p w14:paraId="4D65AAE8" w14:textId="4AA1C3FE" w:rsidR="00F947E5" w:rsidRPr="00C32106" w:rsidRDefault="00F947E5" w:rsidP="00F947E5">
            <w:pPr>
              <w:spacing w:before="80" w:after="80" w:line="228" w:lineRule="auto"/>
              <w:jc w:val="both"/>
              <w:rPr>
                <w:rFonts w:cs="Arial"/>
                <w:color w:val="000000"/>
                <w:sz w:val="16"/>
                <w:szCs w:val="16"/>
              </w:rPr>
            </w:pPr>
            <w:r w:rsidRPr="00C32106">
              <w:rPr>
                <w:rFonts w:cs="Arial"/>
                <w:bCs/>
                <w:color w:val="000000"/>
                <w:sz w:val="16"/>
                <w:szCs w:val="16"/>
              </w:rPr>
              <w:t>Inactive</w:t>
            </w:r>
          </w:p>
        </w:tc>
        <w:tc>
          <w:tcPr>
            <w:tcW w:w="1909" w:type="dxa"/>
            <w:vAlign w:val="center"/>
          </w:tcPr>
          <w:p w14:paraId="505A6CA2" w14:textId="5FF9989C"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24</w:t>
            </w:r>
            <w:r w:rsidR="00203804">
              <w:rPr>
                <w:rFonts w:cs="Arial"/>
                <w:color w:val="000000"/>
                <w:sz w:val="16"/>
                <w:szCs w:val="16"/>
              </w:rPr>
              <w:t>.</w:t>
            </w:r>
            <w:r w:rsidRPr="00C32106">
              <w:rPr>
                <w:rFonts w:cs="Arial"/>
                <w:color w:val="000000"/>
                <w:sz w:val="16"/>
                <w:szCs w:val="16"/>
              </w:rPr>
              <w:t>0</w:t>
            </w:r>
          </w:p>
        </w:tc>
        <w:tc>
          <w:tcPr>
            <w:tcW w:w="1911" w:type="dxa"/>
            <w:vAlign w:val="center"/>
          </w:tcPr>
          <w:p w14:paraId="38066156" w14:textId="60CB0094"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19</w:t>
            </w:r>
            <w:r w:rsidR="00203804">
              <w:rPr>
                <w:rFonts w:cs="Arial"/>
                <w:color w:val="000000"/>
                <w:sz w:val="16"/>
                <w:szCs w:val="16"/>
              </w:rPr>
              <w:t>.</w:t>
            </w:r>
            <w:r w:rsidRPr="00C32106">
              <w:rPr>
                <w:rFonts w:cs="Arial"/>
                <w:color w:val="000000"/>
                <w:sz w:val="16"/>
                <w:szCs w:val="16"/>
              </w:rPr>
              <w:t>8</w:t>
            </w:r>
          </w:p>
        </w:tc>
        <w:tc>
          <w:tcPr>
            <w:tcW w:w="1908" w:type="dxa"/>
            <w:vAlign w:val="center"/>
          </w:tcPr>
          <w:p w14:paraId="67D0FBF4" w14:textId="085BD635" w:rsidR="00F947E5" w:rsidRPr="00C32106" w:rsidRDefault="00F947E5" w:rsidP="00F947E5">
            <w:pPr>
              <w:spacing w:before="80" w:after="80" w:line="228" w:lineRule="auto"/>
              <w:ind w:right="170"/>
              <w:jc w:val="right"/>
              <w:rPr>
                <w:rFonts w:cs="Arial"/>
                <w:color w:val="000000"/>
                <w:sz w:val="16"/>
                <w:szCs w:val="16"/>
              </w:rPr>
            </w:pPr>
            <w:r w:rsidRPr="00C32106">
              <w:rPr>
                <w:rFonts w:cs="Arial"/>
                <w:color w:val="000000"/>
                <w:sz w:val="16"/>
                <w:szCs w:val="16"/>
              </w:rPr>
              <w:t>28</w:t>
            </w:r>
            <w:r w:rsidR="00203804">
              <w:rPr>
                <w:rFonts w:cs="Arial"/>
                <w:color w:val="000000"/>
                <w:sz w:val="16"/>
                <w:szCs w:val="16"/>
              </w:rPr>
              <w:t>.</w:t>
            </w:r>
            <w:r w:rsidRPr="00C32106">
              <w:rPr>
                <w:rFonts w:cs="Arial"/>
                <w:color w:val="000000"/>
                <w:sz w:val="16"/>
                <w:szCs w:val="16"/>
              </w:rPr>
              <w:t>1</w:t>
            </w:r>
          </w:p>
        </w:tc>
      </w:tr>
    </w:tbl>
    <w:p w14:paraId="0D6795DF" w14:textId="77777777" w:rsidR="006C1C63" w:rsidRDefault="006C1C63" w:rsidP="00EE06BE">
      <w:pPr>
        <w:spacing w:before="120" w:after="120"/>
        <w:jc w:val="both"/>
      </w:pPr>
    </w:p>
    <w:p w14:paraId="35402D82" w14:textId="05573637" w:rsidR="007D6463" w:rsidRPr="00C32106" w:rsidRDefault="007D6463" w:rsidP="00EE06BE">
      <w:pPr>
        <w:spacing w:before="120" w:after="120"/>
        <w:jc w:val="both"/>
      </w:pPr>
      <w:r w:rsidRPr="00C32106">
        <w:lastRenderedPageBreak/>
        <w:t xml:space="preserve">Of the respondents who participated in education/training, most of them participated in some form of </w:t>
      </w:r>
      <w:r w:rsidR="006C1C63">
        <w:t>non-</w:t>
      </w:r>
      <w:r w:rsidRPr="00C32106">
        <w:t>formal education. They are mostly respondents from 25-34 age group, highly educated and employe</w:t>
      </w:r>
      <w:r w:rsidR="00B1403F" w:rsidRPr="00C32106">
        <w:t>d</w:t>
      </w:r>
      <w:r w:rsidRPr="00C32106">
        <w:t>.</w:t>
      </w:r>
    </w:p>
    <w:p w14:paraId="198134E0" w14:textId="082A021E" w:rsidR="00B1403F" w:rsidRPr="00C32106" w:rsidRDefault="00B1403F" w:rsidP="00EE06BE">
      <w:pPr>
        <w:spacing w:before="320" w:after="60"/>
        <w:jc w:val="both"/>
        <w:rPr>
          <w:b/>
          <w:color w:val="FF0000"/>
        </w:rPr>
      </w:pPr>
      <w:r w:rsidRPr="00C32106">
        <w:rPr>
          <w:rFonts w:cs="Arial"/>
          <w:b/>
          <w:bCs/>
          <w:color w:val="000000"/>
          <w:szCs w:val="20"/>
        </w:rPr>
        <w:t>Table 3.</w:t>
      </w:r>
      <w:r w:rsidRPr="00C32106">
        <w:rPr>
          <w:b/>
        </w:rPr>
        <w:t xml:space="preserve"> Share of adults in </w:t>
      </w:r>
      <w:r w:rsidR="006C1C63">
        <w:rPr>
          <w:b/>
        </w:rPr>
        <w:t>non-</w:t>
      </w:r>
      <w:r w:rsidRPr="00C32106">
        <w:rPr>
          <w:b/>
        </w:rPr>
        <w:t>formal education and training (</w:t>
      </w:r>
      <w:proofErr w:type="gramStart"/>
      <w:r w:rsidRPr="00C32106">
        <w:rPr>
          <w:b/>
        </w:rPr>
        <w:t>%</w:t>
      </w:r>
      <w:proofErr w:type="gramEnd"/>
      <w:r w:rsidRPr="00C32106">
        <w:rPr>
          <w:b/>
        </w:rPr>
        <w:t xml:space="preserve">) </w:t>
      </w:r>
    </w:p>
    <w:tbl>
      <w:tblPr>
        <w:tblStyle w:val="TableGrid"/>
        <w:tblW w:w="9866"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1560"/>
        <w:gridCol w:w="2578"/>
        <w:gridCol w:w="1909"/>
        <w:gridCol w:w="1911"/>
        <w:gridCol w:w="1908"/>
      </w:tblGrid>
      <w:tr w:rsidR="00B1403F" w:rsidRPr="00C32106" w14:paraId="51EA2A72" w14:textId="77777777" w:rsidTr="007B6403">
        <w:trPr>
          <w:jc w:val="center"/>
        </w:trPr>
        <w:tc>
          <w:tcPr>
            <w:tcW w:w="4138" w:type="dxa"/>
            <w:gridSpan w:val="2"/>
            <w:tcBorders>
              <w:right w:val="single" w:sz="4" w:space="0" w:color="BFBFBF" w:themeColor="background1" w:themeShade="BF"/>
            </w:tcBorders>
            <w:shd w:val="clear" w:color="auto" w:fill="F2F2F2" w:themeFill="background1" w:themeFillShade="F2"/>
          </w:tcPr>
          <w:p w14:paraId="6DC683FA" w14:textId="77777777" w:rsidR="00B1403F" w:rsidRPr="00C32106" w:rsidRDefault="00B1403F" w:rsidP="007B6403">
            <w:pPr>
              <w:spacing w:before="80" w:after="80" w:line="228" w:lineRule="auto"/>
              <w:jc w:val="both"/>
              <w:rPr>
                <w:sz w:val="16"/>
                <w:szCs w:val="16"/>
              </w:rPr>
            </w:pPr>
          </w:p>
        </w:tc>
        <w:tc>
          <w:tcPr>
            <w:tcW w:w="1909"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C1F00C" w14:textId="00DCCC9B" w:rsidR="00B1403F" w:rsidRPr="00C32106" w:rsidRDefault="00B1403F" w:rsidP="007B6403">
            <w:pPr>
              <w:spacing w:before="80" w:after="80" w:line="228" w:lineRule="auto"/>
              <w:ind w:right="170"/>
              <w:jc w:val="right"/>
              <w:rPr>
                <w:sz w:val="16"/>
                <w:szCs w:val="16"/>
              </w:rPr>
            </w:pPr>
            <w:r w:rsidRPr="00C32106">
              <w:rPr>
                <w:rFonts w:cs="Arial"/>
                <w:color w:val="000000"/>
                <w:sz w:val="16"/>
                <w:szCs w:val="16"/>
              </w:rPr>
              <w:t>Total</w:t>
            </w:r>
          </w:p>
        </w:tc>
        <w:tc>
          <w:tcPr>
            <w:tcW w:w="1911"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2301A7" w14:textId="528CC0E5" w:rsidR="00B1403F" w:rsidRPr="00C32106" w:rsidRDefault="00B1403F" w:rsidP="007B6403">
            <w:pPr>
              <w:spacing w:before="80" w:after="80" w:line="228" w:lineRule="auto"/>
              <w:ind w:right="170"/>
              <w:jc w:val="right"/>
              <w:rPr>
                <w:sz w:val="16"/>
                <w:szCs w:val="16"/>
              </w:rPr>
            </w:pPr>
            <w:r w:rsidRPr="00C32106">
              <w:rPr>
                <w:rFonts w:cs="Arial"/>
                <w:color w:val="000000"/>
                <w:sz w:val="16"/>
                <w:szCs w:val="16"/>
              </w:rPr>
              <w:t>Males</w:t>
            </w:r>
          </w:p>
        </w:tc>
        <w:tc>
          <w:tcPr>
            <w:tcW w:w="1908" w:type="dxa"/>
            <w:tcBorders>
              <w:left w:val="single" w:sz="4" w:space="0" w:color="BFBFBF" w:themeColor="background1" w:themeShade="BF"/>
            </w:tcBorders>
            <w:shd w:val="clear" w:color="auto" w:fill="F2F2F2" w:themeFill="background1" w:themeFillShade="F2"/>
            <w:vAlign w:val="center"/>
          </w:tcPr>
          <w:p w14:paraId="44036944" w14:textId="728B96EE" w:rsidR="00B1403F" w:rsidRPr="00C32106" w:rsidRDefault="00B1403F" w:rsidP="007B6403">
            <w:pPr>
              <w:spacing w:before="80" w:after="80" w:line="228" w:lineRule="auto"/>
              <w:ind w:right="170"/>
              <w:jc w:val="right"/>
              <w:rPr>
                <w:sz w:val="16"/>
                <w:szCs w:val="16"/>
              </w:rPr>
            </w:pPr>
            <w:r w:rsidRPr="00C32106">
              <w:rPr>
                <w:rFonts w:cs="Arial"/>
                <w:color w:val="000000"/>
                <w:sz w:val="16"/>
                <w:szCs w:val="16"/>
              </w:rPr>
              <w:t>Females</w:t>
            </w:r>
          </w:p>
        </w:tc>
      </w:tr>
      <w:tr w:rsidR="00B1403F" w:rsidRPr="00C32106" w14:paraId="38069251" w14:textId="77777777" w:rsidTr="007B6403">
        <w:trPr>
          <w:jc w:val="center"/>
        </w:trPr>
        <w:tc>
          <w:tcPr>
            <w:tcW w:w="1560" w:type="dxa"/>
            <w:shd w:val="clear" w:color="auto" w:fill="auto"/>
            <w:vAlign w:val="bottom"/>
          </w:tcPr>
          <w:p w14:paraId="1F6B41F7" w14:textId="10A03668" w:rsidR="00B1403F" w:rsidRPr="00C32106" w:rsidRDefault="00B1403F" w:rsidP="007B6403">
            <w:pPr>
              <w:spacing w:before="80" w:after="80" w:line="228" w:lineRule="auto"/>
              <w:ind w:right="57"/>
              <w:jc w:val="both"/>
              <w:rPr>
                <w:rFonts w:cs="Arial"/>
                <w:color w:val="000000"/>
                <w:sz w:val="16"/>
                <w:szCs w:val="16"/>
              </w:rPr>
            </w:pPr>
            <w:r w:rsidRPr="00C32106">
              <w:rPr>
                <w:rFonts w:cs="Arial"/>
                <w:bCs/>
                <w:color w:val="000000"/>
                <w:sz w:val="16"/>
                <w:szCs w:val="16"/>
              </w:rPr>
              <w:t>Total</w:t>
            </w:r>
          </w:p>
        </w:tc>
        <w:tc>
          <w:tcPr>
            <w:tcW w:w="2578" w:type="dxa"/>
            <w:shd w:val="clear" w:color="auto" w:fill="auto"/>
            <w:vAlign w:val="bottom"/>
          </w:tcPr>
          <w:p w14:paraId="70CE5F71" w14:textId="77777777" w:rsidR="00B1403F" w:rsidRPr="00C32106" w:rsidRDefault="00B1403F" w:rsidP="007B6403">
            <w:pPr>
              <w:spacing w:before="80" w:after="80" w:line="228" w:lineRule="auto"/>
              <w:jc w:val="both"/>
              <w:rPr>
                <w:rFonts w:cs="Arial"/>
                <w:color w:val="000000"/>
                <w:sz w:val="16"/>
                <w:szCs w:val="16"/>
              </w:rPr>
            </w:pPr>
            <w:r w:rsidRPr="00C32106">
              <w:rPr>
                <w:rFonts w:cs="Arial"/>
                <w:bCs/>
                <w:color w:val="000000"/>
                <w:sz w:val="16"/>
                <w:szCs w:val="16"/>
              </w:rPr>
              <w:t>25-69</w:t>
            </w:r>
          </w:p>
        </w:tc>
        <w:tc>
          <w:tcPr>
            <w:tcW w:w="1909" w:type="dxa"/>
            <w:shd w:val="clear" w:color="auto" w:fill="auto"/>
            <w:vAlign w:val="bottom"/>
          </w:tcPr>
          <w:p w14:paraId="38307387" w14:textId="242C637F"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17</w:t>
            </w:r>
            <w:r w:rsidR="00203804">
              <w:rPr>
                <w:rFonts w:cs="Arial"/>
                <w:color w:val="000000"/>
                <w:sz w:val="16"/>
                <w:szCs w:val="16"/>
              </w:rPr>
              <w:t>.</w:t>
            </w:r>
            <w:r w:rsidRPr="00C32106">
              <w:rPr>
                <w:rFonts w:cs="Arial"/>
                <w:color w:val="000000"/>
                <w:sz w:val="16"/>
                <w:szCs w:val="16"/>
              </w:rPr>
              <w:t>4</w:t>
            </w:r>
          </w:p>
        </w:tc>
        <w:tc>
          <w:tcPr>
            <w:tcW w:w="1911" w:type="dxa"/>
            <w:shd w:val="clear" w:color="auto" w:fill="auto"/>
            <w:vAlign w:val="bottom"/>
          </w:tcPr>
          <w:p w14:paraId="35CCD716" w14:textId="38D04F7F"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16</w:t>
            </w:r>
            <w:r w:rsidR="00203804">
              <w:rPr>
                <w:rFonts w:cs="Arial"/>
                <w:color w:val="000000"/>
                <w:sz w:val="16"/>
                <w:szCs w:val="16"/>
              </w:rPr>
              <w:t>.</w:t>
            </w:r>
            <w:r w:rsidRPr="00C32106">
              <w:rPr>
                <w:rFonts w:cs="Arial"/>
                <w:color w:val="000000"/>
                <w:sz w:val="16"/>
                <w:szCs w:val="16"/>
              </w:rPr>
              <w:t>0</w:t>
            </w:r>
          </w:p>
        </w:tc>
        <w:tc>
          <w:tcPr>
            <w:tcW w:w="1908" w:type="dxa"/>
            <w:shd w:val="clear" w:color="auto" w:fill="auto"/>
            <w:vAlign w:val="bottom"/>
          </w:tcPr>
          <w:p w14:paraId="0E64470E" w14:textId="04E370F7"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18</w:t>
            </w:r>
            <w:r w:rsidR="00203804">
              <w:rPr>
                <w:rFonts w:cs="Arial"/>
                <w:color w:val="000000"/>
                <w:sz w:val="16"/>
                <w:szCs w:val="16"/>
              </w:rPr>
              <w:t>.</w:t>
            </w:r>
            <w:r w:rsidRPr="00C32106">
              <w:rPr>
                <w:rFonts w:cs="Arial"/>
                <w:color w:val="000000"/>
                <w:sz w:val="16"/>
                <w:szCs w:val="16"/>
              </w:rPr>
              <w:t>8</w:t>
            </w:r>
          </w:p>
        </w:tc>
      </w:tr>
      <w:tr w:rsidR="00B1403F" w:rsidRPr="00C32106" w14:paraId="475304BD" w14:textId="77777777" w:rsidTr="007B6403">
        <w:trPr>
          <w:jc w:val="center"/>
        </w:trPr>
        <w:tc>
          <w:tcPr>
            <w:tcW w:w="1560" w:type="dxa"/>
            <w:vMerge w:val="restart"/>
            <w:shd w:val="clear" w:color="auto" w:fill="F2F2F2" w:themeFill="background1" w:themeFillShade="F2"/>
            <w:vAlign w:val="center"/>
          </w:tcPr>
          <w:p w14:paraId="6F280A09" w14:textId="4ECDFA53" w:rsidR="00B1403F" w:rsidRPr="00C32106" w:rsidRDefault="00B1403F" w:rsidP="007B6403">
            <w:pPr>
              <w:spacing w:before="80" w:after="80" w:line="228" w:lineRule="auto"/>
              <w:ind w:right="57"/>
              <w:jc w:val="both"/>
              <w:rPr>
                <w:rFonts w:cs="Arial"/>
                <w:color w:val="000000"/>
                <w:sz w:val="16"/>
                <w:szCs w:val="16"/>
              </w:rPr>
            </w:pPr>
            <w:r w:rsidRPr="00C32106">
              <w:rPr>
                <w:rFonts w:cs="Arial"/>
                <w:bCs/>
                <w:color w:val="000000"/>
                <w:sz w:val="16"/>
                <w:szCs w:val="16"/>
              </w:rPr>
              <w:t>Age groups</w:t>
            </w:r>
          </w:p>
        </w:tc>
        <w:tc>
          <w:tcPr>
            <w:tcW w:w="2578" w:type="dxa"/>
            <w:shd w:val="clear" w:color="auto" w:fill="F2F2F2" w:themeFill="background1" w:themeFillShade="F2"/>
            <w:vAlign w:val="bottom"/>
          </w:tcPr>
          <w:p w14:paraId="6E15E896" w14:textId="77777777" w:rsidR="00B1403F" w:rsidRPr="00C32106" w:rsidRDefault="00B1403F" w:rsidP="007B6403">
            <w:pPr>
              <w:spacing w:before="80" w:after="80" w:line="228" w:lineRule="auto"/>
              <w:jc w:val="both"/>
              <w:rPr>
                <w:rFonts w:cs="Arial"/>
                <w:color w:val="000000"/>
                <w:sz w:val="16"/>
                <w:szCs w:val="16"/>
              </w:rPr>
            </w:pPr>
            <w:r w:rsidRPr="00C32106">
              <w:rPr>
                <w:rFonts w:cs="Arial"/>
                <w:bCs/>
                <w:color w:val="000000"/>
                <w:sz w:val="16"/>
                <w:szCs w:val="16"/>
              </w:rPr>
              <w:t>25-34</w:t>
            </w:r>
          </w:p>
        </w:tc>
        <w:tc>
          <w:tcPr>
            <w:tcW w:w="1909" w:type="dxa"/>
            <w:shd w:val="clear" w:color="auto" w:fill="F2F2F2" w:themeFill="background1" w:themeFillShade="F2"/>
            <w:vAlign w:val="bottom"/>
          </w:tcPr>
          <w:p w14:paraId="5988C34B" w14:textId="2F2F1B4E"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25</w:t>
            </w:r>
            <w:r w:rsidR="00203804">
              <w:rPr>
                <w:rFonts w:cs="Arial"/>
                <w:color w:val="000000"/>
                <w:sz w:val="16"/>
                <w:szCs w:val="16"/>
              </w:rPr>
              <w:t>.</w:t>
            </w:r>
            <w:r w:rsidRPr="00C32106">
              <w:rPr>
                <w:rFonts w:cs="Arial"/>
                <w:color w:val="000000"/>
                <w:sz w:val="16"/>
                <w:szCs w:val="16"/>
              </w:rPr>
              <w:t>8</w:t>
            </w:r>
          </w:p>
        </w:tc>
        <w:tc>
          <w:tcPr>
            <w:tcW w:w="1911" w:type="dxa"/>
            <w:shd w:val="clear" w:color="auto" w:fill="F2F2F2" w:themeFill="background1" w:themeFillShade="F2"/>
            <w:vAlign w:val="bottom"/>
          </w:tcPr>
          <w:p w14:paraId="6EB8F760" w14:textId="0CA1C4D6"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22</w:t>
            </w:r>
            <w:r w:rsidR="00203804">
              <w:rPr>
                <w:rFonts w:cs="Arial"/>
                <w:color w:val="000000"/>
                <w:sz w:val="16"/>
                <w:szCs w:val="16"/>
              </w:rPr>
              <w:t>.</w:t>
            </w:r>
            <w:r w:rsidRPr="00C32106">
              <w:rPr>
                <w:rFonts w:cs="Arial"/>
                <w:color w:val="000000"/>
                <w:sz w:val="16"/>
                <w:szCs w:val="16"/>
              </w:rPr>
              <w:t>1</w:t>
            </w:r>
          </w:p>
        </w:tc>
        <w:tc>
          <w:tcPr>
            <w:tcW w:w="1908" w:type="dxa"/>
            <w:shd w:val="clear" w:color="auto" w:fill="F2F2F2" w:themeFill="background1" w:themeFillShade="F2"/>
            <w:vAlign w:val="bottom"/>
          </w:tcPr>
          <w:p w14:paraId="48F703A1" w14:textId="36AF0F99"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29</w:t>
            </w:r>
            <w:r w:rsidR="00203804">
              <w:rPr>
                <w:rFonts w:cs="Arial"/>
                <w:color w:val="000000"/>
                <w:sz w:val="16"/>
                <w:szCs w:val="16"/>
              </w:rPr>
              <w:t>.</w:t>
            </w:r>
            <w:r w:rsidRPr="00C32106">
              <w:rPr>
                <w:rFonts w:cs="Arial"/>
                <w:color w:val="000000"/>
                <w:sz w:val="16"/>
                <w:szCs w:val="16"/>
              </w:rPr>
              <w:t>7</w:t>
            </w:r>
          </w:p>
        </w:tc>
      </w:tr>
      <w:tr w:rsidR="00B1403F" w:rsidRPr="00C32106" w14:paraId="4C09DF80" w14:textId="77777777" w:rsidTr="007B6403">
        <w:trPr>
          <w:jc w:val="center"/>
        </w:trPr>
        <w:tc>
          <w:tcPr>
            <w:tcW w:w="1560" w:type="dxa"/>
            <w:vMerge/>
            <w:shd w:val="clear" w:color="auto" w:fill="F2F2F2" w:themeFill="background1" w:themeFillShade="F2"/>
            <w:vAlign w:val="center"/>
          </w:tcPr>
          <w:p w14:paraId="56E9AAEA" w14:textId="77777777" w:rsidR="00B1403F" w:rsidRPr="00C32106" w:rsidRDefault="00B1403F" w:rsidP="007B6403">
            <w:pPr>
              <w:spacing w:before="80" w:after="80" w:line="228" w:lineRule="auto"/>
              <w:ind w:right="57"/>
              <w:jc w:val="both"/>
              <w:rPr>
                <w:rFonts w:cs="Arial"/>
                <w:color w:val="000000"/>
                <w:sz w:val="16"/>
                <w:szCs w:val="16"/>
              </w:rPr>
            </w:pPr>
          </w:p>
        </w:tc>
        <w:tc>
          <w:tcPr>
            <w:tcW w:w="2578" w:type="dxa"/>
            <w:shd w:val="clear" w:color="auto" w:fill="F2F2F2" w:themeFill="background1" w:themeFillShade="F2"/>
            <w:vAlign w:val="bottom"/>
          </w:tcPr>
          <w:p w14:paraId="5D4EAE32" w14:textId="77777777" w:rsidR="00B1403F" w:rsidRPr="00C32106" w:rsidRDefault="00B1403F" w:rsidP="007B6403">
            <w:pPr>
              <w:spacing w:before="80" w:after="80" w:line="228" w:lineRule="auto"/>
              <w:jc w:val="both"/>
              <w:rPr>
                <w:rFonts w:cs="Arial"/>
                <w:color w:val="000000"/>
                <w:sz w:val="16"/>
                <w:szCs w:val="16"/>
              </w:rPr>
            </w:pPr>
            <w:r w:rsidRPr="00C32106">
              <w:rPr>
                <w:rFonts w:cs="Arial"/>
                <w:bCs/>
                <w:color w:val="000000"/>
                <w:sz w:val="16"/>
                <w:szCs w:val="16"/>
              </w:rPr>
              <w:t>35-54</w:t>
            </w:r>
          </w:p>
        </w:tc>
        <w:tc>
          <w:tcPr>
            <w:tcW w:w="1909" w:type="dxa"/>
            <w:shd w:val="clear" w:color="auto" w:fill="F2F2F2" w:themeFill="background1" w:themeFillShade="F2"/>
            <w:vAlign w:val="bottom"/>
          </w:tcPr>
          <w:p w14:paraId="2E7D902D" w14:textId="266844AF"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20</w:t>
            </w:r>
            <w:r w:rsidR="00203804">
              <w:rPr>
                <w:rFonts w:cs="Arial"/>
                <w:color w:val="000000"/>
                <w:sz w:val="16"/>
                <w:szCs w:val="16"/>
              </w:rPr>
              <w:t>.</w:t>
            </w:r>
            <w:r w:rsidRPr="00C32106">
              <w:rPr>
                <w:rFonts w:cs="Arial"/>
                <w:color w:val="000000"/>
                <w:sz w:val="16"/>
                <w:szCs w:val="16"/>
              </w:rPr>
              <w:t>1</w:t>
            </w:r>
          </w:p>
        </w:tc>
        <w:tc>
          <w:tcPr>
            <w:tcW w:w="1911" w:type="dxa"/>
            <w:shd w:val="clear" w:color="auto" w:fill="F2F2F2" w:themeFill="background1" w:themeFillShade="F2"/>
            <w:vAlign w:val="bottom"/>
          </w:tcPr>
          <w:p w14:paraId="2210EA49" w14:textId="1E6F3604"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18</w:t>
            </w:r>
            <w:r w:rsidR="00203804">
              <w:rPr>
                <w:rFonts w:cs="Arial"/>
                <w:color w:val="000000"/>
                <w:sz w:val="16"/>
                <w:szCs w:val="16"/>
              </w:rPr>
              <w:t>.</w:t>
            </w:r>
            <w:r w:rsidRPr="00C32106">
              <w:rPr>
                <w:rFonts w:cs="Arial"/>
                <w:color w:val="000000"/>
                <w:sz w:val="16"/>
                <w:szCs w:val="16"/>
              </w:rPr>
              <w:t>2</w:t>
            </w:r>
          </w:p>
        </w:tc>
        <w:tc>
          <w:tcPr>
            <w:tcW w:w="1908" w:type="dxa"/>
            <w:shd w:val="clear" w:color="auto" w:fill="F2F2F2" w:themeFill="background1" w:themeFillShade="F2"/>
            <w:vAlign w:val="bottom"/>
          </w:tcPr>
          <w:p w14:paraId="7DF8C77C" w14:textId="35901AB3"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22</w:t>
            </w:r>
            <w:r w:rsidR="00203804">
              <w:rPr>
                <w:rFonts w:cs="Arial"/>
                <w:color w:val="000000"/>
                <w:sz w:val="16"/>
                <w:szCs w:val="16"/>
              </w:rPr>
              <w:t>.</w:t>
            </w:r>
            <w:r w:rsidRPr="00C32106">
              <w:rPr>
                <w:rFonts w:cs="Arial"/>
                <w:color w:val="000000"/>
                <w:sz w:val="16"/>
                <w:szCs w:val="16"/>
              </w:rPr>
              <w:t>1</w:t>
            </w:r>
          </w:p>
        </w:tc>
      </w:tr>
      <w:tr w:rsidR="00B1403F" w:rsidRPr="00C32106" w14:paraId="19D4AFDC" w14:textId="77777777" w:rsidTr="007B6403">
        <w:trPr>
          <w:jc w:val="center"/>
        </w:trPr>
        <w:tc>
          <w:tcPr>
            <w:tcW w:w="1560" w:type="dxa"/>
            <w:vMerge/>
            <w:shd w:val="clear" w:color="auto" w:fill="F2F2F2" w:themeFill="background1" w:themeFillShade="F2"/>
            <w:vAlign w:val="center"/>
          </w:tcPr>
          <w:p w14:paraId="31D00A4B" w14:textId="77777777" w:rsidR="00B1403F" w:rsidRPr="00C32106" w:rsidRDefault="00B1403F" w:rsidP="007B6403">
            <w:pPr>
              <w:spacing w:before="80" w:after="80" w:line="228" w:lineRule="auto"/>
              <w:ind w:right="57"/>
              <w:jc w:val="both"/>
              <w:rPr>
                <w:rFonts w:cs="Arial"/>
                <w:color w:val="000000"/>
                <w:sz w:val="16"/>
                <w:szCs w:val="16"/>
              </w:rPr>
            </w:pPr>
          </w:p>
        </w:tc>
        <w:tc>
          <w:tcPr>
            <w:tcW w:w="2578" w:type="dxa"/>
            <w:shd w:val="clear" w:color="auto" w:fill="F2F2F2" w:themeFill="background1" w:themeFillShade="F2"/>
            <w:vAlign w:val="bottom"/>
          </w:tcPr>
          <w:p w14:paraId="15279C17" w14:textId="77777777" w:rsidR="00B1403F" w:rsidRPr="00C32106" w:rsidRDefault="00B1403F" w:rsidP="007B6403">
            <w:pPr>
              <w:spacing w:before="80" w:after="80" w:line="228" w:lineRule="auto"/>
              <w:jc w:val="both"/>
              <w:rPr>
                <w:rFonts w:cs="Arial"/>
                <w:color w:val="000000"/>
                <w:sz w:val="16"/>
                <w:szCs w:val="16"/>
              </w:rPr>
            </w:pPr>
            <w:r w:rsidRPr="00C32106">
              <w:rPr>
                <w:rFonts w:cs="Arial"/>
                <w:bCs/>
                <w:color w:val="000000"/>
                <w:sz w:val="16"/>
                <w:szCs w:val="16"/>
              </w:rPr>
              <w:t>55-69</w:t>
            </w:r>
          </w:p>
        </w:tc>
        <w:tc>
          <w:tcPr>
            <w:tcW w:w="1909" w:type="dxa"/>
            <w:shd w:val="clear" w:color="auto" w:fill="F2F2F2" w:themeFill="background1" w:themeFillShade="F2"/>
            <w:vAlign w:val="bottom"/>
          </w:tcPr>
          <w:p w14:paraId="2B9BE4B7" w14:textId="30E699CF"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9</w:t>
            </w:r>
            <w:r w:rsidR="00203804">
              <w:rPr>
                <w:rFonts w:cs="Arial"/>
                <w:color w:val="000000"/>
                <w:sz w:val="16"/>
                <w:szCs w:val="16"/>
              </w:rPr>
              <w:t>.</w:t>
            </w:r>
            <w:r w:rsidRPr="00C32106">
              <w:rPr>
                <w:rFonts w:cs="Arial"/>
                <w:color w:val="000000"/>
                <w:sz w:val="16"/>
                <w:szCs w:val="16"/>
              </w:rPr>
              <w:t>1</w:t>
            </w:r>
          </w:p>
        </w:tc>
        <w:tc>
          <w:tcPr>
            <w:tcW w:w="1911" w:type="dxa"/>
            <w:shd w:val="clear" w:color="auto" w:fill="F2F2F2" w:themeFill="background1" w:themeFillShade="F2"/>
            <w:vAlign w:val="bottom"/>
          </w:tcPr>
          <w:p w14:paraId="16A20977" w14:textId="45249772"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9</w:t>
            </w:r>
            <w:r w:rsidR="00203804">
              <w:rPr>
                <w:rFonts w:cs="Arial"/>
                <w:color w:val="000000"/>
                <w:sz w:val="16"/>
                <w:szCs w:val="16"/>
              </w:rPr>
              <w:t>.</w:t>
            </w:r>
            <w:r w:rsidRPr="00C32106">
              <w:rPr>
                <w:rFonts w:cs="Arial"/>
                <w:color w:val="000000"/>
                <w:sz w:val="16"/>
                <w:szCs w:val="16"/>
              </w:rPr>
              <w:t>3</w:t>
            </w:r>
          </w:p>
        </w:tc>
        <w:tc>
          <w:tcPr>
            <w:tcW w:w="1908" w:type="dxa"/>
            <w:shd w:val="clear" w:color="auto" w:fill="F2F2F2" w:themeFill="background1" w:themeFillShade="F2"/>
            <w:vAlign w:val="bottom"/>
          </w:tcPr>
          <w:p w14:paraId="6151CA8F" w14:textId="5EA59A43" w:rsidR="00B1403F" w:rsidRPr="00C32106" w:rsidRDefault="00B1403F" w:rsidP="007B6403">
            <w:pPr>
              <w:spacing w:before="80" w:after="80" w:line="228" w:lineRule="auto"/>
              <w:ind w:right="170"/>
              <w:jc w:val="right"/>
              <w:rPr>
                <w:rFonts w:cs="Arial"/>
                <w:color w:val="000000"/>
                <w:sz w:val="16"/>
                <w:szCs w:val="16"/>
              </w:rPr>
            </w:pPr>
            <w:r w:rsidRPr="00C32106">
              <w:rPr>
                <w:rFonts w:cs="Arial"/>
                <w:color w:val="000000"/>
                <w:sz w:val="16"/>
                <w:szCs w:val="16"/>
              </w:rPr>
              <w:t>9</w:t>
            </w:r>
            <w:r w:rsidR="00203804">
              <w:rPr>
                <w:rFonts w:cs="Arial"/>
                <w:color w:val="000000"/>
                <w:sz w:val="16"/>
                <w:szCs w:val="16"/>
              </w:rPr>
              <w:t>.</w:t>
            </w:r>
            <w:r w:rsidRPr="00C32106">
              <w:rPr>
                <w:rFonts w:cs="Arial"/>
                <w:color w:val="000000"/>
                <w:sz w:val="16"/>
                <w:szCs w:val="16"/>
              </w:rPr>
              <w:t>0</w:t>
            </w:r>
          </w:p>
        </w:tc>
      </w:tr>
      <w:tr w:rsidR="00B1403F" w:rsidRPr="00C32106" w14:paraId="1B0E8990" w14:textId="77777777" w:rsidTr="007B6403">
        <w:trPr>
          <w:jc w:val="center"/>
        </w:trPr>
        <w:tc>
          <w:tcPr>
            <w:tcW w:w="1560" w:type="dxa"/>
            <w:vMerge w:val="restart"/>
            <w:vAlign w:val="center"/>
          </w:tcPr>
          <w:p w14:paraId="0F6B5195" w14:textId="5D6858F0" w:rsidR="00B1403F" w:rsidRPr="00C32106" w:rsidRDefault="00B1403F" w:rsidP="00B1403F">
            <w:pPr>
              <w:spacing w:before="80" w:after="80" w:line="228" w:lineRule="auto"/>
              <w:ind w:right="57"/>
              <w:jc w:val="both"/>
              <w:rPr>
                <w:rFonts w:cs="Arial"/>
                <w:color w:val="000000"/>
                <w:sz w:val="16"/>
                <w:szCs w:val="16"/>
              </w:rPr>
            </w:pPr>
            <w:r w:rsidRPr="00C32106">
              <w:rPr>
                <w:rFonts w:cs="Arial"/>
                <w:bCs/>
                <w:color w:val="000000"/>
                <w:sz w:val="16"/>
                <w:szCs w:val="16"/>
              </w:rPr>
              <w:t>Education level</w:t>
            </w:r>
          </w:p>
        </w:tc>
        <w:tc>
          <w:tcPr>
            <w:tcW w:w="2578" w:type="dxa"/>
            <w:vAlign w:val="bottom"/>
          </w:tcPr>
          <w:p w14:paraId="23257F9F" w14:textId="618FF3DA" w:rsidR="00B1403F" w:rsidRPr="00C32106" w:rsidRDefault="00B1403F" w:rsidP="00B1403F">
            <w:pPr>
              <w:spacing w:before="80" w:after="80" w:line="228" w:lineRule="auto"/>
              <w:jc w:val="both"/>
              <w:rPr>
                <w:rFonts w:cs="Arial"/>
                <w:color w:val="000000"/>
                <w:sz w:val="16"/>
                <w:szCs w:val="16"/>
              </w:rPr>
            </w:pPr>
            <w:r w:rsidRPr="00C32106">
              <w:rPr>
                <w:rFonts w:cs="Arial"/>
                <w:bCs/>
                <w:color w:val="000000"/>
                <w:sz w:val="16"/>
                <w:szCs w:val="16"/>
              </w:rPr>
              <w:t>Primary education</w:t>
            </w:r>
          </w:p>
        </w:tc>
        <w:tc>
          <w:tcPr>
            <w:tcW w:w="1909" w:type="dxa"/>
            <w:vAlign w:val="bottom"/>
          </w:tcPr>
          <w:p w14:paraId="709DBCF8" w14:textId="55F0BAF6"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4</w:t>
            </w:r>
            <w:r w:rsidR="00203804">
              <w:rPr>
                <w:rFonts w:cs="Arial"/>
                <w:color w:val="000000"/>
                <w:sz w:val="16"/>
                <w:szCs w:val="16"/>
              </w:rPr>
              <w:t>.</w:t>
            </w:r>
            <w:r w:rsidRPr="00C32106">
              <w:rPr>
                <w:rFonts w:cs="Arial"/>
                <w:color w:val="000000"/>
                <w:sz w:val="16"/>
                <w:szCs w:val="16"/>
              </w:rPr>
              <w:t>0</w:t>
            </w:r>
          </w:p>
        </w:tc>
        <w:tc>
          <w:tcPr>
            <w:tcW w:w="1911" w:type="dxa"/>
            <w:vAlign w:val="bottom"/>
          </w:tcPr>
          <w:p w14:paraId="6E67577F" w14:textId="58517487"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7</w:t>
            </w:r>
            <w:r w:rsidR="00203804">
              <w:rPr>
                <w:rFonts w:cs="Arial"/>
                <w:color w:val="000000"/>
                <w:sz w:val="16"/>
                <w:szCs w:val="16"/>
              </w:rPr>
              <w:t>.</w:t>
            </w:r>
            <w:r w:rsidRPr="00C32106">
              <w:rPr>
                <w:rFonts w:cs="Arial"/>
                <w:color w:val="000000"/>
                <w:sz w:val="16"/>
                <w:szCs w:val="16"/>
              </w:rPr>
              <w:t>6</w:t>
            </w:r>
          </w:p>
        </w:tc>
        <w:tc>
          <w:tcPr>
            <w:tcW w:w="1908" w:type="dxa"/>
            <w:vAlign w:val="bottom"/>
          </w:tcPr>
          <w:p w14:paraId="0D94A870" w14:textId="650B100C"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1</w:t>
            </w:r>
            <w:r w:rsidR="00203804">
              <w:rPr>
                <w:rFonts w:cs="Arial"/>
                <w:color w:val="000000"/>
                <w:sz w:val="16"/>
                <w:szCs w:val="16"/>
              </w:rPr>
              <w:t>.</w:t>
            </w:r>
            <w:r w:rsidRPr="00C32106">
              <w:rPr>
                <w:rFonts w:cs="Arial"/>
                <w:color w:val="000000"/>
                <w:sz w:val="16"/>
                <w:szCs w:val="16"/>
              </w:rPr>
              <w:t>8</w:t>
            </w:r>
          </w:p>
        </w:tc>
      </w:tr>
      <w:tr w:rsidR="00B1403F" w:rsidRPr="00C32106" w14:paraId="5B481B9E" w14:textId="77777777" w:rsidTr="007B6403">
        <w:trPr>
          <w:jc w:val="center"/>
        </w:trPr>
        <w:tc>
          <w:tcPr>
            <w:tcW w:w="1560" w:type="dxa"/>
            <w:vMerge/>
            <w:vAlign w:val="center"/>
          </w:tcPr>
          <w:p w14:paraId="17C0079F" w14:textId="77777777" w:rsidR="00B1403F" w:rsidRPr="00C32106" w:rsidRDefault="00B1403F" w:rsidP="00B1403F">
            <w:pPr>
              <w:spacing w:before="80" w:after="80" w:line="228" w:lineRule="auto"/>
              <w:jc w:val="both"/>
              <w:rPr>
                <w:rFonts w:cs="Arial"/>
                <w:color w:val="000000"/>
                <w:sz w:val="16"/>
                <w:szCs w:val="16"/>
              </w:rPr>
            </w:pPr>
          </w:p>
        </w:tc>
        <w:tc>
          <w:tcPr>
            <w:tcW w:w="2578" w:type="dxa"/>
            <w:vAlign w:val="bottom"/>
          </w:tcPr>
          <w:p w14:paraId="3CF11BFB" w14:textId="740A577B" w:rsidR="00B1403F" w:rsidRPr="00C32106" w:rsidRDefault="006C1C63" w:rsidP="00B1403F">
            <w:pPr>
              <w:spacing w:before="80" w:after="80" w:line="228" w:lineRule="auto"/>
              <w:jc w:val="both"/>
              <w:rPr>
                <w:rFonts w:cs="Arial"/>
                <w:color w:val="000000"/>
                <w:sz w:val="16"/>
                <w:szCs w:val="16"/>
              </w:rPr>
            </w:pPr>
            <w:r w:rsidRPr="006C1C63">
              <w:rPr>
                <w:rFonts w:cs="Arial"/>
                <w:bCs/>
                <w:color w:val="000000"/>
                <w:sz w:val="16"/>
                <w:szCs w:val="16"/>
              </w:rPr>
              <w:t>Upper-secondary education</w:t>
            </w:r>
          </w:p>
        </w:tc>
        <w:tc>
          <w:tcPr>
            <w:tcW w:w="1909" w:type="dxa"/>
            <w:vAlign w:val="bottom"/>
          </w:tcPr>
          <w:p w14:paraId="08CB2F06" w14:textId="1180DB0A"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11</w:t>
            </w:r>
            <w:r w:rsidR="00203804">
              <w:rPr>
                <w:rFonts w:cs="Arial"/>
                <w:color w:val="000000"/>
                <w:sz w:val="16"/>
                <w:szCs w:val="16"/>
              </w:rPr>
              <w:t>.</w:t>
            </w:r>
            <w:r w:rsidRPr="00C32106">
              <w:rPr>
                <w:rFonts w:cs="Arial"/>
                <w:color w:val="000000"/>
                <w:sz w:val="16"/>
                <w:szCs w:val="16"/>
              </w:rPr>
              <w:t>7</w:t>
            </w:r>
          </w:p>
        </w:tc>
        <w:tc>
          <w:tcPr>
            <w:tcW w:w="1911" w:type="dxa"/>
            <w:vAlign w:val="bottom"/>
          </w:tcPr>
          <w:p w14:paraId="75D7AD8D" w14:textId="5291DC38"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12</w:t>
            </w:r>
            <w:r w:rsidR="00203804">
              <w:rPr>
                <w:rFonts w:cs="Arial"/>
                <w:color w:val="000000"/>
                <w:sz w:val="16"/>
                <w:szCs w:val="16"/>
              </w:rPr>
              <w:t>.</w:t>
            </w:r>
            <w:r w:rsidRPr="00C32106">
              <w:rPr>
                <w:rFonts w:cs="Arial"/>
                <w:color w:val="000000"/>
                <w:sz w:val="16"/>
                <w:szCs w:val="16"/>
              </w:rPr>
              <w:t>5</w:t>
            </w:r>
          </w:p>
        </w:tc>
        <w:tc>
          <w:tcPr>
            <w:tcW w:w="1908" w:type="dxa"/>
            <w:vAlign w:val="bottom"/>
          </w:tcPr>
          <w:p w14:paraId="6E29F926" w14:textId="41475ADE"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10</w:t>
            </w:r>
            <w:r w:rsidR="00203804">
              <w:rPr>
                <w:rFonts w:cs="Arial"/>
                <w:color w:val="000000"/>
                <w:sz w:val="16"/>
                <w:szCs w:val="16"/>
              </w:rPr>
              <w:t>.</w:t>
            </w:r>
            <w:r w:rsidRPr="00C32106">
              <w:rPr>
                <w:rFonts w:cs="Arial"/>
                <w:color w:val="000000"/>
                <w:sz w:val="16"/>
                <w:szCs w:val="16"/>
              </w:rPr>
              <w:t>9</w:t>
            </w:r>
          </w:p>
        </w:tc>
      </w:tr>
      <w:tr w:rsidR="00B1403F" w:rsidRPr="00C32106" w14:paraId="3A8DAD2B" w14:textId="77777777" w:rsidTr="007B6403">
        <w:trPr>
          <w:jc w:val="center"/>
        </w:trPr>
        <w:tc>
          <w:tcPr>
            <w:tcW w:w="1560" w:type="dxa"/>
            <w:vMerge/>
            <w:vAlign w:val="center"/>
          </w:tcPr>
          <w:p w14:paraId="78585D21" w14:textId="77777777" w:rsidR="00B1403F" w:rsidRPr="00C32106" w:rsidRDefault="00B1403F" w:rsidP="00B1403F">
            <w:pPr>
              <w:spacing w:before="80" w:after="80" w:line="228" w:lineRule="auto"/>
              <w:jc w:val="both"/>
              <w:rPr>
                <w:rFonts w:cs="Arial"/>
                <w:color w:val="000000"/>
                <w:sz w:val="16"/>
                <w:szCs w:val="16"/>
              </w:rPr>
            </w:pPr>
          </w:p>
        </w:tc>
        <w:tc>
          <w:tcPr>
            <w:tcW w:w="2578" w:type="dxa"/>
            <w:vAlign w:val="bottom"/>
          </w:tcPr>
          <w:p w14:paraId="70F9A7EE" w14:textId="34C0BB0F" w:rsidR="00B1403F" w:rsidRPr="00C32106" w:rsidRDefault="00B1403F" w:rsidP="00B1403F">
            <w:pPr>
              <w:spacing w:before="80" w:after="80" w:line="228" w:lineRule="auto"/>
              <w:jc w:val="both"/>
              <w:rPr>
                <w:rFonts w:cs="Arial"/>
                <w:color w:val="000000"/>
                <w:sz w:val="16"/>
                <w:szCs w:val="16"/>
              </w:rPr>
            </w:pPr>
            <w:r w:rsidRPr="00C32106">
              <w:rPr>
                <w:rFonts w:cs="Arial"/>
                <w:bCs/>
                <w:color w:val="000000"/>
                <w:sz w:val="16"/>
                <w:szCs w:val="16"/>
              </w:rPr>
              <w:t>Tertiary education</w:t>
            </w:r>
          </w:p>
        </w:tc>
        <w:tc>
          <w:tcPr>
            <w:tcW w:w="1909" w:type="dxa"/>
            <w:vAlign w:val="bottom"/>
          </w:tcPr>
          <w:p w14:paraId="34AC59DC" w14:textId="66732C99"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32</w:t>
            </w:r>
            <w:r w:rsidR="00203804">
              <w:rPr>
                <w:rFonts w:cs="Arial"/>
                <w:color w:val="000000"/>
                <w:sz w:val="16"/>
                <w:szCs w:val="16"/>
              </w:rPr>
              <w:t>.</w:t>
            </w:r>
            <w:r w:rsidRPr="00C32106">
              <w:rPr>
                <w:rFonts w:cs="Arial"/>
                <w:color w:val="000000"/>
                <w:sz w:val="16"/>
                <w:szCs w:val="16"/>
              </w:rPr>
              <w:t>6</w:t>
            </w:r>
          </w:p>
        </w:tc>
        <w:tc>
          <w:tcPr>
            <w:tcW w:w="1911" w:type="dxa"/>
            <w:vAlign w:val="bottom"/>
          </w:tcPr>
          <w:p w14:paraId="53002543" w14:textId="179D5DB6"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26</w:t>
            </w:r>
            <w:r w:rsidR="00203804">
              <w:rPr>
                <w:rFonts w:cs="Arial"/>
                <w:color w:val="000000"/>
                <w:sz w:val="16"/>
                <w:szCs w:val="16"/>
              </w:rPr>
              <w:t>.</w:t>
            </w:r>
            <w:r w:rsidRPr="00C32106">
              <w:rPr>
                <w:rFonts w:cs="Arial"/>
                <w:color w:val="000000"/>
                <w:sz w:val="16"/>
                <w:szCs w:val="16"/>
              </w:rPr>
              <w:t>4</w:t>
            </w:r>
          </w:p>
        </w:tc>
        <w:tc>
          <w:tcPr>
            <w:tcW w:w="1908" w:type="dxa"/>
            <w:vAlign w:val="bottom"/>
          </w:tcPr>
          <w:p w14:paraId="47A25B19" w14:textId="069067F5"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37</w:t>
            </w:r>
            <w:r w:rsidR="00203804">
              <w:rPr>
                <w:rFonts w:cs="Arial"/>
                <w:color w:val="000000"/>
                <w:sz w:val="16"/>
                <w:szCs w:val="16"/>
              </w:rPr>
              <w:t>.</w:t>
            </w:r>
            <w:r w:rsidRPr="00C32106">
              <w:rPr>
                <w:rFonts w:cs="Arial"/>
                <w:color w:val="000000"/>
                <w:sz w:val="16"/>
                <w:szCs w:val="16"/>
              </w:rPr>
              <w:t>6</w:t>
            </w:r>
          </w:p>
        </w:tc>
      </w:tr>
      <w:tr w:rsidR="00B1403F" w:rsidRPr="00C32106" w14:paraId="4DED8CE3" w14:textId="77777777" w:rsidTr="007B6403">
        <w:trPr>
          <w:jc w:val="center"/>
        </w:trPr>
        <w:tc>
          <w:tcPr>
            <w:tcW w:w="1560" w:type="dxa"/>
            <w:vMerge w:val="restart"/>
            <w:shd w:val="clear" w:color="auto" w:fill="F2F2F2" w:themeFill="background1" w:themeFillShade="F2"/>
            <w:vAlign w:val="center"/>
          </w:tcPr>
          <w:p w14:paraId="6839115A" w14:textId="2C6423AB" w:rsidR="00B1403F" w:rsidRPr="00C32106" w:rsidRDefault="00B1403F" w:rsidP="00B1403F">
            <w:pPr>
              <w:spacing w:before="80" w:after="80" w:line="228" w:lineRule="auto"/>
              <w:ind w:right="57"/>
              <w:jc w:val="both"/>
              <w:rPr>
                <w:rFonts w:cs="Arial"/>
                <w:color w:val="000000"/>
                <w:sz w:val="16"/>
                <w:szCs w:val="16"/>
              </w:rPr>
            </w:pPr>
            <w:r w:rsidRPr="00C32106">
              <w:rPr>
                <w:rFonts w:cs="Arial"/>
                <w:bCs/>
                <w:color w:val="000000"/>
                <w:sz w:val="16"/>
                <w:szCs w:val="16"/>
              </w:rPr>
              <w:t>Employment status</w:t>
            </w:r>
          </w:p>
        </w:tc>
        <w:tc>
          <w:tcPr>
            <w:tcW w:w="2578" w:type="dxa"/>
            <w:shd w:val="clear" w:color="auto" w:fill="F2F2F2" w:themeFill="background1" w:themeFillShade="F2"/>
            <w:vAlign w:val="bottom"/>
          </w:tcPr>
          <w:p w14:paraId="705B9584" w14:textId="71E83E97" w:rsidR="00B1403F" w:rsidRPr="00C32106" w:rsidRDefault="00B1403F" w:rsidP="00B1403F">
            <w:pPr>
              <w:spacing w:before="80" w:after="80" w:line="228" w:lineRule="auto"/>
              <w:jc w:val="both"/>
              <w:rPr>
                <w:rFonts w:cs="Arial"/>
                <w:color w:val="000000"/>
                <w:sz w:val="16"/>
                <w:szCs w:val="16"/>
              </w:rPr>
            </w:pPr>
            <w:r w:rsidRPr="00C32106">
              <w:rPr>
                <w:rFonts w:cs="Arial"/>
                <w:bCs/>
                <w:color w:val="000000"/>
                <w:sz w:val="16"/>
                <w:szCs w:val="16"/>
              </w:rPr>
              <w:t>Employed</w:t>
            </w:r>
          </w:p>
        </w:tc>
        <w:tc>
          <w:tcPr>
            <w:tcW w:w="1909" w:type="dxa"/>
            <w:shd w:val="clear" w:color="auto" w:fill="F2F2F2" w:themeFill="background1" w:themeFillShade="F2"/>
            <w:vAlign w:val="bottom"/>
          </w:tcPr>
          <w:p w14:paraId="0483D168" w14:textId="7017CBE2"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27</w:t>
            </w:r>
            <w:r w:rsidR="00203804">
              <w:rPr>
                <w:rFonts w:cs="Arial"/>
                <w:color w:val="000000"/>
                <w:sz w:val="16"/>
                <w:szCs w:val="16"/>
              </w:rPr>
              <w:t>.</w:t>
            </w:r>
            <w:r w:rsidRPr="00C32106">
              <w:rPr>
                <w:rFonts w:cs="Arial"/>
                <w:color w:val="000000"/>
                <w:sz w:val="16"/>
                <w:szCs w:val="16"/>
              </w:rPr>
              <w:t>0</w:t>
            </w:r>
          </w:p>
        </w:tc>
        <w:tc>
          <w:tcPr>
            <w:tcW w:w="1911" w:type="dxa"/>
            <w:shd w:val="clear" w:color="auto" w:fill="F2F2F2" w:themeFill="background1" w:themeFillShade="F2"/>
            <w:vAlign w:val="bottom"/>
          </w:tcPr>
          <w:p w14:paraId="50053E59" w14:textId="798680BC"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21</w:t>
            </w:r>
            <w:r w:rsidR="00203804">
              <w:rPr>
                <w:rFonts w:cs="Arial"/>
                <w:color w:val="000000"/>
                <w:sz w:val="16"/>
                <w:szCs w:val="16"/>
              </w:rPr>
              <w:t>.</w:t>
            </w:r>
            <w:r w:rsidRPr="00C32106">
              <w:rPr>
                <w:rFonts w:cs="Arial"/>
                <w:color w:val="000000"/>
                <w:sz w:val="16"/>
                <w:szCs w:val="16"/>
              </w:rPr>
              <w:t>9</w:t>
            </w:r>
          </w:p>
        </w:tc>
        <w:tc>
          <w:tcPr>
            <w:tcW w:w="1908" w:type="dxa"/>
            <w:shd w:val="clear" w:color="auto" w:fill="F2F2F2" w:themeFill="background1" w:themeFillShade="F2"/>
            <w:vAlign w:val="bottom"/>
          </w:tcPr>
          <w:p w14:paraId="7435C5AE" w14:textId="4A47B863"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33</w:t>
            </w:r>
            <w:r w:rsidR="00203804">
              <w:rPr>
                <w:rFonts w:cs="Arial"/>
                <w:color w:val="000000"/>
                <w:sz w:val="16"/>
                <w:szCs w:val="16"/>
              </w:rPr>
              <w:t>.</w:t>
            </w:r>
            <w:r w:rsidRPr="00C32106">
              <w:rPr>
                <w:rFonts w:cs="Arial"/>
                <w:color w:val="000000"/>
                <w:sz w:val="16"/>
                <w:szCs w:val="16"/>
              </w:rPr>
              <w:t>4</w:t>
            </w:r>
          </w:p>
        </w:tc>
      </w:tr>
      <w:tr w:rsidR="00B1403F" w:rsidRPr="00C32106" w14:paraId="7FE9330A" w14:textId="77777777" w:rsidTr="007B6403">
        <w:trPr>
          <w:jc w:val="center"/>
        </w:trPr>
        <w:tc>
          <w:tcPr>
            <w:tcW w:w="1560" w:type="dxa"/>
            <w:vMerge/>
            <w:shd w:val="clear" w:color="auto" w:fill="F2F2F2" w:themeFill="background1" w:themeFillShade="F2"/>
            <w:vAlign w:val="center"/>
          </w:tcPr>
          <w:p w14:paraId="2D42B0DD" w14:textId="77777777" w:rsidR="00B1403F" w:rsidRPr="00C32106" w:rsidRDefault="00B1403F" w:rsidP="00B1403F">
            <w:pPr>
              <w:spacing w:before="80" w:after="80" w:line="228" w:lineRule="auto"/>
              <w:ind w:right="57"/>
              <w:jc w:val="both"/>
              <w:rPr>
                <w:rFonts w:cs="Arial"/>
                <w:color w:val="000000"/>
                <w:sz w:val="16"/>
                <w:szCs w:val="16"/>
              </w:rPr>
            </w:pPr>
          </w:p>
        </w:tc>
        <w:tc>
          <w:tcPr>
            <w:tcW w:w="2578" w:type="dxa"/>
            <w:shd w:val="clear" w:color="auto" w:fill="F2F2F2" w:themeFill="background1" w:themeFillShade="F2"/>
            <w:vAlign w:val="bottom"/>
          </w:tcPr>
          <w:p w14:paraId="7287E44D" w14:textId="68C8B366" w:rsidR="00B1403F" w:rsidRPr="00C32106" w:rsidRDefault="00B1403F" w:rsidP="00B1403F">
            <w:pPr>
              <w:spacing w:before="80" w:after="80" w:line="228" w:lineRule="auto"/>
              <w:jc w:val="both"/>
              <w:rPr>
                <w:rFonts w:cs="Arial"/>
                <w:color w:val="000000"/>
                <w:sz w:val="16"/>
                <w:szCs w:val="16"/>
              </w:rPr>
            </w:pPr>
            <w:r w:rsidRPr="00C32106">
              <w:rPr>
                <w:rFonts w:cs="Arial"/>
                <w:bCs/>
                <w:color w:val="000000"/>
                <w:sz w:val="16"/>
                <w:szCs w:val="16"/>
              </w:rPr>
              <w:t>Unemployed</w:t>
            </w:r>
          </w:p>
        </w:tc>
        <w:tc>
          <w:tcPr>
            <w:tcW w:w="1909" w:type="dxa"/>
            <w:shd w:val="clear" w:color="auto" w:fill="F2F2F2" w:themeFill="background1" w:themeFillShade="F2"/>
            <w:vAlign w:val="bottom"/>
          </w:tcPr>
          <w:p w14:paraId="624E4BE4" w14:textId="1B6A71E2"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9</w:t>
            </w:r>
            <w:r w:rsidR="00203804">
              <w:rPr>
                <w:rFonts w:cs="Arial"/>
                <w:color w:val="000000"/>
                <w:sz w:val="16"/>
                <w:szCs w:val="16"/>
              </w:rPr>
              <w:t>.</w:t>
            </w:r>
            <w:r w:rsidRPr="00C32106">
              <w:rPr>
                <w:rFonts w:cs="Arial"/>
                <w:color w:val="000000"/>
                <w:sz w:val="16"/>
                <w:szCs w:val="16"/>
              </w:rPr>
              <w:t>5</w:t>
            </w:r>
          </w:p>
        </w:tc>
        <w:tc>
          <w:tcPr>
            <w:tcW w:w="1911" w:type="dxa"/>
            <w:shd w:val="clear" w:color="auto" w:fill="F2F2F2" w:themeFill="background1" w:themeFillShade="F2"/>
            <w:vAlign w:val="bottom"/>
          </w:tcPr>
          <w:p w14:paraId="70C255A6" w14:textId="52DD9F8B"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10</w:t>
            </w:r>
            <w:r w:rsidR="00203804">
              <w:rPr>
                <w:rFonts w:cs="Arial"/>
                <w:color w:val="000000"/>
                <w:sz w:val="16"/>
                <w:szCs w:val="16"/>
              </w:rPr>
              <w:t>.</w:t>
            </w:r>
            <w:r w:rsidRPr="00C32106">
              <w:rPr>
                <w:rFonts w:cs="Arial"/>
                <w:color w:val="000000"/>
                <w:sz w:val="16"/>
                <w:szCs w:val="16"/>
              </w:rPr>
              <w:t>2</w:t>
            </w:r>
          </w:p>
        </w:tc>
        <w:tc>
          <w:tcPr>
            <w:tcW w:w="1908" w:type="dxa"/>
            <w:shd w:val="clear" w:color="auto" w:fill="F2F2F2" w:themeFill="background1" w:themeFillShade="F2"/>
            <w:vAlign w:val="bottom"/>
          </w:tcPr>
          <w:p w14:paraId="6A5CA9C1" w14:textId="4882BFE7"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9</w:t>
            </w:r>
            <w:r w:rsidR="00203804">
              <w:rPr>
                <w:rFonts w:cs="Arial"/>
                <w:color w:val="000000"/>
                <w:sz w:val="16"/>
                <w:szCs w:val="16"/>
              </w:rPr>
              <w:t>.</w:t>
            </w:r>
            <w:r w:rsidRPr="00C32106">
              <w:rPr>
                <w:rFonts w:cs="Arial"/>
                <w:color w:val="000000"/>
                <w:sz w:val="16"/>
                <w:szCs w:val="16"/>
              </w:rPr>
              <w:t>0</w:t>
            </w:r>
          </w:p>
        </w:tc>
      </w:tr>
      <w:tr w:rsidR="00B1403F" w:rsidRPr="00C32106" w14:paraId="5745397E" w14:textId="77777777" w:rsidTr="007B6403">
        <w:trPr>
          <w:jc w:val="center"/>
        </w:trPr>
        <w:tc>
          <w:tcPr>
            <w:tcW w:w="1560" w:type="dxa"/>
            <w:vMerge/>
            <w:shd w:val="clear" w:color="auto" w:fill="F2F2F2" w:themeFill="background1" w:themeFillShade="F2"/>
            <w:vAlign w:val="center"/>
          </w:tcPr>
          <w:p w14:paraId="30581659" w14:textId="77777777" w:rsidR="00B1403F" w:rsidRPr="00C32106" w:rsidRDefault="00B1403F" w:rsidP="00B1403F">
            <w:pPr>
              <w:spacing w:before="80" w:after="80" w:line="228" w:lineRule="auto"/>
              <w:ind w:right="57"/>
              <w:jc w:val="both"/>
              <w:rPr>
                <w:rFonts w:cs="Arial"/>
                <w:color w:val="000000"/>
                <w:sz w:val="16"/>
                <w:szCs w:val="16"/>
              </w:rPr>
            </w:pPr>
          </w:p>
        </w:tc>
        <w:tc>
          <w:tcPr>
            <w:tcW w:w="2578" w:type="dxa"/>
            <w:shd w:val="clear" w:color="auto" w:fill="F2F2F2" w:themeFill="background1" w:themeFillShade="F2"/>
            <w:vAlign w:val="bottom"/>
          </w:tcPr>
          <w:p w14:paraId="3E5E16CB" w14:textId="252B4E72" w:rsidR="00B1403F" w:rsidRPr="00C32106" w:rsidRDefault="00B1403F" w:rsidP="00B1403F">
            <w:pPr>
              <w:spacing w:before="80" w:after="80" w:line="228" w:lineRule="auto"/>
              <w:jc w:val="both"/>
              <w:rPr>
                <w:rFonts w:cs="Arial"/>
                <w:color w:val="000000"/>
                <w:sz w:val="16"/>
                <w:szCs w:val="16"/>
              </w:rPr>
            </w:pPr>
            <w:r w:rsidRPr="00C32106">
              <w:rPr>
                <w:rFonts w:cs="Arial"/>
                <w:bCs/>
                <w:color w:val="000000"/>
                <w:sz w:val="16"/>
                <w:szCs w:val="16"/>
              </w:rPr>
              <w:t>Inactive</w:t>
            </w:r>
          </w:p>
        </w:tc>
        <w:tc>
          <w:tcPr>
            <w:tcW w:w="1909" w:type="dxa"/>
            <w:shd w:val="clear" w:color="auto" w:fill="F2F2F2" w:themeFill="background1" w:themeFillShade="F2"/>
            <w:vAlign w:val="bottom"/>
          </w:tcPr>
          <w:p w14:paraId="3A9D4802" w14:textId="7C39079B"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4</w:t>
            </w:r>
            <w:r w:rsidR="00203804">
              <w:rPr>
                <w:rFonts w:cs="Arial"/>
                <w:color w:val="000000"/>
                <w:sz w:val="16"/>
                <w:szCs w:val="16"/>
              </w:rPr>
              <w:t>.</w:t>
            </w:r>
            <w:r w:rsidRPr="00C32106">
              <w:rPr>
                <w:rFonts w:cs="Arial"/>
                <w:color w:val="000000"/>
                <w:sz w:val="16"/>
                <w:szCs w:val="16"/>
              </w:rPr>
              <w:t>3</w:t>
            </w:r>
          </w:p>
        </w:tc>
        <w:tc>
          <w:tcPr>
            <w:tcW w:w="1911" w:type="dxa"/>
            <w:shd w:val="clear" w:color="auto" w:fill="F2F2F2" w:themeFill="background1" w:themeFillShade="F2"/>
            <w:vAlign w:val="bottom"/>
          </w:tcPr>
          <w:p w14:paraId="3EE03B89" w14:textId="30E8C62B"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5</w:t>
            </w:r>
            <w:r w:rsidR="00203804">
              <w:rPr>
                <w:rFonts w:cs="Arial"/>
                <w:color w:val="000000"/>
                <w:sz w:val="16"/>
                <w:szCs w:val="16"/>
              </w:rPr>
              <w:t>.</w:t>
            </w:r>
            <w:r w:rsidRPr="00C32106">
              <w:rPr>
                <w:rFonts w:cs="Arial"/>
                <w:color w:val="000000"/>
                <w:sz w:val="16"/>
                <w:szCs w:val="16"/>
              </w:rPr>
              <w:t>1</w:t>
            </w:r>
          </w:p>
        </w:tc>
        <w:tc>
          <w:tcPr>
            <w:tcW w:w="1908" w:type="dxa"/>
            <w:shd w:val="clear" w:color="auto" w:fill="F2F2F2" w:themeFill="background1" w:themeFillShade="F2"/>
            <w:vAlign w:val="bottom"/>
          </w:tcPr>
          <w:p w14:paraId="3B58C332" w14:textId="45B07E05" w:rsidR="00B1403F" w:rsidRPr="00C32106" w:rsidRDefault="00B1403F" w:rsidP="00B1403F">
            <w:pPr>
              <w:spacing w:before="80" w:after="80" w:line="228" w:lineRule="auto"/>
              <w:ind w:right="170"/>
              <w:jc w:val="right"/>
              <w:rPr>
                <w:rFonts w:cs="Arial"/>
                <w:color w:val="000000"/>
                <w:sz w:val="16"/>
                <w:szCs w:val="16"/>
              </w:rPr>
            </w:pPr>
            <w:r w:rsidRPr="00C32106">
              <w:rPr>
                <w:rFonts w:cs="Arial"/>
                <w:color w:val="000000"/>
                <w:sz w:val="16"/>
                <w:szCs w:val="16"/>
              </w:rPr>
              <w:t>3</w:t>
            </w:r>
            <w:r w:rsidR="00203804">
              <w:rPr>
                <w:rFonts w:cs="Arial"/>
                <w:color w:val="000000"/>
                <w:sz w:val="16"/>
                <w:szCs w:val="16"/>
              </w:rPr>
              <w:t>.</w:t>
            </w:r>
            <w:r w:rsidRPr="00C32106">
              <w:rPr>
                <w:rFonts w:cs="Arial"/>
                <w:color w:val="000000"/>
                <w:sz w:val="16"/>
                <w:szCs w:val="16"/>
              </w:rPr>
              <w:t>8</w:t>
            </w:r>
          </w:p>
        </w:tc>
      </w:tr>
    </w:tbl>
    <w:p w14:paraId="7A4AE45F" w14:textId="0FB59015" w:rsidR="00084C6C" w:rsidRPr="00C32106" w:rsidRDefault="006C0A48" w:rsidP="00EE06BE">
      <w:pPr>
        <w:spacing w:before="320" w:after="120"/>
        <w:jc w:val="both"/>
      </w:pPr>
      <w:r>
        <w:t>Near</w:t>
      </w:r>
      <w:r w:rsidR="00084C6C" w:rsidRPr="00C32106">
        <w:t xml:space="preserve">ly 80% of respondents did not participate in any form of formal or </w:t>
      </w:r>
      <w:r w:rsidR="006C1C63">
        <w:t>non-</w:t>
      </w:r>
      <w:r w:rsidR="00084C6C" w:rsidRPr="00C32106">
        <w:t>formal education. Almost two-fifths of respondents (39.6%) wanted to participate in some form of education, but were prevented primarily due to family reasons, training schedule, i.e. overlapping with working hours, trainings hold in remote places, as well as education/training costs (graph 1).</w:t>
      </w:r>
    </w:p>
    <w:p w14:paraId="5A1DB6C0" w14:textId="1915AB1A" w:rsidR="00084C6C" w:rsidRPr="00C32106" w:rsidRDefault="00084C6C" w:rsidP="00EE06BE">
      <w:pPr>
        <w:spacing w:before="320" w:after="60"/>
        <w:rPr>
          <w:b/>
          <w:sz w:val="18"/>
          <w:szCs w:val="18"/>
        </w:rPr>
      </w:pPr>
      <w:r w:rsidRPr="00C32106">
        <w:rPr>
          <w:rFonts w:cs="Arial"/>
          <w:b/>
          <w:sz w:val="18"/>
          <w:szCs w:val="18"/>
        </w:rPr>
        <w:t xml:space="preserve">Graph 1. </w:t>
      </w:r>
      <w:r w:rsidRPr="00C32106">
        <w:rPr>
          <w:b/>
          <w:sz w:val="18"/>
          <w:szCs w:val="18"/>
        </w:rPr>
        <w:t xml:space="preserve">Reasons for not participating in formal or </w:t>
      </w:r>
      <w:r w:rsidR="006C1C63">
        <w:rPr>
          <w:b/>
          <w:sz w:val="18"/>
          <w:szCs w:val="18"/>
        </w:rPr>
        <w:t>non-</w:t>
      </w:r>
      <w:r w:rsidRPr="00C32106">
        <w:rPr>
          <w:b/>
          <w:sz w:val="18"/>
          <w:szCs w:val="18"/>
        </w:rPr>
        <w:t>formal education/training (</w:t>
      </w:r>
      <w:proofErr w:type="gramStart"/>
      <w:r w:rsidRPr="00C32106">
        <w:rPr>
          <w:b/>
          <w:sz w:val="18"/>
          <w:szCs w:val="18"/>
        </w:rPr>
        <w:t>%</w:t>
      </w:r>
      <w:proofErr w:type="gramEnd"/>
      <w:r w:rsidRPr="00C32106">
        <w:rPr>
          <w:b/>
          <w:sz w:val="18"/>
          <w:szCs w:val="18"/>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55"/>
      </w:tblGrid>
      <w:tr w:rsidR="00084C6C" w:rsidRPr="00C32106" w14:paraId="4EF56F18" w14:textId="77777777" w:rsidTr="007849B7">
        <w:tc>
          <w:tcPr>
            <w:tcW w:w="9855" w:type="dxa"/>
            <w:vAlign w:val="center"/>
          </w:tcPr>
          <w:p w14:paraId="7DE4D612" w14:textId="168EF5CC" w:rsidR="00084C6C" w:rsidRPr="00C32106" w:rsidRDefault="00A13886" w:rsidP="007849B7">
            <w:pPr>
              <w:spacing w:before="120" w:after="120"/>
              <w:jc w:val="center"/>
              <w:rPr>
                <w:rFonts w:cs="Arial"/>
                <w:b/>
                <w:sz w:val="18"/>
                <w:szCs w:val="18"/>
              </w:rPr>
            </w:pPr>
            <w:r w:rsidRPr="00A13886">
              <w:rPr>
                <w:rFonts w:cs="Arial"/>
                <w:b/>
                <w:noProof/>
                <w:sz w:val="18"/>
                <w:szCs w:val="18"/>
                <w:lang w:val="en-US"/>
              </w:rPr>
              <w:drawing>
                <wp:inline distT="0" distB="0" distL="0" distR="0" wp14:anchorId="734D3F24" wp14:editId="757C2CDB">
                  <wp:extent cx="5391150" cy="2943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943225"/>
                          </a:xfrm>
                          <a:prstGeom prst="rect">
                            <a:avLst/>
                          </a:prstGeom>
                          <a:noFill/>
                          <a:ln>
                            <a:noFill/>
                          </a:ln>
                        </pic:spPr>
                      </pic:pic>
                    </a:graphicData>
                  </a:graphic>
                </wp:inline>
              </w:drawing>
            </w:r>
          </w:p>
        </w:tc>
      </w:tr>
    </w:tbl>
    <w:p w14:paraId="63689DFD" w14:textId="0B9F383F" w:rsidR="00084C6C" w:rsidRPr="00C32106" w:rsidRDefault="00084C6C" w:rsidP="00EE06BE">
      <w:pPr>
        <w:spacing w:before="320" w:after="120"/>
        <w:jc w:val="both"/>
      </w:pPr>
      <w:r w:rsidRPr="00C32106">
        <w:t>Most of the respondents participated in some form of</w:t>
      </w:r>
      <w:r w:rsidR="006C1C63">
        <w:t xml:space="preserve"> i</w:t>
      </w:r>
      <w:r w:rsidRPr="00C32106">
        <w:t xml:space="preserve">nformal learning. About three quarters of them acquire new knowledge by using a computer (75.9%). 63.2% learn from family members, </w:t>
      </w:r>
      <w:proofErr w:type="gramStart"/>
      <w:r w:rsidRPr="00C32106">
        <w:t>friends</w:t>
      </w:r>
      <w:proofErr w:type="gramEnd"/>
      <w:r w:rsidRPr="00C32106">
        <w:t xml:space="preserve"> or colleagues. To a considerable extent (60.7%) the respondents also learn from printed materials (books, professional magazines, etc.), and to the smallest extent by visiting museums, libraries, learning </w:t>
      </w:r>
      <w:r w:rsidR="005104DA" w:rsidRPr="00C32106">
        <w:t>centres</w:t>
      </w:r>
      <w:r w:rsidRPr="00C32106">
        <w:t>, etc. (graph 2).</w:t>
      </w:r>
    </w:p>
    <w:p w14:paraId="49AA5E30" w14:textId="77777777" w:rsidR="00EE06BE" w:rsidRDefault="00EE06BE">
      <w:pPr>
        <w:rPr>
          <w:rFonts w:cs="Arial"/>
          <w:b/>
          <w:sz w:val="18"/>
          <w:szCs w:val="18"/>
        </w:rPr>
      </w:pPr>
      <w:r>
        <w:rPr>
          <w:rFonts w:cs="Arial"/>
          <w:b/>
          <w:sz w:val="18"/>
          <w:szCs w:val="18"/>
        </w:rPr>
        <w:br w:type="page"/>
      </w:r>
    </w:p>
    <w:p w14:paraId="5A954736" w14:textId="08C005C7" w:rsidR="00084C6C" w:rsidRPr="00C32106" w:rsidRDefault="00084C6C" w:rsidP="00203804">
      <w:pPr>
        <w:spacing w:before="320" w:after="60"/>
        <w:rPr>
          <w:b/>
          <w:sz w:val="18"/>
          <w:szCs w:val="18"/>
        </w:rPr>
      </w:pPr>
      <w:r w:rsidRPr="00C32106">
        <w:rPr>
          <w:rFonts w:cs="Arial"/>
          <w:b/>
          <w:sz w:val="18"/>
          <w:szCs w:val="18"/>
        </w:rPr>
        <w:lastRenderedPageBreak/>
        <w:t xml:space="preserve">Graph. 2. </w:t>
      </w:r>
      <w:r w:rsidRPr="00C32106">
        <w:rPr>
          <w:b/>
          <w:sz w:val="18"/>
          <w:szCs w:val="18"/>
        </w:rPr>
        <w:t>Methods of informal learning (</w:t>
      </w:r>
      <w:proofErr w:type="gramStart"/>
      <w:r w:rsidRPr="00C32106">
        <w:rPr>
          <w:b/>
          <w:sz w:val="18"/>
          <w:szCs w:val="18"/>
        </w:rPr>
        <w:t>%</w:t>
      </w:r>
      <w:proofErr w:type="gramEnd"/>
      <w:r w:rsidRPr="00C32106">
        <w:rPr>
          <w:b/>
          <w:sz w:val="18"/>
          <w:szCs w:val="18"/>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55"/>
      </w:tblGrid>
      <w:tr w:rsidR="00084C6C" w:rsidRPr="00C32106" w14:paraId="3A2ADE7C" w14:textId="77777777" w:rsidTr="007849B7">
        <w:tc>
          <w:tcPr>
            <w:tcW w:w="9855" w:type="dxa"/>
            <w:vAlign w:val="center"/>
          </w:tcPr>
          <w:p w14:paraId="26EF01F5" w14:textId="4989C40B" w:rsidR="00084C6C" w:rsidRPr="00EE06BE" w:rsidRDefault="00EE06BE" w:rsidP="007849B7">
            <w:pPr>
              <w:spacing w:before="120" w:after="120"/>
              <w:jc w:val="center"/>
              <w:rPr>
                <w:rFonts w:cs="Arial"/>
                <w:b/>
                <w:sz w:val="18"/>
                <w:szCs w:val="18"/>
              </w:rPr>
            </w:pPr>
            <w:r w:rsidRPr="00C32106">
              <w:rPr>
                <w:rFonts w:cs="Arial"/>
                <w:b/>
                <w:noProof/>
                <w:sz w:val="18"/>
                <w:szCs w:val="18"/>
                <w:lang w:val="en-US"/>
              </w:rPr>
              <w:drawing>
                <wp:inline distT="0" distB="0" distL="0" distR="0" wp14:anchorId="4532B6FB" wp14:editId="45A2A4FB">
                  <wp:extent cx="5391150"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14:paraId="7D173155" w14:textId="7AF1FB43" w:rsidR="00A95627" w:rsidRPr="00C32106" w:rsidRDefault="00A95627" w:rsidP="00203804">
      <w:pPr>
        <w:spacing w:before="320" w:after="120"/>
        <w:jc w:val="both"/>
        <w:rPr>
          <w:rFonts w:cs="Arial"/>
        </w:rPr>
      </w:pPr>
      <w:r w:rsidRPr="00C32106">
        <w:rPr>
          <w:rFonts w:cs="Arial"/>
        </w:rPr>
        <w:t>The survey on adult education is one of the few surveys that also provides data on knowledge of foreign languages.</w:t>
      </w:r>
    </w:p>
    <w:p w14:paraId="74BD331C" w14:textId="64271080" w:rsidR="00A95627" w:rsidRPr="00C32106" w:rsidRDefault="00A95627" w:rsidP="00203804">
      <w:pPr>
        <w:spacing w:before="120" w:after="120"/>
        <w:jc w:val="both"/>
        <w:rPr>
          <w:rFonts w:cs="Arial"/>
        </w:rPr>
      </w:pPr>
      <w:r w:rsidRPr="00C32106">
        <w:rPr>
          <w:rFonts w:cs="Arial"/>
        </w:rPr>
        <w:t xml:space="preserve">According to self-evaluation, 87% of </w:t>
      </w:r>
      <w:proofErr w:type="gramStart"/>
      <w:r w:rsidRPr="00C32106">
        <w:rPr>
          <w:rFonts w:cs="Arial"/>
        </w:rPr>
        <w:t>respondents</w:t>
      </w:r>
      <w:proofErr w:type="gramEnd"/>
      <w:r w:rsidRPr="00C32106">
        <w:rPr>
          <w:rFonts w:cs="Arial"/>
        </w:rPr>
        <w:t xml:space="preserve"> aged 18–69 speak one foreign language, about 60% use two languages, while about 42% of respondents can communicate in three or more foreign languages. Most respondents use English, followed by Russian, German, </w:t>
      </w:r>
      <w:proofErr w:type="gramStart"/>
      <w:r w:rsidRPr="00C32106">
        <w:rPr>
          <w:rFonts w:cs="Arial"/>
        </w:rPr>
        <w:t>French</w:t>
      </w:r>
      <w:proofErr w:type="gramEnd"/>
      <w:r w:rsidRPr="00C32106">
        <w:rPr>
          <w:rFonts w:cs="Arial"/>
        </w:rPr>
        <w:t xml:space="preserve"> and Hungarian (Graph 3).</w:t>
      </w:r>
    </w:p>
    <w:p w14:paraId="59986386" w14:textId="0BFC371D" w:rsidR="00A95627" w:rsidRPr="00C32106" w:rsidRDefault="00A95627" w:rsidP="00203804">
      <w:pPr>
        <w:spacing w:before="320" w:after="60"/>
        <w:rPr>
          <w:rFonts w:cs="Arial"/>
          <w:b/>
          <w:sz w:val="18"/>
          <w:szCs w:val="18"/>
        </w:rPr>
      </w:pPr>
      <w:r w:rsidRPr="00C32106">
        <w:rPr>
          <w:b/>
          <w:sz w:val="18"/>
          <w:szCs w:val="18"/>
        </w:rPr>
        <w:t>Graph 3. Self-assessment of foreign languages knowledge</w:t>
      </w:r>
      <w:r w:rsidRPr="00C32106">
        <w:rPr>
          <w:rFonts w:cs="Arial"/>
          <w:b/>
          <w:sz w:val="18"/>
          <w:szCs w:val="18"/>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55"/>
      </w:tblGrid>
      <w:tr w:rsidR="00A95627" w:rsidRPr="00C32106" w14:paraId="13D6C693" w14:textId="77777777" w:rsidTr="007849B7">
        <w:tc>
          <w:tcPr>
            <w:tcW w:w="9855" w:type="dxa"/>
            <w:vAlign w:val="center"/>
          </w:tcPr>
          <w:p w14:paraId="462EFE18" w14:textId="6E103E90" w:rsidR="00A95627" w:rsidRPr="00C32106" w:rsidRDefault="00EE06BE" w:rsidP="007849B7">
            <w:pPr>
              <w:spacing w:before="120" w:after="120"/>
              <w:jc w:val="center"/>
              <w:rPr>
                <w:rFonts w:cs="Arial"/>
                <w:b/>
                <w:sz w:val="18"/>
                <w:szCs w:val="18"/>
              </w:rPr>
            </w:pPr>
            <w:r w:rsidRPr="00EE06BE">
              <w:rPr>
                <w:rFonts w:cs="Arial"/>
                <w:b/>
                <w:noProof/>
                <w:sz w:val="18"/>
                <w:szCs w:val="18"/>
                <w:lang w:val="en-US"/>
              </w:rPr>
              <w:drawing>
                <wp:inline distT="0" distB="0" distL="0" distR="0" wp14:anchorId="05E3F3D6" wp14:editId="150DFBA9">
                  <wp:extent cx="5391150" cy="2867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14:paraId="063CAA23" w14:textId="4F64A154" w:rsidR="00A95627" w:rsidRPr="00C32106" w:rsidRDefault="00A95627" w:rsidP="00EE06BE">
      <w:pPr>
        <w:spacing w:before="320" w:after="120"/>
        <w:jc w:val="both"/>
        <w:rPr>
          <w:rFonts w:cs="Arial"/>
          <w:bCs/>
          <w:sz w:val="16"/>
          <w:szCs w:val="16"/>
        </w:rPr>
      </w:pPr>
      <w:r w:rsidRPr="00C32106">
        <w:rPr>
          <w:rFonts w:cs="Arial"/>
          <w:b/>
          <w:sz w:val="16"/>
          <w:szCs w:val="16"/>
        </w:rPr>
        <w:t xml:space="preserve">Note: </w:t>
      </w:r>
      <w:r w:rsidRPr="00C32106">
        <w:rPr>
          <w:rFonts w:cs="Arial"/>
          <w:bCs/>
          <w:sz w:val="16"/>
          <w:szCs w:val="16"/>
        </w:rPr>
        <w:t xml:space="preserve">According to the official AES methodology, the respondent assesses the own knowledge of foreign languages, and foreign languages </w:t>
      </w:r>
      <w:proofErr w:type="gramStart"/>
      <w:r w:rsidRPr="00C32106">
        <w:rPr>
          <w:rFonts w:cs="Arial"/>
          <w:bCs/>
          <w:sz w:val="16"/>
          <w:szCs w:val="16"/>
        </w:rPr>
        <w:t>are also</w:t>
      </w:r>
      <w:proofErr w:type="gramEnd"/>
      <w:r w:rsidRPr="00C32106">
        <w:rPr>
          <w:rFonts w:cs="Arial"/>
          <w:bCs/>
          <w:sz w:val="16"/>
          <w:szCs w:val="16"/>
        </w:rPr>
        <w:t xml:space="preserve"> considered to be the languages of the peoples of the former Yugoslavia.</w:t>
      </w:r>
    </w:p>
    <w:p w14:paraId="239A6445" w14:textId="77777777" w:rsidR="00EE06BE" w:rsidRDefault="00EE06BE">
      <w:pPr>
        <w:rPr>
          <w:b/>
          <w:sz w:val="22"/>
          <w:szCs w:val="22"/>
        </w:rPr>
      </w:pPr>
      <w:r>
        <w:rPr>
          <w:b/>
          <w:sz w:val="22"/>
          <w:szCs w:val="22"/>
        </w:rPr>
        <w:br w:type="page"/>
      </w:r>
    </w:p>
    <w:p w14:paraId="6CA1A902" w14:textId="1FABF9C9" w:rsidR="00AC2005" w:rsidRPr="00C32106" w:rsidRDefault="002700BC" w:rsidP="0024382A">
      <w:pPr>
        <w:autoSpaceDE w:val="0"/>
        <w:autoSpaceDN w:val="0"/>
        <w:adjustRightInd w:val="0"/>
        <w:spacing w:before="1080" w:after="360"/>
        <w:ind w:firstLine="397"/>
        <w:jc w:val="center"/>
        <w:rPr>
          <w:b/>
          <w:sz w:val="22"/>
          <w:szCs w:val="22"/>
        </w:rPr>
      </w:pPr>
      <w:r w:rsidRPr="00C32106">
        <w:rPr>
          <w:b/>
          <w:sz w:val="22"/>
          <w:szCs w:val="22"/>
        </w:rPr>
        <w:lastRenderedPageBreak/>
        <w:t>Methodological explanations</w:t>
      </w:r>
      <w:r w:rsidR="00986CDD" w:rsidRPr="00C32106">
        <w:rPr>
          <w:b/>
          <w:sz w:val="22"/>
          <w:szCs w:val="22"/>
        </w:rPr>
        <w:t xml:space="preserve"> </w:t>
      </w:r>
    </w:p>
    <w:p w14:paraId="714DC80A" w14:textId="0CDEB356" w:rsidR="000354D0" w:rsidRPr="00C32106" w:rsidRDefault="000354D0" w:rsidP="00EE06BE">
      <w:pPr>
        <w:spacing w:before="120" w:after="120"/>
        <w:jc w:val="both"/>
        <w:rPr>
          <w:rFonts w:cs="Calibri"/>
          <w:szCs w:val="20"/>
        </w:rPr>
      </w:pPr>
      <w:r w:rsidRPr="00C32106">
        <w:rPr>
          <w:rFonts w:cs="Calibri"/>
          <w:szCs w:val="20"/>
        </w:rPr>
        <w:t xml:space="preserve">The </w:t>
      </w:r>
      <w:r w:rsidR="006C1C63">
        <w:rPr>
          <w:rFonts w:cs="Calibri"/>
          <w:szCs w:val="20"/>
        </w:rPr>
        <w:t>Adult Education Survey</w:t>
      </w:r>
      <w:r w:rsidRPr="00C32106">
        <w:rPr>
          <w:rFonts w:cs="Calibri"/>
          <w:szCs w:val="20"/>
        </w:rPr>
        <w:t xml:space="preserve"> is conducted in accordance with the standards and regulations of European Statistical Office (Eurostat): </w:t>
      </w:r>
      <w:r w:rsidRPr="00C32106">
        <w:t>EU REGULATION 452/2008, 2019/1700</w:t>
      </w:r>
      <w:proofErr w:type="gramStart"/>
      <w:r w:rsidRPr="00C32106">
        <w:t>,2021</w:t>
      </w:r>
      <w:proofErr w:type="gramEnd"/>
      <w:r w:rsidRPr="00C32106">
        <w:t>/861</w:t>
      </w:r>
      <w:r w:rsidRPr="00C32106">
        <w:rPr>
          <w:rFonts w:cs="Calibri"/>
          <w:szCs w:val="20"/>
        </w:rPr>
        <w:t xml:space="preserve"> when it relates to methodology, organization, sampling procedure, questionnaire design and definitions of lifelong learning and training. Harmonization of methodologies, </w:t>
      </w:r>
      <w:proofErr w:type="gramStart"/>
      <w:r w:rsidRPr="00C32106">
        <w:rPr>
          <w:rFonts w:cs="Calibri"/>
          <w:szCs w:val="20"/>
        </w:rPr>
        <w:t>definitions</w:t>
      </w:r>
      <w:proofErr w:type="gramEnd"/>
      <w:r w:rsidRPr="00C32106">
        <w:rPr>
          <w:rFonts w:cs="Calibri"/>
          <w:szCs w:val="20"/>
        </w:rPr>
        <w:t xml:space="preserve"> and classifications with international standards allows comparison of the great number of data obtained from the </w:t>
      </w:r>
      <w:r w:rsidR="00001B43">
        <w:rPr>
          <w:rFonts w:cs="Calibri"/>
          <w:szCs w:val="20"/>
        </w:rPr>
        <w:t>s</w:t>
      </w:r>
      <w:r w:rsidRPr="00C32106">
        <w:rPr>
          <w:rFonts w:cs="Calibri"/>
          <w:szCs w:val="20"/>
        </w:rPr>
        <w:t xml:space="preserve">urvey with equivalent data from other countries, particularly European. The survey is conducted in our country in 2011 for the first time, as pilot </w:t>
      </w:r>
      <w:r w:rsidR="00001B43">
        <w:rPr>
          <w:rFonts w:cs="Calibri"/>
          <w:szCs w:val="20"/>
        </w:rPr>
        <w:t>s</w:t>
      </w:r>
      <w:r w:rsidRPr="00C32106">
        <w:rPr>
          <w:rFonts w:cs="Calibri"/>
          <w:szCs w:val="20"/>
        </w:rPr>
        <w:t xml:space="preserve">urvey, financed from IPA funds and from </w:t>
      </w:r>
      <w:proofErr w:type="gramStart"/>
      <w:r w:rsidRPr="00C32106">
        <w:rPr>
          <w:rFonts w:cs="Calibri"/>
          <w:szCs w:val="20"/>
        </w:rPr>
        <w:t>2016</w:t>
      </w:r>
      <w:proofErr w:type="gramEnd"/>
      <w:r w:rsidRPr="00C32106">
        <w:rPr>
          <w:rFonts w:cs="Calibri"/>
          <w:szCs w:val="20"/>
        </w:rPr>
        <w:t xml:space="preserve"> it is regularly conducted according to periodicity, determined in EU regulations.</w:t>
      </w:r>
    </w:p>
    <w:p w14:paraId="10DDAD49" w14:textId="16922162" w:rsidR="00AC2005" w:rsidRPr="00C32106" w:rsidRDefault="002700BC" w:rsidP="00EE06BE">
      <w:pPr>
        <w:spacing w:before="120" w:after="120"/>
        <w:jc w:val="both"/>
        <w:rPr>
          <w:rFonts w:cs="Calibri"/>
          <w:color w:val="FF0000"/>
          <w:szCs w:val="20"/>
        </w:rPr>
      </w:pPr>
      <w:r w:rsidRPr="00C32106">
        <w:rPr>
          <w:rFonts w:cs="Arial"/>
          <w:b/>
          <w:bCs/>
          <w:szCs w:val="20"/>
        </w:rPr>
        <w:t>Aim</w:t>
      </w:r>
      <w:r w:rsidR="00AC2005" w:rsidRPr="00C32106">
        <w:rPr>
          <w:rFonts w:cs="Arial"/>
          <w:szCs w:val="20"/>
        </w:rPr>
        <w:t xml:space="preserve"> </w:t>
      </w:r>
      <w:r w:rsidRPr="00C32106">
        <w:rPr>
          <w:rFonts w:cs="Arial"/>
          <w:szCs w:val="20"/>
        </w:rPr>
        <w:t xml:space="preserve">of the </w:t>
      </w:r>
      <w:r w:rsidR="00147DEF" w:rsidRPr="00C32106">
        <w:rPr>
          <w:rFonts w:cs="Arial"/>
          <w:szCs w:val="20"/>
        </w:rPr>
        <w:t>Adult</w:t>
      </w:r>
      <w:r w:rsidRPr="00C32106">
        <w:rPr>
          <w:rFonts w:cs="Arial"/>
          <w:szCs w:val="20"/>
        </w:rPr>
        <w:t xml:space="preserve"> </w:t>
      </w:r>
      <w:r w:rsidR="006C1C63">
        <w:rPr>
          <w:rFonts w:cs="Arial"/>
          <w:szCs w:val="20"/>
        </w:rPr>
        <w:t>E</w:t>
      </w:r>
      <w:r w:rsidRPr="00C32106">
        <w:rPr>
          <w:rFonts w:cs="Arial"/>
          <w:szCs w:val="20"/>
        </w:rPr>
        <w:t xml:space="preserve">ducation </w:t>
      </w:r>
      <w:r w:rsidR="006C1C63">
        <w:rPr>
          <w:rFonts w:cs="Arial"/>
          <w:szCs w:val="20"/>
        </w:rPr>
        <w:t>S</w:t>
      </w:r>
      <w:r w:rsidRPr="00C32106">
        <w:rPr>
          <w:rFonts w:cs="Arial"/>
          <w:szCs w:val="20"/>
        </w:rPr>
        <w:t xml:space="preserve">urvey is collecting the data on </w:t>
      </w:r>
      <w:r w:rsidR="00FC6E9D" w:rsidRPr="00C32106">
        <w:rPr>
          <w:rFonts w:cs="Arial"/>
          <w:szCs w:val="20"/>
        </w:rPr>
        <w:t>participation</w:t>
      </w:r>
      <w:r w:rsidRPr="00C32106">
        <w:rPr>
          <w:rFonts w:cs="Arial"/>
          <w:szCs w:val="20"/>
        </w:rPr>
        <w:t xml:space="preserve"> of adults (aged 25-6</w:t>
      </w:r>
      <w:r w:rsidR="006C1C63">
        <w:rPr>
          <w:rFonts w:cs="Arial"/>
          <w:szCs w:val="20"/>
        </w:rPr>
        <w:t>9</w:t>
      </w:r>
      <w:r w:rsidRPr="00C32106">
        <w:rPr>
          <w:rFonts w:cs="Arial"/>
          <w:szCs w:val="20"/>
        </w:rPr>
        <w:t xml:space="preserve">) in education and trainings (formal and </w:t>
      </w:r>
      <w:r w:rsidR="006C1C63">
        <w:rPr>
          <w:rFonts w:cs="Arial"/>
          <w:szCs w:val="20"/>
        </w:rPr>
        <w:t>non-</w:t>
      </w:r>
      <w:r w:rsidRPr="00C32106">
        <w:rPr>
          <w:rFonts w:cs="Arial"/>
          <w:szCs w:val="20"/>
        </w:rPr>
        <w:t xml:space="preserve">formal education, as well as informal learning). Conducting of the survey is of particular importance, knowing that it </w:t>
      </w:r>
      <w:proofErr w:type="gramStart"/>
      <w:r w:rsidRPr="00C32106">
        <w:rPr>
          <w:rFonts w:cs="Arial"/>
          <w:szCs w:val="20"/>
        </w:rPr>
        <w:t>is based</w:t>
      </w:r>
      <w:proofErr w:type="gramEnd"/>
      <w:r w:rsidRPr="00C32106">
        <w:rPr>
          <w:rFonts w:cs="Arial"/>
          <w:szCs w:val="20"/>
        </w:rPr>
        <w:t xml:space="preserve"> on standardized methodology for all EU member states and </w:t>
      </w:r>
      <w:r w:rsidR="00DB16DA" w:rsidRPr="00C32106">
        <w:rPr>
          <w:rFonts w:cs="Arial"/>
          <w:szCs w:val="20"/>
        </w:rPr>
        <w:t xml:space="preserve">internationally comparable data are provided. </w:t>
      </w:r>
      <w:r w:rsidRPr="00C32106">
        <w:rPr>
          <w:rFonts w:cs="Arial"/>
          <w:szCs w:val="20"/>
        </w:rPr>
        <w:t xml:space="preserve"> </w:t>
      </w:r>
      <w:r w:rsidR="00AC2005" w:rsidRPr="00C32106">
        <w:rPr>
          <w:rFonts w:cs="Calibri"/>
          <w:color w:val="FF0000"/>
          <w:szCs w:val="20"/>
        </w:rPr>
        <w:t xml:space="preserve"> </w:t>
      </w:r>
    </w:p>
    <w:p w14:paraId="234D913A" w14:textId="19675009" w:rsidR="00AC2005" w:rsidRPr="00C32106" w:rsidRDefault="00DB16DA" w:rsidP="00EE06BE">
      <w:pPr>
        <w:spacing w:before="120" w:after="120"/>
        <w:jc w:val="both"/>
        <w:rPr>
          <w:color w:val="FF0000"/>
        </w:rPr>
      </w:pPr>
      <w:r w:rsidRPr="00C32106">
        <w:rPr>
          <w:rFonts w:cs="Calibri"/>
          <w:szCs w:val="20"/>
        </w:rPr>
        <w:t>The survey is conduct</w:t>
      </w:r>
      <w:r w:rsidR="006C1C63">
        <w:rPr>
          <w:rFonts w:cs="Calibri"/>
          <w:szCs w:val="20"/>
        </w:rPr>
        <w:t>ing</w:t>
      </w:r>
      <w:r w:rsidRPr="00C32106">
        <w:rPr>
          <w:rFonts w:cs="Calibri"/>
          <w:szCs w:val="20"/>
        </w:rPr>
        <w:t xml:space="preserve"> in </w:t>
      </w:r>
      <w:r w:rsidR="000354D0" w:rsidRPr="00C32106">
        <w:rPr>
          <w:rFonts w:cs="Calibri"/>
          <w:szCs w:val="20"/>
        </w:rPr>
        <w:t>six</w:t>
      </w:r>
      <w:r w:rsidRPr="00C32106">
        <w:rPr>
          <w:rFonts w:cs="Calibri"/>
          <w:szCs w:val="20"/>
        </w:rPr>
        <w:t xml:space="preserve">-year periodicity, </w:t>
      </w:r>
      <w:r w:rsidR="006C1C63">
        <w:rPr>
          <w:rFonts w:cs="Calibri"/>
          <w:szCs w:val="20"/>
        </w:rPr>
        <w:t>with reference</w:t>
      </w:r>
      <w:r w:rsidRPr="00C32106">
        <w:rPr>
          <w:rFonts w:cs="Calibri"/>
          <w:szCs w:val="20"/>
        </w:rPr>
        <w:t xml:space="preserve"> period 12 months preceding the </w:t>
      </w:r>
      <w:r w:rsidR="00001B43">
        <w:rPr>
          <w:rFonts w:cs="Calibri"/>
          <w:szCs w:val="20"/>
        </w:rPr>
        <w:t>interview</w:t>
      </w:r>
      <w:r w:rsidRPr="00C32106">
        <w:rPr>
          <w:rFonts w:cs="Calibri"/>
          <w:szCs w:val="20"/>
        </w:rPr>
        <w:t>.</w:t>
      </w:r>
    </w:p>
    <w:p w14:paraId="5471CAD0" w14:textId="04F3B23D" w:rsidR="00A82724" w:rsidRPr="00C32106" w:rsidRDefault="00DB16DA" w:rsidP="00EE06BE">
      <w:pPr>
        <w:autoSpaceDE w:val="0"/>
        <w:autoSpaceDN w:val="0"/>
        <w:adjustRightInd w:val="0"/>
        <w:spacing w:before="120" w:after="120"/>
        <w:jc w:val="both"/>
        <w:rPr>
          <w:rFonts w:cs="Calibri"/>
          <w:szCs w:val="20"/>
        </w:rPr>
      </w:pPr>
      <w:r w:rsidRPr="00C32106">
        <w:rPr>
          <w:rFonts w:cs="Calibri"/>
          <w:szCs w:val="20"/>
        </w:rPr>
        <w:t>The survey was conducted</w:t>
      </w:r>
      <w:r w:rsidR="000354D0" w:rsidRPr="00C32106">
        <w:rPr>
          <w:rFonts w:cs="Calibri"/>
          <w:szCs w:val="20"/>
        </w:rPr>
        <w:t xml:space="preserve"> in accordance with the</w:t>
      </w:r>
      <w:r w:rsidR="006C1C63">
        <w:rPr>
          <w:rFonts w:cs="Calibri"/>
          <w:szCs w:val="20"/>
        </w:rPr>
        <w:t xml:space="preserve"> Plan of official statistics for 2022</w:t>
      </w:r>
      <w:r w:rsidR="00812BB3">
        <w:rPr>
          <w:rFonts w:cs="Calibri"/>
          <w:szCs w:val="20"/>
        </w:rPr>
        <w:t xml:space="preserve"> and pursuant to</w:t>
      </w:r>
      <w:r w:rsidR="000354D0" w:rsidRPr="00C32106">
        <w:rPr>
          <w:rFonts w:cs="Calibri"/>
          <w:szCs w:val="20"/>
        </w:rPr>
        <w:t xml:space="preserve"> Law on Official Statistics („Official Gazzette of RS”, no 104/</w:t>
      </w:r>
      <w:proofErr w:type="gramStart"/>
      <w:r w:rsidR="000354D0" w:rsidRPr="00C32106">
        <w:rPr>
          <w:rFonts w:cs="Calibri"/>
          <w:szCs w:val="20"/>
        </w:rPr>
        <w:t xml:space="preserve">09 </w:t>
      </w:r>
      <w:r w:rsidRPr="00C32106">
        <w:rPr>
          <w:rFonts w:cs="Calibri"/>
          <w:szCs w:val="20"/>
        </w:rPr>
        <w:t xml:space="preserve"> </w:t>
      </w:r>
      <w:r w:rsidR="000354D0" w:rsidRPr="00C32106">
        <w:rPr>
          <w:rFonts w:cs="Calibri"/>
          <w:szCs w:val="20"/>
        </w:rPr>
        <w:t>and</w:t>
      </w:r>
      <w:proofErr w:type="gramEnd"/>
      <w:r w:rsidR="000354D0" w:rsidRPr="00C32106">
        <w:rPr>
          <w:rFonts w:cs="Calibri"/>
          <w:szCs w:val="20"/>
        </w:rPr>
        <w:t xml:space="preserve"> the EU Regulations 452/2008, 2019/1700, 2021/861 on creation </w:t>
      </w:r>
      <w:r w:rsidR="00A82724" w:rsidRPr="00C32106">
        <w:rPr>
          <w:rFonts w:cs="Calibri"/>
          <w:szCs w:val="20"/>
        </w:rPr>
        <w:t>a</w:t>
      </w:r>
      <w:r w:rsidR="000354D0" w:rsidRPr="00C32106">
        <w:rPr>
          <w:rFonts w:cs="Calibri"/>
          <w:szCs w:val="20"/>
        </w:rPr>
        <w:t>nd development of education and lifelong learning statistics</w:t>
      </w:r>
      <w:r w:rsidR="00A82724" w:rsidRPr="00C32106">
        <w:rPr>
          <w:rFonts w:cs="Calibri"/>
          <w:szCs w:val="20"/>
        </w:rPr>
        <w:t>.</w:t>
      </w:r>
    </w:p>
    <w:p w14:paraId="4E78A291" w14:textId="339A0513" w:rsidR="00AC2005" w:rsidRPr="00C32106" w:rsidRDefault="00A82724" w:rsidP="00EE06BE">
      <w:pPr>
        <w:autoSpaceDE w:val="0"/>
        <w:autoSpaceDN w:val="0"/>
        <w:adjustRightInd w:val="0"/>
        <w:spacing w:before="120" w:after="120"/>
        <w:jc w:val="both"/>
        <w:rPr>
          <w:rFonts w:cs="Calibri"/>
          <w:color w:val="FF0000"/>
          <w:szCs w:val="20"/>
        </w:rPr>
      </w:pPr>
      <w:r w:rsidRPr="00C32106">
        <w:rPr>
          <w:rFonts w:cs="Calibri"/>
          <w:szCs w:val="20"/>
        </w:rPr>
        <w:t xml:space="preserve">The </w:t>
      </w:r>
      <w:r w:rsidR="00812BB3">
        <w:rPr>
          <w:rFonts w:cs="Calibri"/>
          <w:szCs w:val="20"/>
        </w:rPr>
        <w:t>s</w:t>
      </w:r>
      <w:r w:rsidRPr="00C32106">
        <w:rPr>
          <w:rFonts w:cs="Calibri"/>
          <w:szCs w:val="20"/>
        </w:rPr>
        <w:t xml:space="preserve">urvey </w:t>
      </w:r>
      <w:proofErr w:type="gramStart"/>
      <w:r w:rsidRPr="00C32106">
        <w:rPr>
          <w:rFonts w:cs="Calibri"/>
          <w:szCs w:val="20"/>
        </w:rPr>
        <w:t>was conducted</w:t>
      </w:r>
      <w:proofErr w:type="gramEnd"/>
      <w:r w:rsidRPr="00C32106">
        <w:rPr>
          <w:rFonts w:cs="Calibri"/>
          <w:szCs w:val="20"/>
        </w:rPr>
        <w:t xml:space="preserve"> on the territory of the </w:t>
      </w:r>
      <w:r w:rsidR="00812BB3">
        <w:rPr>
          <w:rFonts w:cs="Calibri"/>
          <w:szCs w:val="20"/>
        </w:rPr>
        <w:t>R</w:t>
      </w:r>
      <w:r w:rsidRPr="00C32106">
        <w:rPr>
          <w:rFonts w:cs="Calibri"/>
          <w:szCs w:val="20"/>
        </w:rPr>
        <w:t xml:space="preserve">epublic of Serbia without Kosovo and Metohia, on </w:t>
      </w:r>
      <w:r w:rsidR="00DB16DA" w:rsidRPr="00C32106">
        <w:rPr>
          <w:rFonts w:cs="Calibri"/>
          <w:szCs w:val="20"/>
        </w:rPr>
        <w:t>the planned sample of 7</w:t>
      </w:r>
      <w:r w:rsidRPr="00C32106">
        <w:rPr>
          <w:rFonts w:cs="Calibri"/>
          <w:szCs w:val="20"/>
        </w:rPr>
        <w:t>0</w:t>
      </w:r>
      <w:r w:rsidR="00DB16DA" w:rsidRPr="00C32106">
        <w:rPr>
          <w:rFonts w:cs="Calibri"/>
          <w:szCs w:val="20"/>
        </w:rPr>
        <w:t xml:space="preserve">00 households. Realized sample encompassed </w:t>
      </w:r>
      <w:r w:rsidRPr="00C32106">
        <w:rPr>
          <w:rFonts w:cs="Calibri"/>
          <w:szCs w:val="20"/>
        </w:rPr>
        <w:t>5 372</w:t>
      </w:r>
      <w:r w:rsidR="00DB16DA" w:rsidRPr="00C32106">
        <w:rPr>
          <w:rFonts w:cs="Calibri"/>
          <w:szCs w:val="20"/>
        </w:rPr>
        <w:t xml:space="preserve"> respondents aged </w:t>
      </w:r>
      <w:r w:rsidRPr="00C32106">
        <w:rPr>
          <w:rFonts w:cs="Calibri"/>
          <w:szCs w:val="20"/>
        </w:rPr>
        <w:t>18</w:t>
      </w:r>
      <w:r w:rsidR="00DB16DA" w:rsidRPr="00C32106">
        <w:rPr>
          <w:rFonts w:cs="Calibri"/>
          <w:szCs w:val="20"/>
        </w:rPr>
        <w:t>-6</w:t>
      </w:r>
      <w:r w:rsidRPr="00C32106">
        <w:rPr>
          <w:rFonts w:cs="Calibri"/>
          <w:szCs w:val="20"/>
        </w:rPr>
        <w:t>9</w:t>
      </w:r>
      <w:r w:rsidR="00DB16DA" w:rsidRPr="00C32106">
        <w:rPr>
          <w:rFonts w:cs="Calibri"/>
          <w:szCs w:val="20"/>
        </w:rPr>
        <w:t xml:space="preserve"> (a single </w:t>
      </w:r>
      <w:r w:rsidR="00147DEF" w:rsidRPr="00C32106">
        <w:rPr>
          <w:rFonts w:cs="Calibri"/>
          <w:szCs w:val="20"/>
        </w:rPr>
        <w:t>randomly</w:t>
      </w:r>
      <w:r w:rsidR="00DB16DA" w:rsidRPr="00C32106">
        <w:rPr>
          <w:rFonts w:cs="Calibri"/>
          <w:szCs w:val="20"/>
        </w:rPr>
        <w:t xml:space="preserve"> selected respondent in a single household selected in the sample). </w:t>
      </w:r>
    </w:p>
    <w:p w14:paraId="0153DCE7" w14:textId="7B114CF7" w:rsidR="00A82724" w:rsidRPr="00C32106" w:rsidRDefault="00A82724" w:rsidP="00EE06BE">
      <w:pPr>
        <w:spacing w:before="120" w:after="120"/>
        <w:jc w:val="both"/>
        <w:rPr>
          <w:rFonts w:cs="Calibri"/>
          <w:color w:val="FF0000"/>
          <w:szCs w:val="20"/>
        </w:rPr>
      </w:pPr>
      <w:r w:rsidRPr="00C32106">
        <w:rPr>
          <w:rFonts w:cs="Arial"/>
          <w:b/>
        </w:rPr>
        <w:t xml:space="preserve">Adult education </w:t>
      </w:r>
      <w:r w:rsidR="00AB3B24" w:rsidRPr="00C32106">
        <w:rPr>
          <w:rFonts w:cs="Arial"/>
        </w:rPr>
        <w:t>encompasses</w:t>
      </w:r>
      <w:r w:rsidRPr="00C32106">
        <w:rPr>
          <w:rFonts w:cs="Arial"/>
        </w:rPr>
        <w:t xml:space="preserve"> all learning activities during lifetime (after completing </w:t>
      </w:r>
      <w:r w:rsidR="00ED5825">
        <w:rPr>
          <w:rFonts w:cs="Arial"/>
        </w:rPr>
        <w:t>form</w:t>
      </w:r>
      <w:r w:rsidRPr="00C32106">
        <w:rPr>
          <w:rFonts w:cs="Arial"/>
        </w:rPr>
        <w:t xml:space="preserve">al education), with the aim of improving knowledge, skills and competences from personal and social aspect, as well as from the aspect connected with the employment.  </w:t>
      </w:r>
    </w:p>
    <w:p w14:paraId="0F0EC595" w14:textId="77777777" w:rsidR="00A82724" w:rsidRPr="00C32106" w:rsidRDefault="00A82724" w:rsidP="00EE06BE">
      <w:pPr>
        <w:spacing w:before="240" w:after="120"/>
        <w:jc w:val="both"/>
        <w:rPr>
          <w:rFonts w:cs="Arial"/>
          <w:b/>
        </w:rPr>
      </w:pPr>
      <w:r w:rsidRPr="00C32106">
        <w:rPr>
          <w:rFonts w:cs="Arial"/>
          <w:b/>
        </w:rPr>
        <w:t xml:space="preserve">Formal education </w:t>
      </w:r>
    </w:p>
    <w:p w14:paraId="6EFD52AA" w14:textId="106354C4" w:rsidR="00A82724" w:rsidRPr="00C32106" w:rsidRDefault="00A82724" w:rsidP="00EE06BE">
      <w:pPr>
        <w:spacing w:before="120" w:after="120"/>
        <w:jc w:val="both"/>
        <w:rPr>
          <w:rFonts w:cs="Calibri"/>
          <w:color w:val="FF0000"/>
          <w:szCs w:val="20"/>
        </w:rPr>
      </w:pPr>
      <w:r w:rsidRPr="00C32106">
        <w:rPr>
          <w:rFonts w:cs="Calibri"/>
          <w:szCs w:val="20"/>
        </w:rPr>
        <w:t>Formal education implies structured and institutionalized system regulated by the state (</w:t>
      </w:r>
      <w:r w:rsidR="00ED5825">
        <w:rPr>
          <w:rFonts w:cs="Calibri"/>
          <w:szCs w:val="20"/>
        </w:rPr>
        <w:t xml:space="preserve">The </w:t>
      </w:r>
      <w:r w:rsidRPr="00C32106">
        <w:rPr>
          <w:rFonts w:cs="Calibri"/>
          <w:szCs w:val="20"/>
        </w:rPr>
        <w:t xml:space="preserve">Ministry of </w:t>
      </w:r>
      <w:r w:rsidR="00ED5825">
        <w:rPr>
          <w:rFonts w:cs="Calibri"/>
          <w:szCs w:val="20"/>
        </w:rPr>
        <w:t>E</w:t>
      </w:r>
      <w:r w:rsidRPr="00C32106">
        <w:rPr>
          <w:rFonts w:cs="Calibri"/>
          <w:szCs w:val="20"/>
        </w:rPr>
        <w:t>ducation</w:t>
      </w:r>
      <w:r w:rsidR="00ED5825">
        <w:rPr>
          <w:rFonts w:cs="Calibri"/>
          <w:szCs w:val="20"/>
        </w:rPr>
        <w:t xml:space="preserve">). </w:t>
      </w:r>
      <w:r w:rsidRPr="00C32106">
        <w:rPr>
          <w:rFonts w:cs="Calibri"/>
          <w:szCs w:val="20"/>
        </w:rPr>
        <w:t xml:space="preserve">Formal education means: defined objective and level of education, </w:t>
      </w:r>
      <w:proofErr w:type="gramStart"/>
      <w:r w:rsidRPr="00C32106">
        <w:rPr>
          <w:rFonts w:cs="Calibri"/>
          <w:szCs w:val="20"/>
        </w:rPr>
        <w:t>plan</w:t>
      </w:r>
      <w:proofErr w:type="gramEnd"/>
      <w:r w:rsidRPr="00C32106">
        <w:rPr>
          <w:rFonts w:cs="Calibri"/>
          <w:szCs w:val="20"/>
        </w:rPr>
        <w:t xml:space="preserve"> and program, rules for acquiring high education level, conducted in educational institutions within the formal educational system. After completing formal education, delivered </w:t>
      </w:r>
      <w:proofErr w:type="gramStart"/>
      <w:r w:rsidRPr="00C32106">
        <w:rPr>
          <w:rFonts w:cs="Calibri"/>
          <w:szCs w:val="20"/>
        </w:rPr>
        <w:t>are certificates and diplomas recognized by the competent ministry</w:t>
      </w:r>
      <w:proofErr w:type="gramEnd"/>
      <w:r w:rsidRPr="00C32106">
        <w:rPr>
          <w:rFonts w:cs="Calibri"/>
          <w:szCs w:val="20"/>
        </w:rPr>
        <w:t xml:space="preserve">. </w:t>
      </w:r>
    </w:p>
    <w:p w14:paraId="700A0DFF" w14:textId="02D2F406" w:rsidR="00A82724" w:rsidRPr="00C32106" w:rsidRDefault="00812BB3" w:rsidP="00EE06BE">
      <w:pPr>
        <w:spacing w:before="240" w:after="120"/>
        <w:jc w:val="both"/>
        <w:rPr>
          <w:rFonts w:cs="Arial"/>
          <w:b/>
        </w:rPr>
      </w:pPr>
      <w:r>
        <w:rPr>
          <w:rFonts w:cs="Arial"/>
          <w:b/>
          <w:szCs w:val="20"/>
        </w:rPr>
        <w:t>Non-</w:t>
      </w:r>
      <w:r w:rsidR="00A82724" w:rsidRPr="00C32106">
        <w:rPr>
          <w:rFonts w:cs="Arial"/>
          <w:b/>
          <w:szCs w:val="20"/>
        </w:rPr>
        <w:t>formal education</w:t>
      </w:r>
      <w:r w:rsidR="00A82724" w:rsidRPr="00C32106">
        <w:rPr>
          <w:rFonts w:cs="Arial"/>
          <w:b/>
        </w:rPr>
        <w:t xml:space="preserve"> </w:t>
      </w:r>
    </w:p>
    <w:p w14:paraId="4CC7D9A9" w14:textId="6C1C0658" w:rsidR="00A82724" w:rsidRPr="00C32106" w:rsidRDefault="00812BB3" w:rsidP="00EE06BE">
      <w:pPr>
        <w:autoSpaceDE w:val="0"/>
        <w:autoSpaceDN w:val="0"/>
        <w:adjustRightInd w:val="0"/>
        <w:spacing w:before="120" w:after="120"/>
        <w:jc w:val="both"/>
        <w:rPr>
          <w:rFonts w:ascii="ArialMT" w:hAnsi="ArialMT" w:cs="ArialMT"/>
          <w:szCs w:val="20"/>
        </w:rPr>
      </w:pPr>
      <w:r>
        <w:rPr>
          <w:rFonts w:ascii="ArialMT" w:hAnsi="ArialMT" w:cs="ArialMT"/>
          <w:szCs w:val="20"/>
        </w:rPr>
        <w:t>Non-</w:t>
      </w:r>
      <w:r w:rsidR="00A82724" w:rsidRPr="00C32106">
        <w:rPr>
          <w:rFonts w:ascii="ArialMT" w:hAnsi="ArialMT" w:cs="ArialMT"/>
          <w:szCs w:val="20"/>
        </w:rPr>
        <w:t xml:space="preserve">formal education/training is any institutionalized learning organized through structured programs, which is not part of the formal educational system. Those are learning processes organized with the intention to acquire qualifications for work and other activities, as well as to improve personal skills. Non-formal education is realized </w:t>
      </w:r>
      <w:proofErr w:type="gramStart"/>
      <w:r w:rsidR="00A82724" w:rsidRPr="00C32106">
        <w:rPr>
          <w:rFonts w:ascii="ArialMT" w:hAnsi="ArialMT" w:cs="ArialMT"/>
          <w:szCs w:val="20"/>
        </w:rPr>
        <w:t>through:</w:t>
      </w:r>
      <w:proofErr w:type="gramEnd"/>
      <w:r w:rsidR="00A82724" w:rsidRPr="00C32106">
        <w:rPr>
          <w:rFonts w:ascii="ArialMT" w:hAnsi="ArialMT" w:cs="ArialMT"/>
          <w:szCs w:val="20"/>
        </w:rPr>
        <w:t xml:space="preserve"> courses, workshops and seminars, training at work place, private lessons.</w:t>
      </w:r>
    </w:p>
    <w:p w14:paraId="1F472DB5" w14:textId="77777777" w:rsidR="00AC2005" w:rsidRPr="00C32106" w:rsidRDefault="008F17CC" w:rsidP="00EE06BE">
      <w:pPr>
        <w:spacing w:before="240" w:after="120"/>
        <w:jc w:val="both"/>
        <w:rPr>
          <w:rFonts w:cs="Arial"/>
          <w:b/>
        </w:rPr>
      </w:pPr>
      <w:r w:rsidRPr="00C32106">
        <w:rPr>
          <w:rFonts w:cs="Arial"/>
          <w:b/>
          <w:szCs w:val="20"/>
        </w:rPr>
        <w:t>Informal learning</w:t>
      </w:r>
      <w:r w:rsidRPr="00C32106">
        <w:rPr>
          <w:rFonts w:cs="Arial"/>
          <w:b/>
        </w:rPr>
        <w:t xml:space="preserve"> </w:t>
      </w:r>
    </w:p>
    <w:p w14:paraId="11A0FB01" w14:textId="56DF0EB2" w:rsidR="008B1F76" w:rsidRPr="00C32106" w:rsidRDefault="008F17CC" w:rsidP="00EE06BE">
      <w:pPr>
        <w:autoSpaceDE w:val="0"/>
        <w:autoSpaceDN w:val="0"/>
        <w:adjustRightInd w:val="0"/>
        <w:spacing w:before="120" w:after="120"/>
        <w:jc w:val="both"/>
        <w:rPr>
          <w:rFonts w:cs="Arial"/>
          <w:sz w:val="18"/>
          <w:szCs w:val="18"/>
        </w:rPr>
      </w:pPr>
      <w:r w:rsidRPr="00C32106">
        <w:rPr>
          <w:rFonts w:cs="Arial"/>
          <w:szCs w:val="20"/>
        </w:rPr>
        <w:t>Informal learning is learning that is planned, but not organi</w:t>
      </w:r>
      <w:r w:rsidR="00E115B3" w:rsidRPr="00C32106">
        <w:rPr>
          <w:rFonts w:cs="Arial"/>
          <w:szCs w:val="20"/>
        </w:rPr>
        <w:t>z</w:t>
      </w:r>
      <w:r w:rsidRPr="00C32106">
        <w:rPr>
          <w:rFonts w:cs="Arial"/>
          <w:szCs w:val="20"/>
        </w:rPr>
        <w:t>ed and structured (not institutionali</w:t>
      </w:r>
      <w:r w:rsidR="00E115B3" w:rsidRPr="00C32106">
        <w:rPr>
          <w:rFonts w:cs="Arial"/>
          <w:szCs w:val="20"/>
        </w:rPr>
        <w:t>z</w:t>
      </w:r>
      <w:r w:rsidRPr="00C32106">
        <w:rPr>
          <w:rFonts w:cs="Arial"/>
          <w:szCs w:val="20"/>
        </w:rPr>
        <w:t>ed).</w:t>
      </w:r>
      <w:r w:rsidR="00A82724" w:rsidRPr="00C32106">
        <w:rPr>
          <w:rFonts w:cs="Arial"/>
          <w:szCs w:val="20"/>
        </w:rPr>
        <w:t xml:space="preserve"> </w:t>
      </w:r>
      <w:r w:rsidRPr="00C32106">
        <w:rPr>
          <w:rFonts w:cs="Arial"/>
          <w:szCs w:val="20"/>
        </w:rPr>
        <w:t>Informal learning covers learning in the family, in the work place or in daily life, on self-directed, family-based or</w:t>
      </w:r>
      <w:r w:rsidR="005E19CF" w:rsidRPr="00C32106">
        <w:rPr>
          <w:rFonts w:cs="Arial"/>
          <w:szCs w:val="20"/>
        </w:rPr>
        <w:t xml:space="preserve"> </w:t>
      </w:r>
      <w:r w:rsidR="00E115B3" w:rsidRPr="00C32106">
        <w:rPr>
          <w:rFonts w:cs="Arial"/>
          <w:szCs w:val="20"/>
        </w:rPr>
        <w:t>s</w:t>
      </w:r>
      <w:r w:rsidRPr="00C32106">
        <w:rPr>
          <w:rFonts w:cs="Arial"/>
          <w:szCs w:val="20"/>
        </w:rPr>
        <w:t>ocially</w:t>
      </w:r>
      <w:r w:rsidR="00E115B3" w:rsidRPr="00C32106">
        <w:rPr>
          <w:rFonts w:cs="Arial"/>
          <w:szCs w:val="20"/>
        </w:rPr>
        <w:t xml:space="preserve"> </w:t>
      </w:r>
      <w:r w:rsidRPr="00C32106">
        <w:rPr>
          <w:rFonts w:cs="Arial"/>
          <w:szCs w:val="20"/>
        </w:rPr>
        <w:t>-</w:t>
      </w:r>
      <w:r w:rsidR="00E115B3" w:rsidRPr="00C32106">
        <w:rPr>
          <w:rFonts w:cs="Arial"/>
          <w:szCs w:val="20"/>
        </w:rPr>
        <w:t xml:space="preserve"> </w:t>
      </w:r>
      <w:r w:rsidRPr="00C32106">
        <w:rPr>
          <w:rFonts w:cs="Arial"/>
          <w:szCs w:val="20"/>
        </w:rPr>
        <w:t>directed basis. It takes place through: learning from family members, friends and colleagues; use of</w:t>
      </w:r>
      <w:r w:rsidR="005E19CF" w:rsidRPr="00C32106">
        <w:rPr>
          <w:rFonts w:cs="Arial"/>
          <w:szCs w:val="20"/>
        </w:rPr>
        <w:t xml:space="preserve"> </w:t>
      </w:r>
      <w:r w:rsidRPr="00C32106">
        <w:rPr>
          <w:rFonts w:cs="Arial"/>
          <w:szCs w:val="20"/>
        </w:rPr>
        <w:t>various printed materials (books, professional magazines); use of computers, Internet downloads; use of</w:t>
      </w:r>
      <w:r w:rsidR="005E19CF" w:rsidRPr="00C32106">
        <w:rPr>
          <w:rFonts w:cs="Arial"/>
          <w:szCs w:val="20"/>
        </w:rPr>
        <w:t xml:space="preserve"> </w:t>
      </w:r>
      <w:r w:rsidRPr="00C32106">
        <w:rPr>
          <w:rFonts w:cs="Arial"/>
          <w:szCs w:val="20"/>
        </w:rPr>
        <w:t xml:space="preserve">various television, radio, </w:t>
      </w:r>
      <w:proofErr w:type="gramStart"/>
      <w:r w:rsidRPr="00C32106">
        <w:rPr>
          <w:rFonts w:cs="Arial"/>
          <w:szCs w:val="20"/>
        </w:rPr>
        <w:t>video</w:t>
      </w:r>
      <w:proofErr w:type="gramEnd"/>
      <w:r w:rsidRPr="00C32106">
        <w:rPr>
          <w:rFonts w:cs="Arial"/>
          <w:szCs w:val="20"/>
        </w:rPr>
        <w:t xml:space="preserve"> or audio materials.</w:t>
      </w:r>
      <w:r w:rsidR="00AC2005" w:rsidRPr="00C32106">
        <w:rPr>
          <w:rFonts w:cs="Calibri"/>
          <w:szCs w:val="20"/>
        </w:rPr>
        <w:t xml:space="preserve"> </w:t>
      </w:r>
    </w:p>
    <w:tbl>
      <w:tblPr>
        <w:tblpPr w:leftFromText="181" w:rightFromText="181" w:vertAnchor="page" w:horzAnchor="margin" w:tblpXSpec="center" w:tblpY="14176"/>
        <w:tblW w:w="4500" w:type="pct"/>
        <w:tblBorders>
          <w:top w:val="single" w:sz="4" w:space="0" w:color="808080"/>
        </w:tblBorders>
        <w:tblLook w:val="01E0" w:firstRow="1" w:lastRow="1" w:firstColumn="1" w:lastColumn="1" w:noHBand="0" w:noVBand="0"/>
      </w:tblPr>
      <w:tblGrid>
        <w:gridCol w:w="8879"/>
      </w:tblGrid>
      <w:tr w:rsidR="0041739D" w:rsidRPr="00C32106" w14:paraId="74B27CC5" w14:textId="77777777" w:rsidTr="00121983">
        <w:tc>
          <w:tcPr>
            <w:tcW w:w="9379" w:type="dxa"/>
            <w:shd w:val="clear" w:color="auto" w:fill="auto"/>
          </w:tcPr>
          <w:p w14:paraId="67C9FEA6" w14:textId="6FF0C849" w:rsidR="004E744D" w:rsidRPr="00C32106" w:rsidRDefault="004F2649" w:rsidP="00121983">
            <w:pPr>
              <w:spacing w:before="120"/>
              <w:jc w:val="center"/>
              <w:rPr>
                <w:rFonts w:cs="Arial"/>
                <w:iCs/>
                <w:sz w:val="18"/>
                <w:szCs w:val="18"/>
              </w:rPr>
            </w:pPr>
            <w:r w:rsidRPr="00C32106">
              <w:rPr>
                <w:rFonts w:cs="Arial"/>
                <w:iCs/>
                <w:sz w:val="18"/>
                <w:szCs w:val="18"/>
              </w:rPr>
              <w:t>Contact</w:t>
            </w:r>
            <w:r w:rsidR="004E744D" w:rsidRPr="00C32106">
              <w:rPr>
                <w:rFonts w:cs="Arial"/>
                <w:iCs/>
                <w:sz w:val="18"/>
                <w:szCs w:val="18"/>
              </w:rPr>
              <w:t xml:space="preserve">: </w:t>
            </w:r>
            <w:r w:rsidR="00855511">
              <w:rPr>
                <w:rFonts w:cs="Arial"/>
                <w:iCs/>
                <w:color w:val="0000FF"/>
                <w:sz w:val="18"/>
                <w:szCs w:val="18"/>
              </w:rPr>
              <w:t>sava.boskocevic</w:t>
            </w:r>
            <w:r w:rsidR="004E744D" w:rsidRPr="00C32106">
              <w:rPr>
                <w:rFonts w:cs="Arial"/>
                <w:iCs/>
                <w:color w:val="0000FF"/>
                <w:sz w:val="18"/>
                <w:szCs w:val="18"/>
              </w:rPr>
              <w:t>@stat.gov.rs</w:t>
            </w:r>
            <w:r w:rsidR="000C78DA" w:rsidRPr="00C32106">
              <w:rPr>
                <w:rFonts w:cs="Arial"/>
                <w:iCs/>
                <w:color w:val="0000FF"/>
                <w:sz w:val="18"/>
                <w:szCs w:val="18"/>
              </w:rPr>
              <w:t>,</w:t>
            </w:r>
            <w:r w:rsidR="004E744D" w:rsidRPr="00C32106">
              <w:rPr>
                <w:rFonts w:cs="Arial"/>
                <w:iCs/>
                <w:sz w:val="18"/>
                <w:szCs w:val="18"/>
              </w:rPr>
              <w:t xml:space="preserve"> </w:t>
            </w:r>
            <w:r w:rsidRPr="00C32106">
              <w:rPr>
                <w:rFonts w:cs="Arial"/>
                <w:iCs/>
                <w:sz w:val="18"/>
                <w:szCs w:val="18"/>
              </w:rPr>
              <w:t>Phone</w:t>
            </w:r>
            <w:r w:rsidR="004E744D" w:rsidRPr="00C32106">
              <w:rPr>
                <w:rFonts w:cs="Arial"/>
                <w:iCs/>
                <w:sz w:val="18"/>
                <w:szCs w:val="18"/>
              </w:rPr>
              <w:t>: 011 2412-922</w:t>
            </w:r>
            <w:r w:rsidR="000C78DA" w:rsidRPr="00C32106">
              <w:rPr>
                <w:rFonts w:cs="Arial"/>
                <w:iCs/>
                <w:sz w:val="18"/>
                <w:szCs w:val="18"/>
              </w:rPr>
              <w:t>,</w:t>
            </w:r>
            <w:r w:rsidR="004E744D" w:rsidRPr="00C32106">
              <w:rPr>
                <w:rFonts w:cs="Arial"/>
                <w:iCs/>
                <w:sz w:val="18"/>
                <w:szCs w:val="18"/>
              </w:rPr>
              <w:t xml:space="preserve"> </w:t>
            </w:r>
            <w:r w:rsidRPr="00C32106">
              <w:rPr>
                <w:rFonts w:cs="Arial"/>
                <w:iCs/>
                <w:sz w:val="18"/>
                <w:szCs w:val="18"/>
              </w:rPr>
              <w:t>ext.</w:t>
            </w:r>
            <w:r w:rsidR="004E744D" w:rsidRPr="00C32106">
              <w:rPr>
                <w:rFonts w:cs="Arial"/>
                <w:iCs/>
                <w:sz w:val="18"/>
                <w:szCs w:val="18"/>
              </w:rPr>
              <w:t xml:space="preserve"> </w:t>
            </w:r>
            <w:r w:rsidR="00855511">
              <w:rPr>
                <w:rFonts w:cs="Arial"/>
                <w:iCs/>
                <w:sz w:val="18"/>
                <w:szCs w:val="18"/>
              </w:rPr>
              <w:t>440</w:t>
            </w:r>
            <w:bookmarkStart w:id="0" w:name="_GoBack"/>
            <w:bookmarkEnd w:id="0"/>
          </w:p>
          <w:p w14:paraId="4B3B035E" w14:textId="77777777" w:rsidR="004F2649" w:rsidRPr="00C32106" w:rsidRDefault="004F2649" w:rsidP="004F2649">
            <w:pPr>
              <w:jc w:val="center"/>
              <w:rPr>
                <w:rFonts w:cs="Arial"/>
                <w:iCs/>
                <w:sz w:val="18"/>
                <w:szCs w:val="18"/>
              </w:rPr>
            </w:pPr>
            <w:r w:rsidRPr="00C32106">
              <w:rPr>
                <w:rFonts w:cs="Arial"/>
                <w:iCs/>
                <w:sz w:val="18"/>
                <w:szCs w:val="18"/>
              </w:rPr>
              <w:t>Published and printed by: Statistical Office of the Republic of Serbia, 11 050 Belgrade, Milana Rakica 5</w:t>
            </w:r>
          </w:p>
          <w:p w14:paraId="31FCF78E" w14:textId="2E8A2CC5" w:rsidR="004F2649" w:rsidRPr="00C32106" w:rsidRDefault="004F2649" w:rsidP="004F2649">
            <w:pPr>
              <w:jc w:val="center"/>
              <w:rPr>
                <w:rFonts w:cs="Arial"/>
                <w:iCs/>
                <w:sz w:val="18"/>
                <w:szCs w:val="18"/>
              </w:rPr>
            </w:pPr>
            <w:r w:rsidRPr="00C32106">
              <w:rPr>
                <w:rFonts w:cs="Arial"/>
                <w:iCs/>
                <w:sz w:val="18"/>
                <w:szCs w:val="18"/>
              </w:rPr>
              <w:t xml:space="preserve">Phone: +381 11 2412922 </w:t>
            </w:r>
            <w:r w:rsidRPr="00C32106">
              <w:rPr>
                <w:rFonts w:cs="Arial"/>
                <w:sz w:val="18"/>
                <w:szCs w:val="18"/>
              </w:rPr>
              <w:t>(telephone exchange) •</w:t>
            </w:r>
            <w:r w:rsidRPr="00C32106">
              <w:rPr>
                <w:rFonts w:cs="Arial"/>
                <w:iCs/>
                <w:sz w:val="18"/>
                <w:szCs w:val="18"/>
              </w:rPr>
              <w:t xml:space="preserve"> Fax: +381 11 2411260 </w:t>
            </w:r>
            <w:r w:rsidRPr="00C32106">
              <w:rPr>
                <w:rFonts w:cs="Arial"/>
                <w:sz w:val="18"/>
                <w:szCs w:val="18"/>
              </w:rPr>
              <w:t>•</w:t>
            </w:r>
            <w:r w:rsidR="00EE06BE">
              <w:rPr>
                <w:rFonts w:cs="Arial"/>
                <w:sz w:val="18"/>
                <w:szCs w:val="18"/>
              </w:rPr>
              <w:t xml:space="preserve"> </w:t>
            </w:r>
            <w:r w:rsidRPr="00C32106">
              <w:rPr>
                <w:rFonts w:cs="Arial"/>
                <w:iCs/>
                <w:sz w:val="18"/>
                <w:szCs w:val="18"/>
              </w:rPr>
              <w:t>stat.gov.rs</w:t>
            </w:r>
          </w:p>
          <w:p w14:paraId="50B1C439" w14:textId="77777777" w:rsidR="004F2649" w:rsidRPr="00C32106" w:rsidRDefault="004F2649" w:rsidP="004F2649">
            <w:pPr>
              <w:jc w:val="center"/>
              <w:rPr>
                <w:rFonts w:cs="Arial"/>
                <w:iCs/>
                <w:sz w:val="18"/>
                <w:szCs w:val="18"/>
              </w:rPr>
            </w:pPr>
            <w:r w:rsidRPr="00C32106">
              <w:rPr>
                <w:rFonts w:cs="Arial"/>
                <w:iCs/>
                <w:sz w:val="18"/>
                <w:szCs w:val="18"/>
              </w:rPr>
              <w:t>Responsible: Dr Miladin Kovačević, Director</w:t>
            </w:r>
          </w:p>
          <w:p w14:paraId="4EC19D0B" w14:textId="1B797A7C" w:rsidR="0041739D" w:rsidRPr="00C32106" w:rsidRDefault="004F2649" w:rsidP="00B43D74">
            <w:pPr>
              <w:jc w:val="center"/>
              <w:rPr>
                <w:i/>
                <w:iCs/>
              </w:rPr>
            </w:pPr>
            <w:r w:rsidRPr="00C32106">
              <w:rPr>
                <w:rFonts w:cs="Arial"/>
                <w:sz w:val="18"/>
                <w:szCs w:val="18"/>
              </w:rPr>
              <w:t>Circulation</w:t>
            </w:r>
            <w:r w:rsidR="0041739D" w:rsidRPr="00C32106">
              <w:rPr>
                <w:rFonts w:cs="Arial"/>
                <w:iCs/>
                <w:sz w:val="18"/>
                <w:szCs w:val="18"/>
              </w:rPr>
              <w:t xml:space="preserve">: 20 ● </w:t>
            </w:r>
            <w:r w:rsidRPr="00C32106">
              <w:rPr>
                <w:rFonts w:cs="Arial"/>
                <w:iCs/>
                <w:sz w:val="18"/>
                <w:szCs w:val="18"/>
              </w:rPr>
              <w:t>Periodicity</w:t>
            </w:r>
            <w:r w:rsidR="0041739D" w:rsidRPr="00C32106">
              <w:rPr>
                <w:rFonts w:cs="Arial"/>
                <w:iCs/>
                <w:sz w:val="18"/>
                <w:szCs w:val="18"/>
              </w:rPr>
              <w:t xml:space="preserve">: </w:t>
            </w:r>
            <w:r w:rsidR="00812BB3">
              <w:rPr>
                <w:rFonts w:cs="Arial"/>
                <w:iCs/>
                <w:sz w:val="18"/>
                <w:szCs w:val="18"/>
              </w:rPr>
              <w:t>six-years</w:t>
            </w:r>
          </w:p>
        </w:tc>
      </w:tr>
    </w:tbl>
    <w:p w14:paraId="7E69803B" w14:textId="77777777" w:rsidR="009324E6" w:rsidRPr="00C32106" w:rsidRDefault="009324E6" w:rsidP="0046281B">
      <w:pPr>
        <w:rPr>
          <w:sz w:val="2"/>
          <w:szCs w:val="2"/>
        </w:rPr>
      </w:pPr>
    </w:p>
    <w:sectPr w:rsidR="009324E6" w:rsidRPr="00C32106" w:rsidSect="00EE06BE">
      <w:footerReference w:type="even" r:id="rId15"/>
      <w:footerReference w:type="default" r:id="rId16"/>
      <w:pgSz w:w="11907" w:h="16840" w:code="9"/>
      <w:pgMar w:top="1021" w:right="1021" w:bottom="1021"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45BD" w14:textId="77777777" w:rsidR="007875C6" w:rsidRDefault="007875C6">
      <w:r>
        <w:separator/>
      </w:r>
    </w:p>
  </w:endnote>
  <w:endnote w:type="continuationSeparator" w:id="0">
    <w:p w14:paraId="73C2F774" w14:textId="77777777" w:rsidR="007875C6" w:rsidRDefault="0078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4913"/>
      <w:gridCol w:w="4952"/>
    </w:tblGrid>
    <w:tr w:rsidR="00453C7F" w:rsidRPr="00E307F1" w14:paraId="3F2DA0E6" w14:textId="77777777" w:rsidTr="00121983">
      <w:tc>
        <w:tcPr>
          <w:tcW w:w="5210" w:type="dxa"/>
          <w:tcBorders>
            <w:left w:val="nil"/>
            <w:bottom w:val="nil"/>
            <w:right w:val="nil"/>
          </w:tcBorders>
          <w:shd w:val="clear" w:color="auto" w:fill="auto"/>
        </w:tcPr>
        <w:p w14:paraId="358F2C7E" w14:textId="54AA4BEE" w:rsidR="00453C7F" w:rsidRPr="00BB5EA2" w:rsidRDefault="00453C7F" w:rsidP="00121983">
          <w:pPr>
            <w:spacing w:before="120"/>
            <w:rPr>
              <w:iCs/>
              <w:sz w:val="16"/>
              <w:szCs w:val="16"/>
            </w:rPr>
          </w:pPr>
          <w:r w:rsidRPr="00BB5EA2">
            <w:rPr>
              <w:iCs/>
              <w:sz w:val="16"/>
              <w:szCs w:val="16"/>
            </w:rPr>
            <w:fldChar w:fldCharType="begin"/>
          </w:r>
          <w:r w:rsidRPr="00BB5EA2">
            <w:rPr>
              <w:iCs/>
              <w:sz w:val="16"/>
              <w:szCs w:val="16"/>
            </w:rPr>
            <w:instrText xml:space="preserve"> PAGE </w:instrText>
          </w:r>
          <w:r w:rsidRPr="00BB5EA2">
            <w:rPr>
              <w:iCs/>
              <w:sz w:val="16"/>
              <w:szCs w:val="16"/>
            </w:rPr>
            <w:fldChar w:fldCharType="separate"/>
          </w:r>
          <w:r w:rsidR="00855511">
            <w:rPr>
              <w:iCs/>
              <w:noProof/>
              <w:sz w:val="16"/>
              <w:szCs w:val="16"/>
            </w:rPr>
            <w:t>4</w:t>
          </w:r>
          <w:r w:rsidRPr="00BB5EA2">
            <w:rPr>
              <w:iCs/>
              <w:sz w:val="16"/>
              <w:szCs w:val="16"/>
            </w:rPr>
            <w:fldChar w:fldCharType="end"/>
          </w:r>
        </w:p>
      </w:tc>
      <w:tc>
        <w:tcPr>
          <w:tcW w:w="5211" w:type="dxa"/>
          <w:tcBorders>
            <w:left w:val="nil"/>
            <w:bottom w:val="nil"/>
          </w:tcBorders>
          <w:shd w:val="clear" w:color="auto" w:fill="auto"/>
        </w:tcPr>
        <w:p w14:paraId="50AAAFF8" w14:textId="5A9145C6" w:rsidR="00D874E5" w:rsidRPr="00AC2005" w:rsidRDefault="000236EB" w:rsidP="00203804">
          <w:pPr>
            <w:spacing w:before="120"/>
            <w:jc w:val="right"/>
            <w:rPr>
              <w:bCs/>
              <w:sz w:val="16"/>
              <w:szCs w:val="16"/>
              <w:lang w:val="sr-Latn-RS"/>
            </w:rPr>
          </w:pPr>
          <w:r>
            <w:rPr>
              <w:bCs/>
              <w:sz w:val="16"/>
              <w:szCs w:val="16"/>
            </w:rPr>
            <w:t>SERB</w:t>
          </w:r>
          <w:r w:rsidR="00203804">
            <w:rPr>
              <w:bCs/>
              <w:sz w:val="16"/>
              <w:szCs w:val="16"/>
            </w:rPr>
            <w:t>293</w:t>
          </w:r>
          <w:r>
            <w:rPr>
              <w:bCs/>
              <w:sz w:val="16"/>
              <w:szCs w:val="16"/>
            </w:rPr>
            <w:t xml:space="preserve"> DD60</w:t>
          </w:r>
          <w:r w:rsidR="00453C7F" w:rsidRPr="004B08A1">
            <w:rPr>
              <w:bCs/>
              <w:sz w:val="16"/>
              <w:szCs w:val="16"/>
            </w:rPr>
            <w:t xml:space="preserve"> </w:t>
          </w:r>
          <w:r w:rsidR="00203804">
            <w:rPr>
              <w:bCs/>
              <w:sz w:val="16"/>
              <w:szCs w:val="16"/>
              <w:lang w:val="sr-Latn-RS"/>
            </w:rPr>
            <w:t>311023</w:t>
          </w:r>
        </w:p>
      </w:tc>
    </w:tr>
  </w:tbl>
  <w:p w14:paraId="54826F4B" w14:textId="77777777" w:rsidR="00453C7F" w:rsidRPr="005C58EB" w:rsidRDefault="00453C7F"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4951"/>
      <w:gridCol w:w="4914"/>
    </w:tblGrid>
    <w:tr w:rsidR="00453C7F" w14:paraId="37FAF6D3" w14:textId="77777777" w:rsidTr="00121983">
      <w:tc>
        <w:tcPr>
          <w:tcW w:w="5210" w:type="dxa"/>
          <w:tcBorders>
            <w:bottom w:val="nil"/>
            <w:right w:val="nil"/>
          </w:tcBorders>
          <w:shd w:val="clear" w:color="auto" w:fill="auto"/>
        </w:tcPr>
        <w:p w14:paraId="019E913D" w14:textId="0E954006" w:rsidR="00453C7F" w:rsidRPr="00121983" w:rsidRDefault="000236EB" w:rsidP="00EE06BE">
          <w:pPr>
            <w:spacing w:before="120"/>
            <w:rPr>
              <w:i/>
              <w:iCs/>
              <w:sz w:val="16"/>
              <w:szCs w:val="16"/>
            </w:rPr>
          </w:pPr>
          <w:r>
            <w:rPr>
              <w:bCs/>
              <w:sz w:val="16"/>
              <w:szCs w:val="16"/>
            </w:rPr>
            <w:t>SERB</w:t>
          </w:r>
          <w:r w:rsidR="00EE06BE">
            <w:rPr>
              <w:bCs/>
              <w:sz w:val="16"/>
              <w:szCs w:val="16"/>
              <w:lang w:val="sr-Latn-RS"/>
            </w:rPr>
            <w:t>293</w:t>
          </w:r>
          <w:r w:rsidR="00BB5EA2" w:rsidRPr="004B08A1">
            <w:rPr>
              <w:bCs/>
              <w:sz w:val="16"/>
              <w:szCs w:val="16"/>
            </w:rPr>
            <w:t xml:space="preserve"> </w:t>
          </w:r>
          <w:r>
            <w:rPr>
              <w:bCs/>
              <w:sz w:val="16"/>
              <w:szCs w:val="16"/>
            </w:rPr>
            <w:t>DD</w:t>
          </w:r>
          <w:r w:rsidR="00AC2005">
            <w:rPr>
              <w:bCs/>
              <w:sz w:val="16"/>
              <w:szCs w:val="16"/>
              <w:lang w:val="sr-Latn-RS"/>
            </w:rPr>
            <w:t>6</w:t>
          </w:r>
          <w:r w:rsidR="00A24A95" w:rsidRPr="004B08A1">
            <w:rPr>
              <w:bCs/>
              <w:sz w:val="16"/>
              <w:szCs w:val="16"/>
            </w:rPr>
            <w:t>0</w:t>
          </w:r>
          <w:r w:rsidR="00BB5EA2" w:rsidRPr="004B08A1">
            <w:rPr>
              <w:bCs/>
              <w:sz w:val="16"/>
              <w:szCs w:val="16"/>
            </w:rPr>
            <w:t xml:space="preserve"> </w:t>
          </w:r>
          <w:r w:rsidR="00EE06BE">
            <w:rPr>
              <w:bCs/>
              <w:sz w:val="16"/>
              <w:szCs w:val="16"/>
              <w:lang w:val="sr-Latn-RS"/>
            </w:rPr>
            <w:t>311023</w:t>
          </w:r>
        </w:p>
      </w:tc>
      <w:tc>
        <w:tcPr>
          <w:tcW w:w="5211" w:type="dxa"/>
          <w:tcBorders>
            <w:left w:val="nil"/>
            <w:bottom w:val="nil"/>
          </w:tcBorders>
          <w:shd w:val="clear" w:color="auto" w:fill="auto"/>
        </w:tcPr>
        <w:p w14:paraId="3B3694E5" w14:textId="5A343A4B" w:rsidR="00453C7F" w:rsidRPr="00BB5EA2" w:rsidRDefault="00453C7F" w:rsidP="00121983">
          <w:pPr>
            <w:spacing w:before="120"/>
            <w:jc w:val="right"/>
            <w:rPr>
              <w:bCs/>
              <w:sz w:val="16"/>
              <w:szCs w:val="16"/>
            </w:rPr>
          </w:pPr>
          <w:r w:rsidRPr="00BB5EA2">
            <w:rPr>
              <w:bCs/>
              <w:sz w:val="16"/>
              <w:szCs w:val="16"/>
            </w:rPr>
            <w:fldChar w:fldCharType="begin"/>
          </w:r>
          <w:r w:rsidRPr="00BB5EA2">
            <w:rPr>
              <w:bCs/>
              <w:sz w:val="16"/>
              <w:szCs w:val="16"/>
            </w:rPr>
            <w:instrText xml:space="preserve"> PAGE </w:instrText>
          </w:r>
          <w:r w:rsidRPr="00BB5EA2">
            <w:rPr>
              <w:bCs/>
              <w:sz w:val="16"/>
              <w:szCs w:val="16"/>
            </w:rPr>
            <w:fldChar w:fldCharType="separate"/>
          </w:r>
          <w:r w:rsidR="00855511">
            <w:rPr>
              <w:bCs/>
              <w:noProof/>
              <w:sz w:val="16"/>
              <w:szCs w:val="16"/>
            </w:rPr>
            <w:t>3</w:t>
          </w:r>
          <w:r w:rsidRPr="00BB5EA2">
            <w:rPr>
              <w:bCs/>
              <w:sz w:val="16"/>
              <w:szCs w:val="16"/>
            </w:rPr>
            <w:fldChar w:fldCharType="end"/>
          </w:r>
        </w:p>
      </w:tc>
    </w:tr>
  </w:tbl>
  <w:p w14:paraId="31DBD598" w14:textId="77777777" w:rsidR="00453C7F" w:rsidRPr="005C58EB" w:rsidRDefault="00453C7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980A" w14:textId="77777777" w:rsidR="007875C6" w:rsidRDefault="007875C6">
      <w:r>
        <w:separator/>
      </w:r>
    </w:p>
  </w:footnote>
  <w:footnote w:type="continuationSeparator" w:id="0">
    <w:p w14:paraId="097A7753" w14:textId="77777777" w:rsidR="007875C6" w:rsidRDefault="0078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D4C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E2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E5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A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82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05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909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85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01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5CC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1A3B"/>
    <w:multiLevelType w:val="hybridMultilevel"/>
    <w:tmpl w:val="A2DC5442"/>
    <w:lvl w:ilvl="0" w:tplc="D5C0BAAE">
      <w:start w:val="1"/>
      <w:numFmt w:val="bullet"/>
      <w:lvlText w:val=""/>
      <w:lvlJc w:val="left"/>
      <w:pPr>
        <w:tabs>
          <w:tab w:val="num" w:pos="1117"/>
        </w:tabs>
        <w:ind w:left="1117" w:hanging="360"/>
      </w:pPr>
      <w:rPr>
        <w:rFonts w:ascii="Symbol" w:hAnsi="Symbol" w:hint="default"/>
        <w:sz w:val="16"/>
        <w:szCs w:val="16"/>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0AA62BC7"/>
    <w:multiLevelType w:val="hybridMultilevel"/>
    <w:tmpl w:val="C0D8D374"/>
    <w:lvl w:ilvl="0" w:tplc="F47A87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34C7B"/>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3" w15:restartNumberingAfterBreak="0">
    <w:nsid w:val="114D6BE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4" w15:restartNumberingAfterBreak="0">
    <w:nsid w:val="15AE790D"/>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6345BCC"/>
    <w:multiLevelType w:val="hybridMultilevel"/>
    <w:tmpl w:val="CB0A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479C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7" w15:restartNumberingAfterBreak="0">
    <w:nsid w:val="32FC1BFC"/>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8" w15:restartNumberingAfterBreak="0">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BC7852"/>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0" w15:restartNumberingAfterBreak="0">
    <w:nsid w:val="39261BEA"/>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1" w15:restartNumberingAfterBreak="0">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59343A"/>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3" w15:restartNumberingAfterBreak="0">
    <w:nsid w:val="3E6E3703"/>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4" w15:restartNumberingAfterBreak="0">
    <w:nsid w:val="40EB474F"/>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5" w15:restartNumberingAfterBreak="0">
    <w:nsid w:val="4164600F"/>
    <w:multiLevelType w:val="multilevel"/>
    <w:tmpl w:val="8B42E072"/>
    <w:lvl w:ilvl="0">
      <w:start w:val="1"/>
      <w:numFmt w:val="decimal"/>
      <w:lvlText w:val="%1"/>
      <w:lvlJc w:val="left"/>
      <w:pPr>
        <w:tabs>
          <w:tab w:val="num" w:pos="360"/>
        </w:tabs>
        <w:ind w:left="363" w:hanging="360"/>
      </w:pPr>
      <w:rPr>
        <w:rFonts w:ascii="Arial" w:hAnsi="Arial" w:hint="default"/>
        <w:b/>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9470E3"/>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7" w15:restartNumberingAfterBreak="0">
    <w:nsid w:val="4B3A34D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8" w15:restartNumberingAfterBreak="0">
    <w:nsid w:val="5311730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9" w15:restartNumberingAfterBreak="0">
    <w:nsid w:val="56303AB2"/>
    <w:multiLevelType w:val="hybridMultilevel"/>
    <w:tmpl w:val="E81E8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A5D26"/>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1" w15:restartNumberingAfterBreak="0">
    <w:nsid w:val="5FB572F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2" w15:restartNumberingAfterBreak="0">
    <w:nsid w:val="6AF80680"/>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8"/>
  </w:num>
  <w:num w:numId="3">
    <w:abstractNumId w:val="9"/>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18"/>
  </w:num>
  <w:num w:numId="12">
    <w:abstractNumId w:val="25"/>
  </w:num>
  <w:num w:numId="13">
    <w:abstractNumId w:val="8"/>
  </w:num>
  <w:num w:numId="14">
    <w:abstractNumId w:val="30"/>
  </w:num>
  <w:num w:numId="15">
    <w:abstractNumId w:val="27"/>
  </w:num>
  <w:num w:numId="16">
    <w:abstractNumId w:val="13"/>
  </w:num>
  <w:num w:numId="17">
    <w:abstractNumId w:val="14"/>
  </w:num>
  <w:num w:numId="18">
    <w:abstractNumId w:val="33"/>
  </w:num>
  <w:num w:numId="19">
    <w:abstractNumId w:val="24"/>
  </w:num>
  <w:num w:numId="20">
    <w:abstractNumId w:val="21"/>
  </w:num>
  <w:num w:numId="21">
    <w:abstractNumId w:val="32"/>
  </w:num>
  <w:num w:numId="22">
    <w:abstractNumId w:val="26"/>
  </w:num>
  <w:num w:numId="23">
    <w:abstractNumId w:val="23"/>
  </w:num>
  <w:num w:numId="24">
    <w:abstractNumId w:val="17"/>
  </w:num>
  <w:num w:numId="25">
    <w:abstractNumId w:val="16"/>
  </w:num>
  <w:num w:numId="26">
    <w:abstractNumId w:val="19"/>
  </w:num>
  <w:num w:numId="27">
    <w:abstractNumId w:val="31"/>
  </w:num>
  <w:num w:numId="28">
    <w:abstractNumId w:val="12"/>
  </w:num>
  <w:num w:numId="29">
    <w:abstractNumId w:val="28"/>
  </w:num>
  <w:num w:numId="30">
    <w:abstractNumId w:val="22"/>
  </w:num>
  <w:num w:numId="31">
    <w:abstractNumId w:val="20"/>
  </w:num>
  <w:num w:numId="32">
    <w:abstractNumId w:val="10"/>
  </w:num>
  <w:num w:numId="33">
    <w:abstractNumId w:val="11"/>
  </w:num>
  <w:num w:numId="34">
    <w:abstractNumId w:val="1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evenAndOddHeaders/>
  <w:drawingGridHorizontalSpacing w:val="11"/>
  <w:drawingGridVerticalSpacing w:val="1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5F"/>
    <w:rsid w:val="00000930"/>
    <w:rsid w:val="00001B43"/>
    <w:rsid w:val="00004300"/>
    <w:rsid w:val="000043B3"/>
    <w:rsid w:val="000049E7"/>
    <w:rsid w:val="00006E81"/>
    <w:rsid w:val="00007147"/>
    <w:rsid w:val="000143E0"/>
    <w:rsid w:val="0001483F"/>
    <w:rsid w:val="00014EB0"/>
    <w:rsid w:val="0001555B"/>
    <w:rsid w:val="00015CAF"/>
    <w:rsid w:val="00016092"/>
    <w:rsid w:val="000163BB"/>
    <w:rsid w:val="00016B1A"/>
    <w:rsid w:val="00017FF4"/>
    <w:rsid w:val="000219E7"/>
    <w:rsid w:val="00021C9B"/>
    <w:rsid w:val="000236EB"/>
    <w:rsid w:val="000267FD"/>
    <w:rsid w:val="00030BF1"/>
    <w:rsid w:val="00030C8E"/>
    <w:rsid w:val="00032DC9"/>
    <w:rsid w:val="00033823"/>
    <w:rsid w:val="000354D0"/>
    <w:rsid w:val="0004257C"/>
    <w:rsid w:val="000426E3"/>
    <w:rsid w:val="00043FDF"/>
    <w:rsid w:val="00044911"/>
    <w:rsid w:val="00045233"/>
    <w:rsid w:val="0004716C"/>
    <w:rsid w:val="00053023"/>
    <w:rsid w:val="000539A6"/>
    <w:rsid w:val="000577D3"/>
    <w:rsid w:val="000619D9"/>
    <w:rsid w:val="00062C6A"/>
    <w:rsid w:val="00064080"/>
    <w:rsid w:val="00066257"/>
    <w:rsid w:val="00067794"/>
    <w:rsid w:val="00067CE4"/>
    <w:rsid w:val="0007058D"/>
    <w:rsid w:val="00070E3F"/>
    <w:rsid w:val="00072B03"/>
    <w:rsid w:val="00073EE4"/>
    <w:rsid w:val="00076268"/>
    <w:rsid w:val="00077A36"/>
    <w:rsid w:val="00077A3B"/>
    <w:rsid w:val="00081FB5"/>
    <w:rsid w:val="00084C6C"/>
    <w:rsid w:val="000867E0"/>
    <w:rsid w:val="000A0451"/>
    <w:rsid w:val="000A262A"/>
    <w:rsid w:val="000A29EC"/>
    <w:rsid w:val="000A37B0"/>
    <w:rsid w:val="000A3AF9"/>
    <w:rsid w:val="000A6D96"/>
    <w:rsid w:val="000B3454"/>
    <w:rsid w:val="000C04B3"/>
    <w:rsid w:val="000C1AD8"/>
    <w:rsid w:val="000C1B97"/>
    <w:rsid w:val="000C5009"/>
    <w:rsid w:val="000C686F"/>
    <w:rsid w:val="000C688C"/>
    <w:rsid w:val="000C78DA"/>
    <w:rsid w:val="000D1593"/>
    <w:rsid w:val="000D46B9"/>
    <w:rsid w:val="000D4726"/>
    <w:rsid w:val="000E0B04"/>
    <w:rsid w:val="000E2C28"/>
    <w:rsid w:val="000E574A"/>
    <w:rsid w:val="000E777C"/>
    <w:rsid w:val="000F3ABD"/>
    <w:rsid w:val="00102B85"/>
    <w:rsid w:val="00102E04"/>
    <w:rsid w:val="001034CA"/>
    <w:rsid w:val="001057A8"/>
    <w:rsid w:val="00107419"/>
    <w:rsid w:val="00107488"/>
    <w:rsid w:val="00107E75"/>
    <w:rsid w:val="001102C9"/>
    <w:rsid w:val="00110976"/>
    <w:rsid w:val="00110E56"/>
    <w:rsid w:val="00111C72"/>
    <w:rsid w:val="001121DC"/>
    <w:rsid w:val="00113AE1"/>
    <w:rsid w:val="00113F8E"/>
    <w:rsid w:val="0011463B"/>
    <w:rsid w:val="00120DC5"/>
    <w:rsid w:val="00121983"/>
    <w:rsid w:val="001230AF"/>
    <w:rsid w:val="001244EF"/>
    <w:rsid w:val="001245F5"/>
    <w:rsid w:val="001258DE"/>
    <w:rsid w:val="0012795C"/>
    <w:rsid w:val="00127FD6"/>
    <w:rsid w:val="00130FF0"/>
    <w:rsid w:val="00131624"/>
    <w:rsid w:val="0013640B"/>
    <w:rsid w:val="00136E88"/>
    <w:rsid w:val="0014018B"/>
    <w:rsid w:val="0014298B"/>
    <w:rsid w:val="0014468F"/>
    <w:rsid w:val="00145330"/>
    <w:rsid w:val="001476C6"/>
    <w:rsid w:val="00147DEF"/>
    <w:rsid w:val="001520F0"/>
    <w:rsid w:val="00155AD3"/>
    <w:rsid w:val="00156424"/>
    <w:rsid w:val="001564FB"/>
    <w:rsid w:val="0016150D"/>
    <w:rsid w:val="00161C21"/>
    <w:rsid w:val="001652EB"/>
    <w:rsid w:val="00165B24"/>
    <w:rsid w:val="00171DB3"/>
    <w:rsid w:val="0017347C"/>
    <w:rsid w:val="00173AFF"/>
    <w:rsid w:val="00173ED7"/>
    <w:rsid w:val="00174E1D"/>
    <w:rsid w:val="00180B45"/>
    <w:rsid w:val="001826EB"/>
    <w:rsid w:val="00182884"/>
    <w:rsid w:val="00190C0E"/>
    <w:rsid w:val="0019513C"/>
    <w:rsid w:val="001954F0"/>
    <w:rsid w:val="00195AB7"/>
    <w:rsid w:val="001A1285"/>
    <w:rsid w:val="001B3E89"/>
    <w:rsid w:val="001B3EC7"/>
    <w:rsid w:val="001B4454"/>
    <w:rsid w:val="001B7479"/>
    <w:rsid w:val="001C0C7C"/>
    <w:rsid w:val="001C153D"/>
    <w:rsid w:val="001C3839"/>
    <w:rsid w:val="001C6545"/>
    <w:rsid w:val="001C6981"/>
    <w:rsid w:val="001D168D"/>
    <w:rsid w:val="001D1EB0"/>
    <w:rsid w:val="001D5850"/>
    <w:rsid w:val="001E0113"/>
    <w:rsid w:val="001E21B5"/>
    <w:rsid w:val="001E43EA"/>
    <w:rsid w:val="001E4EB7"/>
    <w:rsid w:val="001E6BA7"/>
    <w:rsid w:val="001E7F7D"/>
    <w:rsid w:val="0020324B"/>
    <w:rsid w:val="00203804"/>
    <w:rsid w:val="00203A5B"/>
    <w:rsid w:val="00205215"/>
    <w:rsid w:val="0021173C"/>
    <w:rsid w:val="002128D5"/>
    <w:rsid w:val="00213602"/>
    <w:rsid w:val="00213A6E"/>
    <w:rsid w:val="00215B00"/>
    <w:rsid w:val="0021742E"/>
    <w:rsid w:val="002204E9"/>
    <w:rsid w:val="00223D6E"/>
    <w:rsid w:val="00225696"/>
    <w:rsid w:val="00226D36"/>
    <w:rsid w:val="0022773A"/>
    <w:rsid w:val="00230BDB"/>
    <w:rsid w:val="00230C8C"/>
    <w:rsid w:val="00232E3E"/>
    <w:rsid w:val="002338F2"/>
    <w:rsid w:val="00233C03"/>
    <w:rsid w:val="0023470F"/>
    <w:rsid w:val="00234B63"/>
    <w:rsid w:val="00234BB3"/>
    <w:rsid w:val="0023563E"/>
    <w:rsid w:val="00236CAE"/>
    <w:rsid w:val="00240865"/>
    <w:rsid w:val="00243568"/>
    <w:rsid w:val="0024382A"/>
    <w:rsid w:val="00244C9C"/>
    <w:rsid w:val="0024664D"/>
    <w:rsid w:val="002466E8"/>
    <w:rsid w:val="002516DA"/>
    <w:rsid w:val="00252B06"/>
    <w:rsid w:val="00254697"/>
    <w:rsid w:val="00256ADA"/>
    <w:rsid w:val="00256E99"/>
    <w:rsid w:val="002577D1"/>
    <w:rsid w:val="002609CA"/>
    <w:rsid w:val="002610E9"/>
    <w:rsid w:val="002631A4"/>
    <w:rsid w:val="00263275"/>
    <w:rsid w:val="00266953"/>
    <w:rsid w:val="002700BC"/>
    <w:rsid w:val="00273D64"/>
    <w:rsid w:val="00274427"/>
    <w:rsid w:val="00276A1E"/>
    <w:rsid w:val="002810E0"/>
    <w:rsid w:val="002819F3"/>
    <w:rsid w:val="00290E74"/>
    <w:rsid w:val="002949CF"/>
    <w:rsid w:val="002A0125"/>
    <w:rsid w:val="002A136B"/>
    <w:rsid w:val="002B2709"/>
    <w:rsid w:val="002B4877"/>
    <w:rsid w:val="002B4F5E"/>
    <w:rsid w:val="002B5976"/>
    <w:rsid w:val="002B5D71"/>
    <w:rsid w:val="002B6B9F"/>
    <w:rsid w:val="002C18B2"/>
    <w:rsid w:val="002C472F"/>
    <w:rsid w:val="002C5688"/>
    <w:rsid w:val="002C589B"/>
    <w:rsid w:val="002D3783"/>
    <w:rsid w:val="002D4CF6"/>
    <w:rsid w:val="002D5D8C"/>
    <w:rsid w:val="002E3044"/>
    <w:rsid w:val="002E593D"/>
    <w:rsid w:val="002E7A1A"/>
    <w:rsid w:val="002E7B26"/>
    <w:rsid w:val="002F2785"/>
    <w:rsid w:val="002F379F"/>
    <w:rsid w:val="002F3C31"/>
    <w:rsid w:val="002F428E"/>
    <w:rsid w:val="002F56F8"/>
    <w:rsid w:val="00301B03"/>
    <w:rsid w:val="00301C9C"/>
    <w:rsid w:val="00305631"/>
    <w:rsid w:val="00305CBF"/>
    <w:rsid w:val="00306589"/>
    <w:rsid w:val="00311DCD"/>
    <w:rsid w:val="00313B03"/>
    <w:rsid w:val="00316360"/>
    <w:rsid w:val="00321706"/>
    <w:rsid w:val="003234D7"/>
    <w:rsid w:val="003247DE"/>
    <w:rsid w:val="00326EEE"/>
    <w:rsid w:val="00326FAB"/>
    <w:rsid w:val="00327C8A"/>
    <w:rsid w:val="003304EB"/>
    <w:rsid w:val="0033061A"/>
    <w:rsid w:val="00332543"/>
    <w:rsid w:val="00333DE4"/>
    <w:rsid w:val="0033618E"/>
    <w:rsid w:val="00336BEF"/>
    <w:rsid w:val="00344EE2"/>
    <w:rsid w:val="003472A6"/>
    <w:rsid w:val="0035192F"/>
    <w:rsid w:val="00355148"/>
    <w:rsid w:val="00355A61"/>
    <w:rsid w:val="00356B0E"/>
    <w:rsid w:val="00356FBA"/>
    <w:rsid w:val="00366EFE"/>
    <w:rsid w:val="00375752"/>
    <w:rsid w:val="003803A2"/>
    <w:rsid w:val="00382B2F"/>
    <w:rsid w:val="0038503F"/>
    <w:rsid w:val="0038596D"/>
    <w:rsid w:val="00386A14"/>
    <w:rsid w:val="00391095"/>
    <w:rsid w:val="00392BA4"/>
    <w:rsid w:val="0039472D"/>
    <w:rsid w:val="00396036"/>
    <w:rsid w:val="0039633E"/>
    <w:rsid w:val="003A2612"/>
    <w:rsid w:val="003A2620"/>
    <w:rsid w:val="003A2F46"/>
    <w:rsid w:val="003A44EC"/>
    <w:rsid w:val="003A58D3"/>
    <w:rsid w:val="003A7C30"/>
    <w:rsid w:val="003B0524"/>
    <w:rsid w:val="003B18BD"/>
    <w:rsid w:val="003B2527"/>
    <w:rsid w:val="003B364E"/>
    <w:rsid w:val="003B6CD5"/>
    <w:rsid w:val="003C0458"/>
    <w:rsid w:val="003C3DBD"/>
    <w:rsid w:val="003C42A1"/>
    <w:rsid w:val="003C42E8"/>
    <w:rsid w:val="003C4653"/>
    <w:rsid w:val="003C6B7E"/>
    <w:rsid w:val="003D45F9"/>
    <w:rsid w:val="003D4B6B"/>
    <w:rsid w:val="003E06F2"/>
    <w:rsid w:val="003E1928"/>
    <w:rsid w:val="003E3C34"/>
    <w:rsid w:val="003E3F4C"/>
    <w:rsid w:val="003E42B3"/>
    <w:rsid w:val="003E5807"/>
    <w:rsid w:val="003E6600"/>
    <w:rsid w:val="003E67AB"/>
    <w:rsid w:val="003E6E3B"/>
    <w:rsid w:val="003F14CC"/>
    <w:rsid w:val="003F3EE3"/>
    <w:rsid w:val="003F703C"/>
    <w:rsid w:val="003F7055"/>
    <w:rsid w:val="00400067"/>
    <w:rsid w:val="004007BD"/>
    <w:rsid w:val="004013BD"/>
    <w:rsid w:val="0040218E"/>
    <w:rsid w:val="00404530"/>
    <w:rsid w:val="00411A47"/>
    <w:rsid w:val="00412319"/>
    <w:rsid w:val="0041497A"/>
    <w:rsid w:val="0041739D"/>
    <w:rsid w:val="0042204F"/>
    <w:rsid w:val="004263AF"/>
    <w:rsid w:val="00432F75"/>
    <w:rsid w:val="00435ABE"/>
    <w:rsid w:val="0043618D"/>
    <w:rsid w:val="00436EFB"/>
    <w:rsid w:val="00441292"/>
    <w:rsid w:val="0044139C"/>
    <w:rsid w:val="00442E5A"/>
    <w:rsid w:val="0044377E"/>
    <w:rsid w:val="0044647D"/>
    <w:rsid w:val="004479E5"/>
    <w:rsid w:val="00452B29"/>
    <w:rsid w:val="00453C7F"/>
    <w:rsid w:val="00456D83"/>
    <w:rsid w:val="00457175"/>
    <w:rsid w:val="004576BF"/>
    <w:rsid w:val="0046281B"/>
    <w:rsid w:val="00463D4A"/>
    <w:rsid w:val="00463EB4"/>
    <w:rsid w:val="004652A4"/>
    <w:rsid w:val="00467296"/>
    <w:rsid w:val="0047335A"/>
    <w:rsid w:val="0048002C"/>
    <w:rsid w:val="00480165"/>
    <w:rsid w:val="00481266"/>
    <w:rsid w:val="004872A5"/>
    <w:rsid w:val="004931DB"/>
    <w:rsid w:val="0049366C"/>
    <w:rsid w:val="004946DA"/>
    <w:rsid w:val="004958A5"/>
    <w:rsid w:val="004A11D9"/>
    <w:rsid w:val="004A1477"/>
    <w:rsid w:val="004A1954"/>
    <w:rsid w:val="004A4561"/>
    <w:rsid w:val="004A638A"/>
    <w:rsid w:val="004A67B1"/>
    <w:rsid w:val="004B0158"/>
    <w:rsid w:val="004B08A1"/>
    <w:rsid w:val="004B2023"/>
    <w:rsid w:val="004B3866"/>
    <w:rsid w:val="004B4D2D"/>
    <w:rsid w:val="004B54DF"/>
    <w:rsid w:val="004B552E"/>
    <w:rsid w:val="004B5F8E"/>
    <w:rsid w:val="004B6BBC"/>
    <w:rsid w:val="004B7B4F"/>
    <w:rsid w:val="004B7F01"/>
    <w:rsid w:val="004C11E2"/>
    <w:rsid w:val="004C18F8"/>
    <w:rsid w:val="004C21B2"/>
    <w:rsid w:val="004C3793"/>
    <w:rsid w:val="004C527F"/>
    <w:rsid w:val="004D012B"/>
    <w:rsid w:val="004D0607"/>
    <w:rsid w:val="004D182D"/>
    <w:rsid w:val="004D2DBA"/>
    <w:rsid w:val="004D401D"/>
    <w:rsid w:val="004D4930"/>
    <w:rsid w:val="004D53AC"/>
    <w:rsid w:val="004D6BAD"/>
    <w:rsid w:val="004E0AE7"/>
    <w:rsid w:val="004E17DF"/>
    <w:rsid w:val="004E266D"/>
    <w:rsid w:val="004E3924"/>
    <w:rsid w:val="004E4384"/>
    <w:rsid w:val="004E5ADD"/>
    <w:rsid w:val="004E744D"/>
    <w:rsid w:val="004F21F3"/>
    <w:rsid w:val="004F2649"/>
    <w:rsid w:val="004F2B62"/>
    <w:rsid w:val="004F310F"/>
    <w:rsid w:val="004F4876"/>
    <w:rsid w:val="004F4A78"/>
    <w:rsid w:val="004F54B8"/>
    <w:rsid w:val="004F62B6"/>
    <w:rsid w:val="004F6E12"/>
    <w:rsid w:val="00502BD3"/>
    <w:rsid w:val="00506026"/>
    <w:rsid w:val="005062DF"/>
    <w:rsid w:val="0050793F"/>
    <w:rsid w:val="005104DA"/>
    <w:rsid w:val="00510964"/>
    <w:rsid w:val="00512625"/>
    <w:rsid w:val="00512969"/>
    <w:rsid w:val="0051577A"/>
    <w:rsid w:val="005169A6"/>
    <w:rsid w:val="00521AE2"/>
    <w:rsid w:val="0052332D"/>
    <w:rsid w:val="005271E4"/>
    <w:rsid w:val="005274F5"/>
    <w:rsid w:val="005301CD"/>
    <w:rsid w:val="0053352E"/>
    <w:rsid w:val="005335B1"/>
    <w:rsid w:val="00533AAA"/>
    <w:rsid w:val="005361F9"/>
    <w:rsid w:val="00541130"/>
    <w:rsid w:val="00544D5F"/>
    <w:rsid w:val="005452E1"/>
    <w:rsid w:val="00545BC6"/>
    <w:rsid w:val="0054669F"/>
    <w:rsid w:val="0055116B"/>
    <w:rsid w:val="00556B12"/>
    <w:rsid w:val="00557A39"/>
    <w:rsid w:val="005605E2"/>
    <w:rsid w:val="00561598"/>
    <w:rsid w:val="00561CCF"/>
    <w:rsid w:val="00563118"/>
    <w:rsid w:val="00563A34"/>
    <w:rsid w:val="00564996"/>
    <w:rsid w:val="00565919"/>
    <w:rsid w:val="005666E4"/>
    <w:rsid w:val="00571BAF"/>
    <w:rsid w:val="00573BE6"/>
    <w:rsid w:val="00574802"/>
    <w:rsid w:val="00580A64"/>
    <w:rsid w:val="00581411"/>
    <w:rsid w:val="00581CBD"/>
    <w:rsid w:val="00582739"/>
    <w:rsid w:val="00582EA5"/>
    <w:rsid w:val="00583A73"/>
    <w:rsid w:val="00591F3B"/>
    <w:rsid w:val="005943A0"/>
    <w:rsid w:val="00596A18"/>
    <w:rsid w:val="00596F4C"/>
    <w:rsid w:val="005A16B2"/>
    <w:rsid w:val="005A57A4"/>
    <w:rsid w:val="005B0413"/>
    <w:rsid w:val="005B5AFC"/>
    <w:rsid w:val="005B6A77"/>
    <w:rsid w:val="005B70D3"/>
    <w:rsid w:val="005B7DFD"/>
    <w:rsid w:val="005C071D"/>
    <w:rsid w:val="005C10E4"/>
    <w:rsid w:val="005C2B07"/>
    <w:rsid w:val="005C2D7F"/>
    <w:rsid w:val="005C4034"/>
    <w:rsid w:val="005C58EB"/>
    <w:rsid w:val="005C71C3"/>
    <w:rsid w:val="005C7659"/>
    <w:rsid w:val="005D16C2"/>
    <w:rsid w:val="005D1893"/>
    <w:rsid w:val="005D3E45"/>
    <w:rsid w:val="005E19CF"/>
    <w:rsid w:val="005E241D"/>
    <w:rsid w:val="005E274A"/>
    <w:rsid w:val="005E3DE6"/>
    <w:rsid w:val="005E6D44"/>
    <w:rsid w:val="005E7BFF"/>
    <w:rsid w:val="005F02DD"/>
    <w:rsid w:val="005F1AC5"/>
    <w:rsid w:val="005F28C1"/>
    <w:rsid w:val="005F37EB"/>
    <w:rsid w:val="005F408E"/>
    <w:rsid w:val="005F62A6"/>
    <w:rsid w:val="005F63F3"/>
    <w:rsid w:val="005F7FA3"/>
    <w:rsid w:val="006010DA"/>
    <w:rsid w:val="0060162F"/>
    <w:rsid w:val="006026DA"/>
    <w:rsid w:val="00603EBB"/>
    <w:rsid w:val="0060643B"/>
    <w:rsid w:val="00606DB9"/>
    <w:rsid w:val="006105C6"/>
    <w:rsid w:val="0061177E"/>
    <w:rsid w:val="00611CF0"/>
    <w:rsid w:val="00620714"/>
    <w:rsid w:val="00623283"/>
    <w:rsid w:val="006258F8"/>
    <w:rsid w:val="00626DB8"/>
    <w:rsid w:val="00627E99"/>
    <w:rsid w:val="00630A0F"/>
    <w:rsid w:val="00634ED1"/>
    <w:rsid w:val="006351F0"/>
    <w:rsid w:val="00635326"/>
    <w:rsid w:val="00637A51"/>
    <w:rsid w:val="00641420"/>
    <w:rsid w:val="00641C1F"/>
    <w:rsid w:val="00642383"/>
    <w:rsid w:val="0065234A"/>
    <w:rsid w:val="00657302"/>
    <w:rsid w:val="00666005"/>
    <w:rsid w:val="0067119B"/>
    <w:rsid w:val="0067192E"/>
    <w:rsid w:val="00675D41"/>
    <w:rsid w:val="00677A51"/>
    <w:rsid w:val="006823C3"/>
    <w:rsid w:val="00683B19"/>
    <w:rsid w:val="00686DED"/>
    <w:rsid w:val="00692DC1"/>
    <w:rsid w:val="00696BAA"/>
    <w:rsid w:val="006A2A25"/>
    <w:rsid w:val="006A3853"/>
    <w:rsid w:val="006A44B2"/>
    <w:rsid w:val="006A52E4"/>
    <w:rsid w:val="006A53BA"/>
    <w:rsid w:val="006A6AE8"/>
    <w:rsid w:val="006A7E8E"/>
    <w:rsid w:val="006B13B5"/>
    <w:rsid w:val="006B3992"/>
    <w:rsid w:val="006B3BDE"/>
    <w:rsid w:val="006B4DB8"/>
    <w:rsid w:val="006B7338"/>
    <w:rsid w:val="006B7517"/>
    <w:rsid w:val="006C078D"/>
    <w:rsid w:val="006C0A48"/>
    <w:rsid w:val="006C0CB0"/>
    <w:rsid w:val="006C1C63"/>
    <w:rsid w:val="006C6A44"/>
    <w:rsid w:val="006C70DB"/>
    <w:rsid w:val="006C7250"/>
    <w:rsid w:val="006C7723"/>
    <w:rsid w:val="006C7928"/>
    <w:rsid w:val="006D0CAA"/>
    <w:rsid w:val="006D4ED8"/>
    <w:rsid w:val="006E05AC"/>
    <w:rsid w:val="006E1333"/>
    <w:rsid w:val="006E559B"/>
    <w:rsid w:val="006E627C"/>
    <w:rsid w:val="006E6BA4"/>
    <w:rsid w:val="006E7AF4"/>
    <w:rsid w:val="006F2173"/>
    <w:rsid w:val="006F22F3"/>
    <w:rsid w:val="006F24E9"/>
    <w:rsid w:val="006F35D2"/>
    <w:rsid w:val="006F5C0F"/>
    <w:rsid w:val="006F608C"/>
    <w:rsid w:val="00700B0B"/>
    <w:rsid w:val="007011F2"/>
    <w:rsid w:val="00702307"/>
    <w:rsid w:val="00704CFF"/>
    <w:rsid w:val="00706103"/>
    <w:rsid w:val="00706B34"/>
    <w:rsid w:val="00707487"/>
    <w:rsid w:val="0071018C"/>
    <w:rsid w:val="00712159"/>
    <w:rsid w:val="007204BD"/>
    <w:rsid w:val="00730375"/>
    <w:rsid w:val="0073113A"/>
    <w:rsid w:val="007322D6"/>
    <w:rsid w:val="00733B39"/>
    <w:rsid w:val="0073422F"/>
    <w:rsid w:val="00737F62"/>
    <w:rsid w:val="00741077"/>
    <w:rsid w:val="00744489"/>
    <w:rsid w:val="00746966"/>
    <w:rsid w:val="00750E3E"/>
    <w:rsid w:val="00750E8A"/>
    <w:rsid w:val="007531F1"/>
    <w:rsid w:val="00762723"/>
    <w:rsid w:val="00763C2B"/>
    <w:rsid w:val="0076456A"/>
    <w:rsid w:val="00766E3A"/>
    <w:rsid w:val="007726AD"/>
    <w:rsid w:val="007748B0"/>
    <w:rsid w:val="0077626A"/>
    <w:rsid w:val="0077628B"/>
    <w:rsid w:val="007772AD"/>
    <w:rsid w:val="00780774"/>
    <w:rsid w:val="007832DB"/>
    <w:rsid w:val="00784B32"/>
    <w:rsid w:val="0078503C"/>
    <w:rsid w:val="00785E52"/>
    <w:rsid w:val="0078713D"/>
    <w:rsid w:val="007875C6"/>
    <w:rsid w:val="00790174"/>
    <w:rsid w:val="00794B54"/>
    <w:rsid w:val="007A190F"/>
    <w:rsid w:val="007A2ACB"/>
    <w:rsid w:val="007A2CAD"/>
    <w:rsid w:val="007A551E"/>
    <w:rsid w:val="007A61F0"/>
    <w:rsid w:val="007B0D83"/>
    <w:rsid w:val="007B4DA6"/>
    <w:rsid w:val="007C1EA8"/>
    <w:rsid w:val="007C2AE2"/>
    <w:rsid w:val="007C2B6B"/>
    <w:rsid w:val="007C2F91"/>
    <w:rsid w:val="007C6B88"/>
    <w:rsid w:val="007C782F"/>
    <w:rsid w:val="007D1810"/>
    <w:rsid w:val="007D1AFF"/>
    <w:rsid w:val="007D41B7"/>
    <w:rsid w:val="007D4AF9"/>
    <w:rsid w:val="007D5833"/>
    <w:rsid w:val="007D6100"/>
    <w:rsid w:val="007D6463"/>
    <w:rsid w:val="007D757B"/>
    <w:rsid w:val="007D7C48"/>
    <w:rsid w:val="007E2BD1"/>
    <w:rsid w:val="007E3FD2"/>
    <w:rsid w:val="007E4376"/>
    <w:rsid w:val="007E6E68"/>
    <w:rsid w:val="007F0B50"/>
    <w:rsid w:val="007F1EB5"/>
    <w:rsid w:val="007F4495"/>
    <w:rsid w:val="007F4BED"/>
    <w:rsid w:val="007F5C11"/>
    <w:rsid w:val="007F63EA"/>
    <w:rsid w:val="007F7590"/>
    <w:rsid w:val="00800622"/>
    <w:rsid w:val="00800F62"/>
    <w:rsid w:val="00812BB3"/>
    <w:rsid w:val="008167FC"/>
    <w:rsid w:val="008168AB"/>
    <w:rsid w:val="008174D7"/>
    <w:rsid w:val="0082022E"/>
    <w:rsid w:val="00822AE7"/>
    <w:rsid w:val="00822FF7"/>
    <w:rsid w:val="0082499A"/>
    <w:rsid w:val="00826350"/>
    <w:rsid w:val="00826A31"/>
    <w:rsid w:val="00826FCC"/>
    <w:rsid w:val="008323A0"/>
    <w:rsid w:val="00833928"/>
    <w:rsid w:val="008340E5"/>
    <w:rsid w:val="00841292"/>
    <w:rsid w:val="00846BE3"/>
    <w:rsid w:val="00847EDD"/>
    <w:rsid w:val="00851FBE"/>
    <w:rsid w:val="008523E9"/>
    <w:rsid w:val="00854193"/>
    <w:rsid w:val="00855511"/>
    <w:rsid w:val="00862E3C"/>
    <w:rsid w:val="00864A2E"/>
    <w:rsid w:val="00865950"/>
    <w:rsid w:val="008669CB"/>
    <w:rsid w:val="00870CB1"/>
    <w:rsid w:val="00872673"/>
    <w:rsid w:val="00874931"/>
    <w:rsid w:val="008757C4"/>
    <w:rsid w:val="0087659E"/>
    <w:rsid w:val="0087679A"/>
    <w:rsid w:val="00876A77"/>
    <w:rsid w:val="00876E67"/>
    <w:rsid w:val="00877D0B"/>
    <w:rsid w:val="00883BE0"/>
    <w:rsid w:val="00884945"/>
    <w:rsid w:val="00884EDB"/>
    <w:rsid w:val="00885181"/>
    <w:rsid w:val="00885254"/>
    <w:rsid w:val="00892087"/>
    <w:rsid w:val="008946E5"/>
    <w:rsid w:val="008948E0"/>
    <w:rsid w:val="008A0D34"/>
    <w:rsid w:val="008A1AD5"/>
    <w:rsid w:val="008A24C5"/>
    <w:rsid w:val="008A57BC"/>
    <w:rsid w:val="008B1E0E"/>
    <w:rsid w:val="008B1F76"/>
    <w:rsid w:val="008B2204"/>
    <w:rsid w:val="008B38B4"/>
    <w:rsid w:val="008B7FA0"/>
    <w:rsid w:val="008C1A3D"/>
    <w:rsid w:val="008C1E7B"/>
    <w:rsid w:val="008C3B72"/>
    <w:rsid w:val="008C3DF7"/>
    <w:rsid w:val="008C44B8"/>
    <w:rsid w:val="008C568E"/>
    <w:rsid w:val="008D2A53"/>
    <w:rsid w:val="008D2C6D"/>
    <w:rsid w:val="008E0041"/>
    <w:rsid w:val="008E4E6E"/>
    <w:rsid w:val="008E54DD"/>
    <w:rsid w:val="008E6658"/>
    <w:rsid w:val="008E7C8A"/>
    <w:rsid w:val="008F17CC"/>
    <w:rsid w:val="008F41B1"/>
    <w:rsid w:val="0090049D"/>
    <w:rsid w:val="00900A55"/>
    <w:rsid w:val="009010D7"/>
    <w:rsid w:val="00901CDC"/>
    <w:rsid w:val="00901DE2"/>
    <w:rsid w:val="00902365"/>
    <w:rsid w:val="00902EBF"/>
    <w:rsid w:val="00904BEC"/>
    <w:rsid w:val="009059DA"/>
    <w:rsid w:val="0091095C"/>
    <w:rsid w:val="00926EFD"/>
    <w:rsid w:val="00930C23"/>
    <w:rsid w:val="009324E6"/>
    <w:rsid w:val="00933357"/>
    <w:rsid w:val="00933BE4"/>
    <w:rsid w:val="00934765"/>
    <w:rsid w:val="00935F76"/>
    <w:rsid w:val="00937434"/>
    <w:rsid w:val="00940DEA"/>
    <w:rsid w:val="00945D7A"/>
    <w:rsid w:val="0094681F"/>
    <w:rsid w:val="00953B72"/>
    <w:rsid w:val="00956986"/>
    <w:rsid w:val="00956C49"/>
    <w:rsid w:val="009625D1"/>
    <w:rsid w:val="009645B3"/>
    <w:rsid w:val="009671ED"/>
    <w:rsid w:val="00967DDA"/>
    <w:rsid w:val="00970967"/>
    <w:rsid w:val="00974A22"/>
    <w:rsid w:val="00982FC2"/>
    <w:rsid w:val="00983123"/>
    <w:rsid w:val="00986CDD"/>
    <w:rsid w:val="00991B80"/>
    <w:rsid w:val="00993972"/>
    <w:rsid w:val="009954BC"/>
    <w:rsid w:val="00996365"/>
    <w:rsid w:val="00997461"/>
    <w:rsid w:val="009A0259"/>
    <w:rsid w:val="009A300F"/>
    <w:rsid w:val="009A306E"/>
    <w:rsid w:val="009A6C78"/>
    <w:rsid w:val="009B4B39"/>
    <w:rsid w:val="009B4C18"/>
    <w:rsid w:val="009B7346"/>
    <w:rsid w:val="009B75ED"/>
    <w:rsid w:val="009C0DD8"/>
    <w:rsid w:val="009C1D18"/>
    <w:rsid w:val="009C2D35"/>
    <w:rsid w:val="009C2E9C"/>
    <w:rsid w:val="009C4466"/>
    <w:rsid w:val="009C712F"/>
    <w:rsid w:val="009D28E8"/>
    <w:rsid w:val="009D2D20"/>
    <w:rsid w:val="009D64A2"/>
    <w:rsid w:val="009D78D2"/>
    <w:rsid w:val="009E0200"/>
    <w:rsid w:val="009E35C5"/>
    <w:rsid w:val="009E4CF4"/>
    <w:rsid w:val="009E6CE2"/>
    <w:rsid w:val="009F3500"/>
    <w:rsid w:val="009F5B08"/>
    <w:rsid w:val="009F70D5"/>
    <w:rsid w:val="00A01C8B"/>
    <w:rsid w:val="00A026A9"/>
    <w:rsid w:val="00A04003"/>
    <w:rsid w:val="00A0546E"/>
    <w:rsid w:val="00A05F20"/>
    <w:rsid w:val="00A10B37"/>
    <w:rsid w:val="00A1165E"/>
    <w:rsid w:val="00A13886"/>
    <w:rsid w:val="00A16076"/>
    <w:rsid w:val="00A1690E"/>
    <w:rsid w:val="00A20D67"/>
    <w:rsid w:val="00A24A95"/>
    <w:rsid w:val="00A373A4"/>
    <w:rsid w:val="00A40D1D"/>
    <w:rsid w:val="00A46980"/>
    <w:rsid w:val="00A512AB"/>
    <w:rsid w:val="00A5212F"/>
    <w:rsid w:val="00A54D54"/>
    <w:rsid w:val="00A55FC8"/>
    <w:rsid w:val="00A56D40"/>
    <w:rsid w:val="00A61745"/>
    <w:rsid w:val="00A62452"/>
    <w:rsid w:val="00A64476"/>
    <w:rsid w:val="00A6552A"/>
    <w:rsid w:val="00A65F5B"/>
    <w:rsid w:val="00A67994"/>
    <w:rsid w:val="00A73832"/>
    <w:rsid w:val="00A7556A"/>
    <w:rsid w:val="00A81334"/>
    <w:rsid w:val="00A82724"/>
    <w:rsid w:val="00A84F98"/>
    <w:rsid w:val="00A855CC"/>
    <w:rsid w:val="00A85DAF"/>
    <w:rsid w:val="00A8634D"/>
    <w:rsid w:val="00A86356"/>
    <w:rsid w:val="00A86542"/>
    <w:rsid w:val="00A927ED"/>
    <w:rsid w:val="00A939A3"/>
    <w:rsid w:val="00A95627"/>
    <w:rsid w:val="00A96C34"/>
    <w:rsid w:val="00AA0030"/>
    <w:rsid w:val="00AA0257"/>
    <w:rsid w:val="00AA044C"/>
    <w:rsid w:val="00AA3A10"/>
    <w:rsid w:val="00AA4AEB"/>
    <w:rsid w:val="00AB2489"/>
    <w:rsid w:val="00AB2C63"/>
    <w:rsid w:val="00AB3B24"/>
    <w:rsid w:val="00AB44BD"/>
    <w:rsid w:val="00AC18E5"/>
    <w:rsid w:val="00AC2005"/>
    <w:rsid w:val="00AC43D9"/>
    <w:rsid w:val="00AC7826"/>
    <w:rsid w:val="00AD2E5F"/>
    <w:rsid w:val="00AD5DE1"/>
    <w:rsid w:val="00AD7DB6"/>
    <w:rsid w:val="00AE1DCE"/>
    <w:rsid w:val="00AE42A3"/>
    <w:rsid w:val="00AE448A"/>
    <w:rsid w:val="00AE57F9"/>
    <w:rsid w:val="00AF1BF7"/>
    <w:rsid w:val="00AF30B7"/>
    <w:rsid w:val="00AF65FF"/>
    <w:rsid w:val="00B0025F"/>
    <w:rsid w:val="00B00BF7"/>
    <w:rsid w:val="00B101A3"/>
    <w:rsid w:val="00B10C19"/>
    <w:rsid w:val="00B13833"/>
    <w:rsid w:val="00B1403F"/>
    <w:rsid w:val="00B15980"/>
    <w:rsid w:val="00B16DAF"/>
    <w:rsid w:val="00B2200A"/>
    <w:rsid w:val="00B23317"/>
    <w:rsid w:val="00B23AAE"/>
    <w:rsid w:val="00B23ADC"/>
    <w:rsid w:val="00B24562"/>
    <w:rsid w:val="00B25E9E"/>
    <w:rsid w:val="00B32C91"/>
    <w:rsid w:val="00B332CB"/>
    <w:rsid w:val="00B34BB8"/>
    <w:rsid w:val="00B35A26"/>
    <w:rsid w:val="00B35F46"/>
    <w:rsid w:val="00B36B5E"/>
    <w:rsid w:val="00B4235F"/>
    <w:rsid w:val="00B42962"/>
    <w:rsid w:val="00B43D74"/>
    <w:rsid w:val="00B45A94"/>
    <w:rsid w:val="00B5515B"/>
    <w:rsid w:val="00B56E65"/>
    <w:rsid w:val="00B56F60"/>
    <w:rsid w:val="00B57A0E"/>
    <w:rsid w:val="00B60C1D"/>
    <w:rsid w:val="00B626D9"/>
    <w:rsid w:val="00B64573"/>
    <w:rsid w:val="00B64C2D"/>
    <w:rsid w:val="00B6598D"/>
    <w:rsid w:val="00B661C9"/>
    <w:rsid w:val="00B6696C"/>
    <w:rsid w:val="00B66ED5"/>
    <w:rsid w:val="00B71F78"/>
    <w:rsid w:val="00B7619A"/>
    <w:rsid w:val="00B76C18"/>
    <w:rsid w:val="00B81A1D"/>
    <w:rsid w:val="00B87D60"/>
    <w:rsid w:val="00B91BCC"/>
    <w:rsid w:val="00B967F5"/>
    <w:rsid w:val="00BA1168"/>
    <w:rsid w:val="00BA2A4A"/>
    <w:rsid w:val="00BA3D3B"/>
    <w:rsid w:val="00BA44C6"/>
    <w:rsid w:val="00BA5449"/>
    <w:rsid w:val="00BB14EA"/>
    <w:rsid w:val="00BB2DB5"/>
    <w:rsid w:val="00BB5EA2"/>
    <w:rsid w:val="00BB7EFE"/>
    <w:rsid w:val="00BC0246"/>
    <w:rsid w:val="00BC1D5B"/>
    <w:rsid w:val="00BC565B"/>
    <w:rsid w:val="00BC5F23"/>
    <w:rsid w:val="00BD0656"/>
    <w:rsid w:val="00BD271C"/>
    <w:rsid w:val="00BD27E1"/>
    <w:rsid w:val="00BD45B4"/>
    <w:rsid w:val="00BE0489"/>
    <w:rsid w:val="00BE2BB2"/>
    <w:rsid w:val="00BE3FC3"/>
    <w:rsid w:val="00BF1606"/>
    <w:rsid w:val="00BF1699"/>
    <w:rsid w:val="00BF16E0"/>
    <w:rsid w:val="00BF599F"/>
    <w:rsid w:val="00BF64DA"/>
    <w:rsid w:val="00BF71F6"/>
    <w:rsid w:val="00C02F33"/>
    <w:rsid w:val="00C1050A"/>
    <w:rsid w:val="00C11AD5"/>
    <w:rsid w:val="00C139D7"/>
    <w:rsid w:val="00C13D19"/>
    <w:rsid w:val="00C149A4"/>
    <w:rsid w:val="00C15307"/>
    <w:rsid w:val="00C1673A"/>
    <w:rsid w:val="00C2084C"/>
    <w:rsid w:val="00C2098A"/>
    <w:rsid w:val="00C20B19"/>
    <w:rsid w:val="00C2185E"/>
    <w:rsid w:val="00C21CAD"/>
    <w:rsid w:val="00C24A78"/>
    <w:rsid w:val="00C276A7"/>
    <w:rsid w:val="00C27EF4"/>
    <w:rsid w:val="00C32106"/>
    <w:rsid w:val="00C322FC"/>
    <w:rsid w:val="00C32340"/>
    <w:rsid w:val="00C33BA8"/>
    <w:rsid w:val="00C37F67"/>
    <w:rsid w:val="00C401C1"/>
    <w:rsid w:val="00C40717"/>
    <w:rsid w:val="00C42BE9"/>
    <w:rsid w:val="00C469B7"/>
    <w:rsid w:val="00C5156D"/>
    <w:rsid w:val="00C5495B"/>
    <w:rsid w:val="00C54F12"/>
    <w:rsid w:val="00C611D0"/>
    <w:rsid w:val="00C62E55"/>
    <w:rsid w:val="00C636E7"/>
    <w:rsid w:val="00C6531A"/>
    <w:rsid w:val="00C70B72"/>
    <w:rsid w:val="00C7135B"/>
    <w:rsid w:val="00C73114"/>
    <w:rsid w:val="00C7328A"/>
    <w:rsid w:val="00C743E7"/>
    <w:rsid w:val="00C7489D"/>
    <w:rsid w:val="00C7524D"/>
    <w:rsid w:val="00C818DE"/>
    <w:rsid w:val="00C840D6"/>
    <w:rsid w:val="00C84CE4"/>
    <w:rsid w:val="00C87125"/>
    <w:rsid w:val="00C91660"/>
    <w:rsid w:val="00C94B0F"/>
    <w:rsid w:val="00C9704D"/>
    <w:rsid w:val="00CA0C3D"/>
    <w:rsid w:val="00CA16B2"/>
    <w:rsid w:val="00CA1CEA"/>
    <w:rsid w:val="00CA399D"/>
    <w:rsid w:val="00CA3C63"/>
    <w:rsid w:val="00CB15EB"/>
    <w:rsid w:val="00CB41E3"/>
    <w:rsid w:val="00CB64C8"/>
    <w:rsid w:val="00CB6CC9"/>
    <w:rsid w:val="00CB7571"/>
    <w:rsid w:val="00CB76CC"/>
    <w:rsid w:val="00CC0917"/>
    <w:rsid w:val="00CC11DE"/>
    <w:rsid w:val="00CC12DE"/>
    <w:rsid w:val="00CC1BCB"/>
    <w:rsid w:val="00CC2991"/>
    <w:rsid w:val="00CC3D64"/>
    <w:rsid w:val="00CC50D3"/>
    <w:rsid w:val="00CC7C59"/>
    <w:rsid w:val="00CD0070"/>
    <w:rsid w:val="00CD292E"/>
    <w:rsid w:val="00CD40C9"/>
    <w:rsid w:val="00CD4651"/>
    <w:rsid w:val="00CD6370"/>
    <w:rsid w:val="00CD6DB8"/>
    <w:rsid w:val="00CE0D4F"/>
    <w:rsid w:val="00CE71D1"/>
    <w:rsid w:val="00CE74AB"/>
    <w:rsid w:val="00CE787D"/>
    <w:rsid w:val="00CF20F9"/>
    <w:rsid w:val="00CF218C"/>
    <w:rsid w:val="00CF74C4"/>
    <w:rsid w:val="00CF7B81"/>
    <w:rsid w:val="00CF7E53"/>
    <w:rsid w:val="00D01305"/>
    <w:rsid w:val="00D02A56"/>
    <w:rsid w:val="00D04C9D"/>
    <w:rsid w:val="00D05B75"/>
    <w:rsid w:val="00D075D6"/>
    <w:rsid w:val="00D07991"/>
    <w:rsid w:val="00D12704"/>
    <w:rsid w:val="00D13AB3"/>
    <w:rsid w:val="00D15453"/>
    <w:rsid w:val="00D15EDB"/>
    <w:rsid w:val="00D205F3"/>
    <w:rsid w:val="00D243E2"/>
    <w:rsid w:val="00D244D8"/>
    <w:rsid w:val="00D2544F"/>
    <w:rsid w:val="00D25A5F"/>
    <w:rsid w:val="00D32CB1"/>
    <w:rsid w:val="00D42776"/>
    <w:rsid w:val="00D44043"/>
    <w:rsid w:val="00D52EE5"/>
    <w:rsid w:val="00D52F1D"/>
    <w:rsid w:val="00D53C99"/>
    <w:rsid w:val="00D54C4E"/>
    <w:rsid w:val="00D55983"/>
    <w:rsid w:val="00D55B84"/>
    <w:rsid w:val="00D56843"/>
    <w:rsid w:val="00D5713A"/>
    <w:rsid w:val="00D57AFA"/>
    <w:rsid w:val="00D65867"/>
    <w:rsid w:val="00D6692A"/>
    <w:rsid w:val="00D66EB9"/>
    <w:rsid w:val="00D70879"/>
    <w:rsid w:val="00D70F3C"/>
    <w:rsid w:val="00D81C68"/>
    <w:rsid w:val="00D874E5"/>
    <w:rsid w:val="00D87E82"/>
    <w:rsid w:val="00D90FA8"/>
    <w:rsid w:val="00D91C1B"/>
    <w:rsid w:val="00D924C4"/>
    <w:rsid w:val="00DA14AE"/>
    <w:rsid w:val="00DA516C"/>
    <w:rsid w:val="00DA7C86"/>
    <w:rsid w:val="00DB146F"/>
    <w:rsid w:val="00DB16DA"/>
    <w:rsid w:val="00DB2C8B"/>
    <w:rsid w:val="00DB4FC5"/>
    <w:rsid w:val="00DC2E6A"/>
    <w:rsid w:val="00DC339C"/>
    <w:rsid w:val="00DC45E3"/>
    <w:rsid w:val="00DC4BE0"/>
    <w:rsid w:val="00DC743D"/>
    <w:rsid w:val="00DC74B9"/>
    <w:rsid w:val="00DD2344"/>
    <w:rsid w:val="00DD342C"/>
    <w:rsid w:val="00DD3605"/>
    <w:rsid w:val="00DE19BE"/>
    <w:rsid w:val="00DE3328"/>
    <w:rsid w:val="00DE432C"/>
    <w:rsid w:val="00DE4C70"/>
    <w:rsid w:val="00DE539A"/>
    <w:rsid w:val="00DE63F2"/>
    <w:rsid w:val="00DE69AD"/>
    <w:rsid w:val="00DE7685"/>
    <w:rsid w:val="00DF038B"/>
    <w:rsid w:val="00DF0B0A"/>
    <w:rsid w:val="00DF12FD"/>
    <w:rsid w:val="00DF4AD5"/>
    <w:rsid w:val="00DF4F34"/>
    <w:rsid w:val="00DF66E8"/>
    <w:rsid w:val="00DF6801"/>
    <w:rsid w:val="00E025E0"/>
    <w:rsid w:val="00E02EFC"/>
    <w:rsid w:val="00E0367D"/>
    <w:rsid w:val="00E0480A"/>
    <w:rsid w:val="00E115B3"/>
    <w:rsid w:val="00E11D29"/>
    <w:rsid w:val="00E13424"/>
    <w:rsid w:val="00E14A19"/>
    <w:rsid w:val="00E16E8E"/>
    <w:rsid w:val="00E2021A"/>
    <w:rsid w:val="00E20A45"/>
    <w:rsid w:val="00E220A9"/>
    <w:rsid w:val="00E24794"/>
    <w:rsid w:val="00E24BFF"/>
    <w:rsid w:val="00E2514D"/>
    <w:rsid w:val="00E25382"/>
    <w:rsid w:val="00E30487"/>
    <w:rsid w:val="00E307F1"/>
    <w:rsid w:val="00E346F7"/>
    <w:rsid w:val="00E35CEF"/>
    <w:rsid w:val="00E3719C"/>
    <w:rsid w:val="00E3767F"/>
    <w:rsid w:val="00E50AC3"/>
    <w:rsid w:val="00E51590"/>
    <w:rsid w:val="00E55859"/>
    <w:rsid w:val="00E562E1"/>
    <w:rsid w:val="00E56A82"/>
    <w:rsid w:val="00E56DEB"/>
    <w:rsid w:val="00E571C1"/>
    <w:rsid w:val="00E610E9"/>
    <w:rsid w:val="00E61310"/>
    <w:rsid w:val="00E654C9"/>
    <w:rsid w:val="00E665D5"/>
    <w:rsid w:val="00E66979"/>
    <w:rsid w:val="00E66BC9"/>
    <w:rsid w:val="00E70E1F"/>
    <w:rsid w:val="00E714D6"/>
    <w:rsid w:val="00E721BB"/>
    <w:rsid w:val="00E73A43"/>
    <w:rsid w:val="00E74F17"/>
    <w:rsid w:val="00E75B3B"/>
    <w:rsid w:val="00E800C0"/>
    <w:rsid w:val="00E834D5"/>
    <w:rsid w:val="00E8786D"/>
    <w:rsid w:val="00E913EB"/>
    <w:rsid w:val="00E929F8"/>
    <w:rsid w:val="00E94091"/>
    <w:rsid w:val="00E943BF"/>
    <w:rsid w:val="00E94E78"/>
    <w:rsid w:val="00E95029"/>
    <w:rsid w:val="00E9659A"/>
    <w:rsid w:val="00E966B7"/>
    <w:rsid w:val="00E97577"/>
    <w:rsid w:val="00EA31EA"/>
    <w:rsid w:val="00EA57AC"/>
    <w:rsid w:val="00EB09A0"/>
    <w:rsid w:val="00EB0B76"/>
    <w:rsid w:val="00EB4624"/>
    <w:rsid w:val="00EB5A31"/>
    <w:rsid w:val="00EC2A92"/>
    <w:rsid w:val="00EC3B55"/>
    <w:rsid w:val="00EC4746"/>
    <w:rsid w:val="00EC4EC0"/>
    <w:rsid w:val="00EC4F79"/>
    <w:rsid w:val="00ED1391"/>
    <w:rsid w:val="00ED2957"/>
    <w:rsid w:val="00ED5598"/>
    <w:rsid w:val="00ED5825"/>
    <w:rsid w:val="00ED5883"/>
    <w:rsid w:val="00ED68B8"/>
    <w:rsid w:val="00ED69EF"/>
    <w:rsid w:val="00EE06BE"/>
    <w:rsid w:val="00EE635E"/>
    <w:rsid w:val="00EE73C9"/>
    <w:rsid w:val="00EF3E24"/>
    <w:rsid w:val="00EF6BD3"/>
    <w:rsid w:val="00EF6DDF"/>
    <w:rsid w:val="00EF6F3C"/>
    <w:rsid w:val="00F02FC1"/>
    <w:rsid w:val="00F035BA"/>
    <w:rsid w:val="00F05C92"/>
    <w:rsid w:val="00F071D9"/>
    <w:rsid w:val="00F10475"/>
    <w:rsid w:val="00F10B81"/>
    <w:rsid w:val="00F11545"/>
    <w:rsid w:val="00F12C96"/>
    <w:rsid w:val="00F13CDA"/>
    <w:rsid w:val="00F14EB7"/>
    <w:rsid w:val="00F1727B"/>
    <w:rsid w:val="00F227A5"/>
    <w:rsid w:val="00F2416D"/>
    <w:rsid w:val="00F2449E"/>
    <w:rsid w:val="00F24B71"/>
    <w:rsid w:val="00F31834"/>
    <w:rsid w:val="00F3245A"/>
    <w:rsid w:val="00F333F2"/>
    <w:rsid w:val="00F33678"/>
    <w:rsid w:val="00F33C06"/>
    <w:rsid w:val="00F35488"/>
    <w:rsid w:val="00F37569"/>
    <w:rsid w:val="00F37BA2"/>
    <w:rsid w:val="00F37E24"/>
    <w:rsid w:val="00F4468F"/>
    <w:rsid w:val="00F50635"/>
    <w:rsid w:val="00F513EA"/>
    <w:rsid w:val="00F53B93"/>
    <w:rsid w:val="00F5484E"/>
    <w:rsid w:val="00F554F4"/>
    <w:rsid w:val="00F579F1"/>
    <w:rsid w:val="00F6173C"/>
    <w:rsid w:val="00F62272"/>
    <w:rsid w:val="00F64B1E"/>
    <w:rsid w:val="00F66F11"/>
    <w:rsid w:val="00F71D42"/>
    <w:rsid w:val="00F71F3F"/>
    <w:rsid w:val="00F7663C"/>
    <w:rsid w:val="00F77F3F"/>
    <w:rsid w:val="00F801A0"/>
    <w:rsid w:val="00F81215"/>
    <w:rsid w:val="00F8223F"/>
    <w:rsid w:val="00F827B5"/>
    <w:rsid w:val="00F85F92"/>
    <w:rsid w:val="00F86959"/>
    <w:rsid w:val="00F942F9"/>
    <w:rsid w:val="00F947E5"/>
    <w:rsid w:val="00F94D8C"/>
    <w:rsid w:val="00F95B06"/>
    <w:rsid w:val="00FA1E7E"/>
    <w:rsid w:val="00FA749C"/>
    <w:rsid w:val="00FA77AD"/>
    <w:rsid w:val="00FB180D"/>
    <w:rsid w:val="00FB4126"/>
    <w:rsid w:val="00FC021A"/>
    <w:rsid w:val="00FC1314"/>
    <w:rsid w:val="00FC1B3A"/>
    <w:rsid w:val="00FC1B48"/>
    <w:rsid w:val="00FC3261"/>
    <w:rsid w:val="00FC3EF0"/>
    <w:rsid w:val="00FC5063"/>
    <w:rsid w:val="00FC6C8E"/>
    <w:rsid w:val="00FC6E9D"/>
    <w:rsid w:val="00FD2BF2"/>
    <w:rsid w:val="00FD31A8"/>
    <w:rsid w:val="00FD5D08"/>
    <w:rsid w:val="00FD7927"/>
    <w:rsid w:val="00FD7C39"/>
    <w:rsid w:val="00FE17DA"/>
    <w:rsid w:val="00FE20DE"/>
    <w:rsid w:val="00FE6D55"/>
    <w:rsid w:val="00FF11D5"/>
    <w:rsid w:val="00FF3BEC"/>
    <w:rsid w:val="00FF545A"/>
    <w:rsid w:val="00FF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char;mso-position-vertical-relative:line" fill="f" fillcolor="white" stroke="f">
      <v:fill color="white" on="f"/>
      <v:stroke on="f"/>
    </o:shapedefaults>
    <o:shapelayout v:ext="edit">
      <o:idmap v:ext="edit" data="1"/>
    </o:shapelayout>
  </w:shapeDefaults>
  <w:decimalSymbol w:val="."/>
  <w:listSeparator w:val=","/>
  <w14:docId w14:val="0B09B9A3"/>
  <w15:docId w15:val="{23FA77F7-83B4-430A-A4F9-30BCE7B4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A18"/>
    <w:rPr>
      <w:rFonts w:ascii="Arial" w:hAnsi="Arial"/>
      <w:szCs w:val="24"/>
      <w:lang w:val="en-GB"/>
    </w:rPr>
  </w:style>
  <w:style w:type="paragraph" w:styleId="Heading1">
    <w:name w:val="heading 1"/>
    <w:basedOn w:val="Normal"/>
    <w:next w:val="Normal"/>
    <w:qFormat/>
    <w:rsid w:val="00626DB8"/>
    <w:pPr>
      <w:keepNext/>
      <w:spacing w:before="240" w:after="60"/>
      <w:outlineLvl w:val="0"/>
    </w:pPr>
    <w:rPr>
      <w:rFonts w:cs="Arial"/>
      <w:b/>
      <w:bCs/>
      <w:kern w:val="32"/>
      <w:sz w:val="32"/>
      <w:szCs w:val="32"/>
    </w:rPr>
  </w:style>
  <w:style w:type="paragraph" w:styleId="Heading2">
    <w:name w:val="heading 2"/>
    <w:basedOn w:val="Normal"/>
    <w:next w:val="Normal"/>
    <w:qFormat/>
    <w:rsid w:val="00626DB8"/>
    <w:pPr>
      <w:keepNext/>
      <w:spacing w:before="240" w:after="60"/>
      <w:outlineLvl w:val="1"/>
    </w:pPr>
    <w:rPr>
      <w:rFonts w:cs="Arial"/>
      <w:b/>
      <w:bCs/>
      <w:i/>
      <w:iCs/>
      <w:sz w:val="28"/>
      <w:szCs w:val="28"/>
    </w:rPr>
  </w:style>
  <w:style w:type="paragraph" w:styleId="Heading3">
    <w:name w:val="heading 3"/>
    <w:basedOn w:val="Normal"/>
    <w:next w:val="Normal"/>
    <w:qFormat/>
    <w:rsid w:val="00626DB8"/>
    <w:pPr>
      <w:keepNext/>
      <w:spacing w:before="240" w:after="60"/>
      <w:outlineLvl w:val="2"/>
    </w:pPr>
    <w:rPr>
      <w:rFonts w:cs="Arial"/>
      <w:b/>
      <w:bCs/>
      <w:sz w:val="26"/>
      <w:szCs w:val="26"/>
    </w:rPr>
  </w:style>
  <w:style w:type="paragraph" w:styleId="Heading5">
    <w:name w:val="heading 5"/>
    <w:basedOn w:val="Normal"/>
    <w:next w:val="Normal"/>
    <w:qFormat/>
    <w:rsid w:val="002577D1"/>
    <w:pPr>
      <w:spacing w:before="240" w:after="60"/>
      <w:outlineLvl w:val="4"/>
    </w:pPr>
    <w:rPr>
      <w:b/>
      <w:bCs/>
      <w:i/>
      <w:iCs/>
      <w:sz w:val="26"/>
      <w:szCs w:val="26"/>
    </w:rPr>
  </w:style>
  <w:style w:type="paragraph" w:styleId="Heading6">
    <w:name w:val="heading 6"/>
    <w:basedOn w:val="Normal"/>
    <w:next w:val="Normal"/>
    <w:qFormat/>
    <w:rsid w:val="002577D1"/>
    <w:pPr>
      <w:spacing w:before="240" w:after="60"/>
      <w:outlineLvl w:val="5"/>
    </w:pPr>
    <w:rPr>
      <w:rFonts w:ascii="Times New Roman" w:hAnsi="Times New Roman"/>
      <w:b/>
      <w:bCs/>
      <w:sz w:val="22"/>
      <w:szCs w:val="22"/>
    </w:rPr>
  </w:style>
  <w:style w:type="paragraph" w:styleId="Heading7">
    <w:name w:val="heading 7"/>
    <w:basedOn w:val="Normal"/>
    <w:next w:val="Normal"/>
    <w:qFormat/>
    <w:rsid w:val="005C4034"/>
    <w:pPr>
      <w:spacing w:before="240" w:after="60"/>
      <w:outlineLvl w:val="6"/>
    </w:pPr>
  </w:style>
  <w:style w:type="paragraph" w:styleId="Heading8">
    <w:name w:val="heading 8"/>
    <w:basedOn w:val="Normal"/>
    <w:next w:val="Normal"/>
    <w:link w:val="Heading8Char"/>
    <w:qFormat/>
    <w:rsid w:val="001C0C7C"/>
    <w:pPr>
      <w:keepNext/>
      <w:jc w:val="center"/>
      <w:outlineLvl w:val="7"/>
    </w:pPr>
    <w:rPr>
      <w:rFonts w:cs="Arial"/>
      <w:b/>
      <w:bCs/>
      <w:sz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saopstenja">
    <w:name w:val="Naslov saopstenja"/>
    <w:basedOn w:val="Title"/>
    <w:next w:val="Caption"/>
    <w:rsid w:val="006E7AF4"/>
    <w:pPr>
      <w:spacing w:after="0"/>
    </w:pPr>
    <w:rPr>
      <w:bCs w:val="0"/>
      <w:sz w:val="24"/>
      <w:szCs w:val="24"/>
    </w:rPr>
  </w:style>
  <w:style w:type="paragraph" w:styleId="Title">
    <w:name w:val="Title"/>
    <w:basedOn w:val="Normal"/>
    <w:qFormat/>
    <w:rsid w:val="003C4653"/>
    <w:pPr>
      <w:spacing w:before="240" w:after="60"/>
      <w:jc w:val="center"/>
      <w:outlineLvl w:val="0"/>
    </w:pPr>
    <w:rPr>
      <w:rFonts w:cs="Arial"/>
      <w:b/>
      <w:bCs/>
      <w:kern w:val="28"/>
      <w:sz w:val="32"/>
      <w:szCs w:val="32"/>
    </w:rPr>
  </w:style>
  <w:style w:type="paragraph" w:styleId="Caption">
    <w:name w:val="caption"/>
    <w:basedOn w:val="Normal"/>
    <w:next w:val="Normal"/>
    <w:qFormat/>
    <w:rsid w:val="003C4653"/>
    <w:rPr>
      <w:b/>
      <w:bCs/>
      <w:szCs w:val="20"/>
    </w:rPr>
  </w:style>
  <w:style w:type="paragraph" w:customStyle="1" w:styleId="Podnaslovsopstenja">
    <w:name w:val="Podnaslov sopstenja"/>
    <w:basedOn w:val="Normal"/>
    <w:rsid w:val="006E7AF4"/>
    <w:pPr>
      <w:spacing w:after="120"/>
      <w:jc w:val="center"/>
    </w:pPr>
    <w:rPr>
      <w:b/>
      <w:sz w:val="22"/>
    </w:rPr>
  </w:style>
  <w:style w:type="paragraph" w:styleId="Subtitle">
    <w:name w:val="Subtitle"/>
    <w:basedOn w:val="Normal"/>
    <w:qFormat/>
    <w:rsid w:val="003C4653"/>
    <w:pPr>
      <w:spacing w:after="60"/>
      <w:jc w:val="center"/>
      <w:outlineLvl w:val="1"/>
    </w:pPr>
    <w:rPr>
      <w:rFonts w:cs="Arial"/>
    </w:rPr>
  </w:style>
  <w:style w:type="paragraph" w:customStyle="1" w:styleId="NaslovMetodologijaiNapomena">
    <w:name w:val="Naslov Metodologija i Napomena"/>
    <w:basedOn w:val="Normal"/>
    <w:rsid w:val="00266953"/>
    <w:pPr>
      <w:spacing w:before="120" w:after="240"/>
      <w:jc w:val="center"/>
    </w:pPr>
    <w:rPr>
      <w:b/>
    </w:rPr>
  </w:style>
  <w:style w:type="paragraph" w:customStyle="1" w:styleId="TekstMetodologijaiNapomena">
    <w:name w:val="Tekst Metodologija i Napomena"/>
    <w:basedOn w:val="BodyTextFirstIndent"/>
    <w:next w:val="BodyText"/>
    <w:rsid w:val="00D66EB9"/>
    <w:pPr>
      <w:spacing w:before="120" w:after="0"/>
      <w:ind w:firstLine="397"/>
      <w:jc w:val="both"/>
    </w:pPr>
    <w:rPr>
      <w:bCs/>
      <w:szCs w:val="20"/>
      <w:lang w:val="sr-Cyrl-CS"/>
    </w:rPr>
  </w:style>
  <w:style w:type="paragraph" w:styleId="BodyTextFirstIndent">
    <w:name w:val="Body Text First Indent"/>
    <w:basedOn w:val="BodyText"/>
    <w:semiHidden/>
    <w:rsid w:val="00CD6DB8"/>
    <w:pPr>
      <w:ind w:firstLine="210"/>
    </w:pPr>
  </w:style>
  <w:style w:type="paragraph" w:styleId="BodyText">
    <w:name w:val="Body Text"/>
    <w:basedOn w:val="Normal"/>
    <w:semiHidden/>
    <w:rsid w:val="00CD6DB8"/>
    <w:pPr>
      <w:spacing w:after="120"/>
    </w:pPr>
  </w:style>
  <w:style w:type="paragraph" w:styleId="ListNumber">
    <w:name w:val="List Number"/>
    <w:basedOn w:val="Normal"/>
    <w:semiHidden/>
    <w:rsid w:val="00D44043"/>
    <w:pPr>
      <w:numPr>
        <w:numId w:val="13"/>
      </w:numPr>
    </w:pPr>
  </w:style>
  <w:style w:type="paragraph" w:customStyle="1" w:styleId="Style1">
    <w:name w:val="Style1"/>
    <w:semiHidden/>
    <w:rsid w:val="004946DA"/>
    <w:rPr>
      <w:rFonts w:ascii="Arial" w:hAnsi="Arial"/>
    </w:rPr>
  </w:style>
  <w:style w:type="paragraph" w:styleId="BodyTextIndent">
    <w:name w:val="Body Text Indent"/>
    <w:basedOn w:val="Normal"/>
    <w:semiHidden/>
    <w:rsid w:val="00CD6DB8"/>
    <w:pPr>
      <w:spacing w:after="120"/>
      <w:ind w:left="283"/>
    </w:pPr>
  </w:style>
  <w:style w:type="paragraph" w:styleId="BodyTextIndent2">
    <w:name w:val="Body Text Indent 2"/>
    <w:basedOn w:val="Normal"/>
    <w:semiHidden/>
    <w:rsid w:val="00CD6DB8"/>
    <w:pPr>
      <w:spacing w:after="120" w:line="480" w:lineRule="auto"/>
      <w:ind w:left="283"/>
    </w:pPr>
  </w:style>
  <w:style w:type="paragraph" w:styleId="BodyText3">
    <w:name w:val="Body Text 3"/>
    <w:basedOn w:val="Normal"/>
    <w:semiHidden/>
    <w:rsid w:val="00CD6DB8"/>
    <w:pPr>
      <w:spacing w:after="120"/>
    </w:pPr>
    <w:rPr>
      <w:sz w:val="16"/>
      <w:szCs w:val="16"/>
    </w:rPr>
  </w:style>
  <w:style w:type="paragraph" w:styleId="BodyTextFirstIndent2">
    <w:name w:val="Body Text First Indent 2"/>
    <w:basedOn w:val="BodyTextIndent"/>
    <w:semiHidden/>
    <w:rsid w:val="00CD6DB8"/>
    <w:pPr>
      <w:ind w:firstLine="210"/>
    </w:pPr>
  </w:style>
  <w:style w:type="paragraph" w:styleId="BodyTextIndent3">
    <w:name w:val="Body Text Indent 3"/>
    <w:basedOn w:val="Normal"/>
    <w:semiHidden/>
    <w:rsid w:val="00CD6DB8"/>
    <w:pPr>
      <w:spacing w:after="120"/>
      <w:ind w:left="283"/>
    </w:pPr>
    <w:rPr>
      <w:sz w:val="16"/>
      <w:szCs w:val="16"/>
    </w:rPr>
  </w:style>
  <w:style w:type="paragraph" w:styleId="BalloonText">
    <w:name w:val="Balloon Text"/>
    <w:basedOn w:val="Normal"/>
    <w:semiHidden/>
    <w:rsid w:val="00CD6DB8"/>
    <w:rPr>
      <w:rFonts w:ascii="Tahoma" w:hAnsi="Tahoma" w:cs="Tahoma"/>
      <w:sz w:val="16"/>
      <w:szCs w:val="16"/>
    </w:rPr>
  </w:style>
  <w:style w:type="paragraph" w:styleId="BodyText2">
    <w:name w:val="Body Text 2"/>
    <w:basedOn w:val="Normal"/>
    <w:semiHidden/>
    <w:rsid w:val="00CD6DB8"/>
    <w:pPr>
      <w:spacing w:after="120" w:line="480" w:lineRule="auto"/>
    </w:pPr>
  </w:style>
  <w:style w:type="paragraph" w:customStyle="1" w:styleId="StylePasusFirstline06cmBefore0ptAfter0pt">
    <w:name w:val="Style Pasus + First line:  06 cm Before:  0 pt After:  0 pt"/>
    <w:basedOn w:val="TekstMetodologijaiNapomena"/>
    <w:semiHidden/>
    <w:rsid w:val="004946DA"/>
    <w:pPr>
      <w:spacing w:before="0"/>
      <w:ind w:firstLine="340"/>
    </w:pPr>
  </w:style>
  <w:style w:type="paragraph" w:styleId="NormalIndent">
    <w:name w:val="Normal Indent"/>
    <w:basedOn w:val="Normal"/>
    <w:semiHidden/>
    <w:rsid w:val="004946DA"/>
    <w:pPr>
      <w:ind w:left="720"/>
    </w:pPr>
  </w:style>
  <w:style w:type="paragraph" w:customStyle="1" w:styleId="Naslovtabela">
    <w:name w:val="Naslov tabela"/>
    <w:basedOn w:val="Normal"/>
    <w:rsid w:val="00CF74C4"/>
    <w:pPr>
      <w:tabs>
        <w:tab w:val="left" w:pos="284"/>
      </w:tabs>
      <w:spacing w:before="120" w:after="120"/>
      <w:ind w:left="284" w:hanging="284"/>
      <w:jc w:val="center"/>
    </w:pPr>
    <w:rPr>
      <w:b/>
    </w:rPr>
  </w:style>
  <w:style w:type="table" w:styleId="TableGrid">
    <w:name w:val="Table Grid"/>
    <w:basedOn w:val="TableNormal"/>
    <w:uiPriority w:val="39"/>
    <w:rsid w:val="00D0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semiHidden/>
    <w:rsid w:val="00120D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semiHidden/>
    <w:rsid w:val="00D075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semiHidden/>
    <w:rsid w:val="00D075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075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rsid w:val="00C13D19"/>
    <w:pPr>
      <w:jc w:val="center"/>
    </w:pPr>
    <w:rPr>
      <w:rFonts w:cs="Arial"/>
      <w:sz w:val="16"/>
      <w:szCs w:val="20"/>
      <w:lang w:val="sr-Latn-CS"/>
    </w:rPr>
  </w:style>
  <w:style w:type="paragraph" w:customStyle="1" w:styleId="Tabela-Pretkolona">
    <w:name w:val="Tabela-Pretkolona"/>
    <w:basedOn w:val="Normal"/>
    <w:rsid w:val="00C13D19"/>
    <w:rPr>
      <w:rFonts w:cs="Arial"/>
      <w:sz w:val="16"/>
      <w:szCs w:val="20"/>
      <w:lang w:val="sr-Latn-CS"/>
    </w:rPr>
  </w:style>
  <w:style w:type="paragraph" w:customStyle="1" w:styleId="Tabela-PretkolonaI">
    <w:name w:val="Tabela-PretkolonaI"/>
    <w:basedOn w:val="Normal"/>
    <w:rsid w:val="00C13D19"/>
    <w:rPr>
      <w:rFonts w:cs="Arial"/>
      <w:i/>
      <w:sz w:val="16"/>
      <w:szCs w:val="20"/>
      <w:lang w:val="sr-Latn-CS"/>
    </w:rPr>
  </w:style>
  <w:style w:type="paragraph" w:customStyle="1" w:styleId="Tabela-PretkolonaB">
    <w:name w:val="Tabela-PretkolonaB"/>
    <w:basedOn w:val="Normal"/>
    <w:rsid w:val="00C13D19"/>
    <w:rPr>
      <w:rFonts w:cs="Arial"/>
      <w:b/>
      <w:sz w:val="16"/>
      <w:szCs w:val="20"/>
      <w:lang w:val="sr-Latn-CS"/>
    </w:rPr>
  </w:style>
  <w:style w:type="paragraph" w:customStyle="1" w:styleId="Tabela-Brojevi">
    <w:name w:val="Tabela-Brojevi"/>
    <w:basedOn w:val="Normal"/>
    <w:rsid w:val="00C13D19"/>
    <w:pPr>
      <w:jc w:val="right"/>
    </w:pPr>
    <w:rPr>
      <w:rFonts w:cs="Arial"/>
      <w:sz w:val="16"/>
      <w:szCs w:val="20"/>
      <w:lang w:val="sr-Latn-CS"/>
    </w:rPr>
  </w:style>
  <w:style w:type="paragraph" w:styleId="FootnoteText">
    <w:name w:val="footnote text"/>
    <w:basedOn w:val="Normal"/>
    <w:semiHidden/>
    <w:rsid w:val="00EC4F79"/>
    <w:rPr>
      <w:szCs w:val="20"/>
    </w:rPr>
  </w:style>
  <w:style w:type="paragraph" w:customStyle="1" w:styleId="Tabela-BrojeviI">
    <w:name w:val="Tabela-BrojeviI"/>
    <w:basedOn w:val="Normal"/>
    <w:rsid w:val="00C13D19"/>
    <w:pPr>
      <w:jc w:val="right"/>
    </w:pPr>
    <w:rPr>
      <w:rFonts w:cs="Arial"/>
      <w:i/>
      <w:sz w:val="16"/>
      <w:szCs w:val="20"/>
      <w:lang w:val="sr-Latn-CS"/>
    </w:rPr>
  </w:style>
  <w:style w:type="paragraph" w:customStyle="1" w:styleId="Tabela-BrojeviB">
    <w:name w:val="Tabela-BrojeviB"/>
    <w:basedOn w:val="Normal"/>
    <w:rsid w:val="00C13D19"/>
    <w:pPr>
      <w:jc w:val="right"/>
    </w:pPr>
    <w:rPr>
      <w:rFonts w:cs="Arial"/>
      <w:b/>
      <w:sz w:val="16"/>
      <w:szCs w:val="20"/>
      <w:lang w:val="sr-Latn-CS"/>
    </w:rPr>
  </w:style>
  <w:style w:type="paragraph" w:customStyle="1" w:styleId="Fusnota-Broj1">
    <w:name w:val="Fusnota-Broj1"/>
    <w:basedOn w:val="Normal"/>
    <w:rsid w:val="0041739D"/>
    <w:pPr>
      <w:tabs>
        <w:tab w:val="num" w:pos="360"/>
      </w:tabs>
      <w:ind w:left="360" w:hanging="360"/>
    </w:pPr>
    <w:rPr>
      <w:sz w:val="14"/>
      <w:szCs w:val="14"/>
      <w:vertAlign w:val="superscript"/>
      <w:lang w:val="sr-Latn-CS"/>
    </w:rPr>
  </w:style>
  <w:style w:type="paragraph" w:customStyle="1" w:styleId="Fusnota-Tekst1">
    <w:name w:val="Fusnota-Tekst1"/>
    <w:basedOn w:val="Normal"/>
    <w:rsid w:val="0041739D"/>
    <w:rPr>
      <w:rFonts w:cs="Arial"/>
      <w:sz w:val="14"/>
      <w:szCs w:val="14"/>
      <w:lang w:val="sr-Latn-CS"/>
    </w:rPr>
  </w:style>
  <w:style w:type="paragraph" w:customStyle="1" w:styleId="Naslovgrafikona">
    <w:name w:val="Naslov grafikona"/>
    <w:basedOn w:val="Normal"/>
    <w:next w:val="Normal"/>
    <w:rsid w:val="00CF74C4"/>
    <w:pPr>
      <w:framePr w:hSpace="181" w:wrap="around" w:vAnchor="page" w:hAnchor="margin" w:xAlign="center" w:y="14176"/>
      <w:spacing w:before="120" w:after="120"/>
      <w:jc w:val="center"/>
    </w:pPr>
    <w:rPr>
      <w:rFonts w:cs="Arial"/>
      <w:b/>
      <w:iCs/>
      <w:szCs w:val="18"/>
      <w:lang w:val="ru-RU"/>
    </w:rPr>
  </w:style>
  <w:style w:type="paragraph" w:styleId="Header">
    <w:name w:val="header"/>
    <w:basedOn w:val="Normal"/>
    <w:semiHidden/>
    <w:rsid w:val="00627E99"/>
    <w:pPr>
      <w:tabs>
        <w:tab w:val="center" w:pos="4703"/>
        <w:tab w:val="right" w:pos="9406"/>
      </w:tabs>
    </w:pPr>
  </w:style>
  <w:style w:type="paragraph" w:styleId="Footer">
    <w:name w:val="footer"/>
    <w:basedOn w:val="Normal"/>
    <w:semiHidden/>
    <w:rsid w:val="00627E99"/>
    <w:pPr>
      <w:tabs>
        <w:tab w:val="center" w:pos="4703"/>
        <w:tab w:val="right" w:pos="9406"/>
      </w:tabs>
    </w:pPr>
  </w:style>
  <w:style w:type="paragraph" w:customStyle="1" w:styleId="CarCar">
    <w:name w:val="Car Car"/>
    <w:basedOn w:val="Normal"/>
    <w:rsid w:val="001C0C7C"/>
    <w:pPr>
      <w:spacing w:after="160" w:line="240" w:lineRule="exact"/>
    </w:pPr>
    <w:rPr>
      <w:rFonts w:ascii="Verdana" w:hAnsi="Verdana"/>
      <w:i/>
      <w:szCs w:val="20"/>
    </w:rPr>
  </w:style>
  <w:style w:type="character" w:styleId="Hyperlink">
    <w:name w:val="Hyperlink"/>
    <w:rsid w:val="00BE3FC3"/>
    <w:rPr>
      <w:color w:val="0000FF"/>
      <w:u w:val="single"/>
    </w:rPr>
  </w:style>
  <w:style w:type="character" w:styleId="FollowedHyperlink">
    <w:name w:val="FollowedHyperlink"/>
    <w:rsid w:val="008323A0"/>
    <w:rPr>
      <w:color w:val="800080"/>
      <w:u w:val="single"/>
    </w:rPr>
  </w:style>
  <w:style w:type="paragraph" w:styleId="ListParagraph">
    <w:name w:val="List Paragraph"/>
    <w:basedOn w:val="Normal"/>
    <w:uiPriority w:val="34"/>
    <w:qFormat/>
    <w:rsid w:val="00E3719C"/>
    <w:pPr>
      <w:ind w:left="720"/>
      <w:contextualSpacing/>
    </w:pPr>
  </w:style>
  <w:style w:type="character" w:customStyle="1" w:styleId="algo-summary">
    <w:name w:val="algo-summary"/>
    <w:basedOn w:val="DefaultParagraphFont"/>
    <w:rsid w:val="009C4466"/>
  </w:style>
  <w:style w:type="paragraph" w:styleId="NoSpacing">
    <w:name w:val="No Spacing"/>
    <w:qFormat/>
    <w:rsid w:val="00AC2005"/>
    <w:rPr>
      <w:rFonts w:ascii="Calibri" w:eastAsia="Calibri" w:hAnsi="Calibri" w:cs="Calibri"/>
      <w:sz w:val="22"/>
      <w:szCs w:val="22"/>
    </w:rPr>
  </w:style>
  <w:style w:type="character" w:customStyle="1" w:styleId="Heading8Char">
    <w:name w:val="Heading 8 Char"/>
    <w:basedOn w:val="DefaultParagraphFont"/>
    <w:link w:val="Heading8"/>
    <w:rsid w:val="0060643B"/>
    <w:rPr>
      <w:rFonts w:ascii="Arial" w:hAnsi="Arial" w:cs="Arial"/>
      <w:b/>
      <w:bCs/>
      <w:sz w:val="26"/>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5912">
      <w:bodyDiv w:val="1"/>
      <w:marLeft w:val="0"/>
      <w:marRight w:val="0"/>
      <w:marTop w:val="0"/>
      <w:marBottom w:val="0"/>
      <w:divBdr>
        <w:top w:val="none" w:sz="0" w:space="0" w:color="auto"/>
        <w:left w:val="none" w:sz="0" w:space="0" w:color="auto"/>
        <w:bottom w:val="none" w:sz="0" w:space="0" w:color="auto"/>
        <w:right w:val="none" w:sz="0" w:space="0" w:color="auto"/>
      </w:divBdr>
    </w:div>
    <w:div w:id="318000947">
      <w:bodyDiv w:val="1"/>
      <w:marLeft w:val="0"/>
      <w:marRight w:val="0"/>
      <w:marTop w:val="0"/>
      <w:marBottom w:val="0"/>
      <w:divBdr>
        <w:top w:val="none" w:sz="0" w:space="0" w:color="auto"/>
        <w:left w:val="none" w:sz="0" w:space="0" w:color="auto"/>
        <w:bottom w:val="none" w:sz="0" w:space="0" w:color="auto"/>
        <w:right w:val="none" w:sz="0" w:space="0" w:color="auto"/>
      </w:divBdr>
    </w:div>
    <w:div w:id="644315069">
      <w:bodyDiv w:val="1"/>
      <w:marLeft w:val="0"/>
      <w:marRight w:val="0"/>
      <w:marTop w:val="0"/>
      <w:marBottom w:val="0"/>
      <w:divBdr>
        <w:top w:val="none" w:sz="0" w:space="0" w:color="auto"/>
        <w:left w:val="none" w:sz="0" w:space="0" w:color="auto"/>
        <w:bottom w:val="none" w:sz="0" w:space="0" w:color="auto"/>
        <w:right w:val="none" w:sz="0" w:space="0" w:color="auto"/>
      </w:divBdr>
    </w:div>
    <w:div w:id="987710108">
      <w:bodyDiv w:val="1"/>
      <w:marLeft w:val="0"/>
      <w:marRight w:val="0"/>
      <w:marTop w:val="0"/>
      <w:marBottom w:val="0"/>
      <w:divBdr>
        <w:top w:val="none" w:sz="0" w:space="0" w:color="auto"/>
        <w:left w:val="none" w:sz="0" w:space="0" w:color="auto"/>
        <w:bottom w:val="none" w:sz="0" w:space="0" w:color="auto"/>
        <w:right w:val="none" w:sz="0" w:space="0" w:color="auto"/>
      </w:divBdr>
    </w:div>
    <w:div w:id="1072967488">
      <w:bodyDiv w:val="1"/>
      <w:marLeft w:val="0"/>
      <w:marRight w:val="0"/>
      <w:marTop w:val="0"/>
      <w:marBottom w:val="0"/>
      <w:divBdr>
        <w:top w:val="none" w:sz="0" w:space="0" w:color="auto"/>
        <w:left w:val="none" w:sz="0" w:space="0" w:color="auto"/>
        <w:bottom w:val="none" w:sz="0" w:space="0" w:color="auto"/>
        <w:right w:val="none" w:sz="0" w:space="0" w:color="auto"/>
      </w:divBdr>
    </w:div>
    <w:div w:id="1561818558">
      <w:bodyDiv w:val="1"/>
      <w:marLeft w:val="0"/>
      <w:marRight w:val="0"/>
      <w:marTop w:val="0"/>
      <w:marBottom w:val="0"/>
      <w:divBdr>
        <w:top w:val="none" w:sz="0" w:space="0" w:color="auto"/>
        <w:left w:val="none" w:sz="0" w:space="0" w:color="auto"/>
        <w:bottom w:val="none" w:sz="0" w:space="0" w:color="auto"/>
        <w:right w:val="none" w:sz="0" w:space="0" w:color="auto"/>
      </w:divBdr>
    </w:div>
    <w:div w:id="1580796926">
      <w:bodyDiv w:val="1"/>
      <w:marLeft w:val="0"/>
      <w:marRight w:val="0"/>
      <w:marTop w:val="0"/>
      <w:marBottom w:val="0"/>
      <w:divBdr>
        <w:top w:val="none" w:sz="0" w:space="0" w:color="auto"/>
        <w:left w:val="none" w:sz="0" w:space="0" w:color="auto"/>
        <w:bottom w:val="none" w:sz="0" w:space="0" w:color="auto"/>
        <w:right w:val="none" w:sz="0" w:space="0" w:color="auto"/>
      </w:divBdr>
    </w:div>
    <w:div w:id="1815414199">
      <w:bodyDiv w:val="1"/>
      <w:marLeft w:val="0"/>
      <w:marRight w:val="0"/>
      <w:marTop w:val="0"/>
      <w:marBottom w:val="0"/>
      <w:divBdr>
        <w:top w:val="none" w:sz="0" w:space="0" w:color="auto"/>
        <w:left w:val="none" w:sz="0" w:space="0" w:color="auto"/>
        <w:bottom w:val="none" w:sz="0" w:space="0" w:color="auto"/>
        <w:right w:val="none" w:sz="0" w:space="0" w:color="auto"/>
      </w:divBdr>
    </w:div>
    <w:div w:id="1860852104">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43A1A89CF6148869C32DA5BF6AC61" ma:contentTypeVersion="10" ma:contentTypeDescription="Create a new document." ma:contentTypeScope="" ma:versionID="a52a39bbf1183575a31762ff093e680e">
  <xsd:schema xmlns:xsd="http://www.w3.org/2001/XMLSchema" xmlns:xs="http://www.w3.org/2001/XMLSchema" xmlns:p="http://schemas.microsoft.com/office/2006/metadata/properties" xmlns:ns3="ca41a5dc-154c-49b5-b781-565fc87fe8cc" targetNamespace="http://schemas.microsoft.com/office/2006/metadata/properties" ma:root="true" ma:fieldsID="17b56c05a8296edbca9e836a1100797f" ns3:_="">
    <xsd:import namespace="ca41a5dc-154c-49b5-b781-565fc87fe8c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1a5dc-154c-49b5-b781-565fc87fe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F36E-C813-4810-AE8D-83A69666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1a5dc-154c-49b5-b781-565fc87fe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260E8-E0BE-44FF-AE87-8A5ECD290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8FC9D5-AD82-4804-98B0-1971E38745CA}">
  <ds:schemaRefs>
    <ds:schemaRef ds:uri="http://schemas.microsoft.com/sharepoint/v3/contenttype/forms"/>
  </ds:schemaRefs>
</ds:datastoreItem>
</file>

<file path=customXml/itemProps4.xml><?xml version="1.0" encoding="utf-8"?>
<ds:datastoreItem xmlns:ds="http://schemas.openxmlformats.org/officeDocument/2006/customXml" ds:itemID="{F6B8F684-662F-4D79-B918-E7FD1D07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1225</Words>
  <Characters>7229</Characters>
  <Application>Microsoft Office Word</Application>
  <DocSecurity>0</DocSecurity>
  <Lines>249</Lines>
  <Paragraphs>176</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8278</CharactersWithSpaces>
  <SharedDoc>false</SharedDoc>
  <HLinks>
    <vt:vector size="12" baseType="variant">
      <vt:variant>
        <vt:i4>5701727</vt:i4>
      </vt:variant>
      <vt:variant>
        <vt:i4>6</vt:i4>
      </vt:variant>
      <vt:variant>
        <vt:i4>0</vt:i4>
      </vt:variant>
      <vt:variant>
        <vt:i4>5</vt:i4>
      </vt:variant>
      <vt:variant>
        <vt:lpwstr>http://webrzs.stat.gov.rs/WebSite/public/ReportView.aspx</vt:lpwstr>
      </vt:variant>
      <vt:variant>
        <vt:lpwstr/>
      </vt:variant>
      <vt:variant>
        <vt:i4>2621497</vt:i4>
      </vt:variant>
      <vt:variant>
        <vt:i4>3</vt:i4>
      </vt:variant>
      <vt:variant>
        <vt:i4>0</vt:i4>
      </vt:variant>
      <vt:variant>
        <vt:i4>5</vt:i4>
      </vt:variant>
      <vt:variant>
        <vt:lpwstr>http://webrzs.stat.gov.rs/WebSite/Public/PageView.aspx?pKey=105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e51id02</dc:creator>
  <cp:keywords/>
  <cp:lastModifiedBy>Irena Dimic</cp:lastModifiedBy>
  <cp:revision>7</cp:revision>
  <cp:lastPrinted>2018-05-30T12:35:00Z</cp:lastPrinted>
  <dcterms:created xsi:type="dcterms:W3CDTF">2023-10-27T09:23:00Z</dcterms:created>
  <dcterms:modified xsi:type="dcterms:W3CDTF">2023-10-27T12:41:00Z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0x01010071743A1A89CF6148869C32DA5BF6AC61</vt:lpwstr>
  </property>
</Properties>
</file>