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28" w:type="dxa"/>
          <w:right w:w="28" w:type="dxa"/>
        </w:tblCellMar>
        <w:tblLook w:val="0000" w:firstRow="0" w:lastRow="0" w:firstColumn="0" w:lastColumn="0" w:noHBand="0" w:noVBand="0"/>
      </w:tblPr>
      <w:tblGrid>
        <w:gridCol w:w="1665"/>
        <w:gridCol w:w="5252"/>
        <w:gridCol w:w="3343"/>
      </w:tblGrid>
      <w:tr w:rsidR="006D04F3" w:rsidRPr="009348F6" w14:paraId="220D2119" w14:textId="77777777">
        <w:trPr>
          <w:cantSplit/>
          <w:trHeight w:val="631"/>
        </w:trPr>
        <w:tc>
          <w:tcPr>
            <w:tcW w:w="1656" w:type="dxa"/>
            <w:tcBorders>
              <w:top w:val="single" w:sz="12" w:space="0" w:color="808080"/>
            </w:tcBorders>
            <w:vAlign w:val="center"/>
          </w:tcPr>
          <w:p w14:paraId="41A8F6D4" w14:textId="436377E8" w:rsidR="006D04F3" w:rsidRPr="009348F6" w:rsidRDefault="009348F6">
            <w:pPr>
              <w:suppressAutoHyphens w:val="0"/>
              <w:jc w:val="center"/>
              <w:rPr>
                <w:rFonts w:cs="Arial"/>
                <w:b/>
                <w:bCs/>
                <w:lang w:val="en-GB"/>
              </w:rPr>
            </w:pPr>
            <w:r w:rsidRPr="009348F6">
              <w:rPr>
                <w:rFonts w:cs="Arial"/>
                <w:noProof/>
              </w:rPr>
              <w:drawing>
                <wp:anchor distT="0" distB="0" distL="0" distR="0" simplePos="0" relativeHeight="4" behindDoc="0" locked="0" layoutInCell="1" allowOverlap="1" wp14:anchorId="01E5708D" wp14:editId="5A1B8CB7">
                  <wp:simplePos x="0" y="0"/>
                  <wp:positionH relativeFrom="character">
                    <wp:posOffset>0</wp:posOffset>
                  </wp:positionH>
                  <wp:positionV relativeFrom="line">
                    <wp:posOffset>635</wp:posOffset>
                  </wp:positionV>
                  <wp:extent cx="904875" cy="219075"/>
                  <wp:effectExtent l="0" t="0" r="0" b="0"/>
                  <wp:wrapNone/>
                  <wp:docPr id="1" name="Picture 9" descr="Znak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ZnakRZS"/>
                          <pic:cNvPicPr>
                            <a:picLocks noChangeAspect="1" noChangeArrowheads="1"/>
                          </pic:cNvPicPr>
                        </pic:nvPicPr>
                        <pic:blipFill>
                          <a:blip r:embed="rId7"/>
                          <a:stretch>
                            <a:fillRect/>
                          </a:stretch>
                        </pic:blipFill>
                        <pic:spPr bwMode="auto">
                          <a:xfrm>
                            <a:off x="0" y="0"/>
                            <a:ext cx="904875" cy="219075"/>
                          </a:xfrm>
                          <a:prstGeom prst="rect">
                            <a:avLst/>
                          </a:prstGeom>
                        </pic:spPr>
                      </pic:pic>
                    </a:graphicData>
                  </a:graphic>
                </wp:anchor>
              </w:drawing>
            </w:r>
            <w:r w:rsidRPr="009348F6">
              <w:rPr>
                <w:rFonts w:cs="Arial"/>
              </w:rPr>
              <w:t xml:space="preserve"> </w:t>
            </w:r>
            <w:r w:rsidR="00DD751B">
              <w:rPr>
                <w:rFonts w:cs="Arial"/>
              </w:rPr>
            </w:r>
            <w:r w:rsidR="00DD751B">
              <w:rPr>
                <w:rFonts w:cs="Arial"/>
              </w:rPr>
              <w:pict w14:anchorId="644F1D5E">
                <v:rect id="Rectangle 8" o:spid="_x0000_s1028" style="width:71.15pt;height:17.6pt;visibility:visible;mso-wrap-style:square;mso-left-percent:-10001;mso-top-percent:-10001;mso-position-horizontal:absolute;mso-position-horizontal-relative:char;mso-position-vertical:absolute;mso-position-vertical-relative:line;mso-left-percent:-10001;mso-top-percent:-10001;v-text-anchor:top" filled="f" stroked="f" strokeweight="0">
                  <w10:wrap type="none"/>
                  <w10:anchorlock/>
                </v:rect>
              </w:pict>
            </w:r>
          </w:p>
        </w:tc>
        <w:tc>
          <w:tcPr>
            <w:tcW w:w="5223" w:type="dxa"/>
            <w:tcBorders>
              <w:top w:val="single" w:sz="12" w:space="0" w:color="808080"/>
            </w:tcBorders>
            <w:vAlign w:val="center"/>
          </w:tcPr>
          <w:p w14:paraId="0A120D91" w14:textId="77777777" w:rsidR="006D04F3" w:rsidRPr="009348F6" w:rsidRDefault="009348F6">
            <w:pPr>
              <w:suppressAutoHyphens w:val="0"/>
              <w:rPr>
                <w:rFonts w:cs="Arial"/>
                <w:lang w:val="en-GB"/>
              </w:rPr>
            </w:pPr>
            <w:r w:rsidRPr="009348F6">
              <w:rPr>
                <w:rFonts w:cs="Arial"/>
                <w:lang w:val="en-GB"/>
              </w:rPr>
              <w:t>Republic of Serbia</w:t>
            </w:r>
          </w:p>
          <w:p w14:paraId="719F3263" w14:textId="77777777" w:rsidR="006D04F3" w:rsidRPr="009348F6" w:rsidRDefault="009348F6">
            <w:pPr>
              <w:suppressAutoHyphens w:val="0"/>
              <w:rPr>
                <w:rFonts w:cs="Arial"/>
                <w:lang w:val="en-GB"/>
              </w:rPr>
            </w:pPr>
            <w:r w:rsidRPr="009348F6">
              <w:rPr>
                <w:rFonts w:cs="Arial"/>
                <w:lang w:val="en-GB"/>
              </w:rPr>
              <w:t>Statistical Office of the Republic of Serbia</w:t>
            </w:r>
          </w:p>
        </w:tc>
        <w:tc>
          <w:tcPr>
            <w:tcW w:w="3325" w:type="dxa"/>
            <w:tcBorders>
              <w:top w:val="single" w:sz="12" w:space="0" w:color="808080"/>
            </w:tcBorders>
            <w:vAlign w:val="center"/>
          </w:tcPr>
          <w:p w14:paraId="035D0172" w14:textId="77777777" w:rsidR="006D04F3" w:rsidRPr="009348F6" w:rsidRDefault="009348F6">
            <w:pPr>
              <w:suppressAutoHyphens w:val="0"/>
              <w:jc w:val="right"/>
              <w:rPr>
                <w:rFonts w:cs="Arial"/>
                <w:b/>
                <w:color w:val="808080"/>
                <w:lang w:val="en-GB"/>
              </w:rPr>
            </w:pPr>
            <w:r w:rsidRPr="009348F6">
              <w:rPr>
                <w:rFonts w:cs="Arial"/>
                <w:lang w:val="en-GB"/>
              </w:rPr>
              <w:t>ISSN 0353-9555</w:t>
            </w:r>
          </w:p>
        </w:tc>
      </w:tr>
      <w:tr w:rsidR="006D04F3" w:rsidRPr="009348F6" w14:paraId="5DE10C26" w14:textId="77777777">
        <w:trPr>
          <w:cantSplit/>
          <w:trHeight w:val="836"/>
        </w:trPr>
        <w:tc>
          <w:tcPr>
            <w:tcW w:w="6879" w:type="dxa"/>
            <w:gridSpan w:val="2"/>
            <w:vAlign w:val="center"/>
          </w:tcPr>
          <w:p w14:paraId="6CBB75C6" w14:textId="77777777" w:rsidR="006D04F3" w:rsidRPr="009348F6" w:rsidRDefault="009348F6">
            <w:pPr>
              <w:suppressAutoHyphens w:val="0"/>
              <w:rPr>
                <w:rFonts w:cs="Arial"/>
                <w:color w:val="808080"/>
                <w:lang w:val="en-GB"/>
              </w:rPr>
            </w:pPr>
            <w:r w:rsidRPr="009348F6">
              <w:rPr>
                <w:rFonts w:cs="Arial"/>
                <w:b/>
                <w:bCs/>
                <w:color w:val="808080"/>
                <w:sz w:val="48"/>
                <w:szCs w:val="48"/>
                <w:lang w:val="en-GB"/>
              </w:rPr>
              <w:t>STATISTICAL RELEASE</w:t>
            </w:r>
          </w:p>
        </w:tc>
        <w:tc>
          <w:tcPr>
            <w:tcW w:w="3325" w:type="dxa"/>
            <w:shd w:val="clear" w:color="auto" w:fill="auto"/>
            <w:vAlign w:val="center"/>
          </w:tcPr>
          <w:p w14:paraId="6EA227E2" w14:textId="77777777" w:rsidR="006D04F3" w:rsidRPr="009348F6" w:rsidRDefault="009348F6">
            <w:pPr>
              <w:suppressAutoHyphens w:val="0"/>
              <w:jc w:val="right"/>
              <w:rPr>
                <w:rFonts w:cs="Arial"/>
                <w:b/>
                <w:color w:val="808080"/>
                <w:sz w:val="12"/>
                <w:szCs w:val="24"/>
                <w:lang w:val="en-GB"/>
              </w:rPr>
            </w:pPr>
            <w:r w:rsidRPr="009348F6">
              <w:rPr>
                <w:rFonts w:cs="Arial"/>
                <w:b/>
                <w:bCs/>
                <w:color w:val="808080"/>
                <w:sz w:val="48"/>
                <w:szCs w:val="48"/>
                <w:lang w:val="en-GB"/>
              </w:rPr>
              <w:t>RS10</w:t>
            </w:r>
          </w:p>
        </w:tc>
      </w:tr>
      <w:tr w:rsidR="006D04F3" w:rsidRPr="009348F6" w14:paraId="39BBABB8" w14:textId="77777777">
        <w:trPr>
          <w:cantSplit/>
          <w:trHeight w:hRule="exact" w:val="279"/>
        </w:trPr>
        <w:tc>
          <w:tcPr>
            <w:tcW w:w="6879" w:type="dxa"/>
            <w:gridSpan w:val="2"/>
            <w:vAlign w:val="center"/>
          </w:tcPr>
          <w:p w14:paraId="1D9C022C" w14:textId="77777777" w:rsidR="006D04F3" w:rsidRPr="009348F6" w:rsidRDefault="009348F6">
            <w:pPr>
              <w:suppressAutoHyphens w:val="0"/>
              <w:rPr>
                <w:rFonts w:cs="Arial"/>
                <w:lang w:val="en-GB"/>
              </w:rPr>
            </w:pPr>
            <w:r w:rsidRPr="009348F6">
              <w:rPr>
                <w:rFonts w:cs="Arial"/>
                <w:lang w:val="en-GB"/>
              </w:rPr>
              <w:t>Number 154 - Year LXXIII, 31.08.2023.</w:t>
            </w:r>
          </w:p>
        </w:tc>
        <w:tc>
          <w:tcPr>
            <w:tcW w:w="3325" w:type="dxa"/>
            <w:shd w:val="clear" w:color="auto" w:fill="auto"/>
            <w:vAlign w:val="center"/>
          </w:tcPr>
          <w:p w14:paraId="050C08D6" w14:textId="77777777" w:rsidR="006D04F3" w:rsidRPr="009348F6" w:rsidRDefault="006D04F3">
            <w:pPr>
              <w:suppressAutoHyphens w:val="0"/>
              <w:jc w:val="right"/>
              <w:rPr>
                <w:rFonts w:cs="Arial"/>
                <w:b/>
                <w:color w:val="FF0000"/>
                <w:sz w:val="48"/>
                <w:szCs w:val="48"/>
                <w:lang w:val="en-GB"/>
              </w:rPr>
            </w:pPr>
          </w:p>
        </w:tc>
      </w:tr>
      <w:tr w:rsidR="006D04F3" w:rsidRPr="009348F6" w14:paraId="395D19B7" w14:textId="77777777">
        <w:trPr>
          <w:cantSplit/>
          <w:trHeight w:val="411"/>
        </w:trPr>
        <w:tc>
          <w:tcPr>
            <w:tcW w:w="6879" w:type="dxa"/>
            <w:gridSpan w:val="2"/>
            <w:tcBorders>
              <w:bottom w:val="single" w:sz="12" w:space="0" w:color="808080"/>
            </w:tcBorders>
            <w:vAlign w:val="center"/>
          </w:tcPr>
          <w:p w14:paraId="6FB79199" w14:textId="77777777" w:rsidR="006D04F3" w:rsidRPr="009348F6" w:rsidRDefault="009348F6">
            <w:pPr>
              <w:suppressAutoHyphens w:val="0"/>
              <w:rPr>
                <w:rFonts w:cs="Arial"/>
                <w:b/>
                <w:bCs/>
                <w:sz w:val="24"/>
                <w:szCs w:val="24"/>
                <w:lang w:val="en-GB"/>
              </w:rPr>
            </w:pPr>
            <w:r w:rsidRPr="009348F6">
              <w:rPr>
                <w:rFonts w:cs="Arial"/>
                <w:b/>
                <w:bCs/>
                <w:sz w:val="24"/>
                <w:szCs w:val="24"/>
                <w:lang w:val="en-GB"/>
              </w:rPr>
              <w:t>Labour Force Survey</w:t>
            </w:r>
          </w:p>
        </w:tc>
        <w:tc>
          <w:tcPr>
            <w:tcW w:w="3325" w:type="dxa"/>
            <w:tcBorders>
              <w:bottom w:val="single" w:sz="12" w:space="0" w:color="808080"/>
            </w:tcBorders>
            <w:vAlign w:val="center"/>
          </w:tcPr>
          <w:p w14:paraId="7059A007" w14:textId="77777777" w:rsidR="006D04F3" w:rsidRPr="009348F6" w:rsidRDefault="009348F6">
            <w:pPr>
              <w:suppressAutoHyphens w:val="0"/>
              <w:jc w:val="right"/>
              <w:rPr>
                <w:rFonts w:cs="Arial"/>
                <w:b/>
                <w:lang w:val="en-GB"/>
              </w:rPr>
            </w:pPr>
            <w:r w:rsidRPr="009348F6">
              <w:rPr>
                <w:rFonts w:cs="Arial"/>
                <w:lang w:val="en-GB"/>
              </w:rPr>
              <w:t>SERB154 RS10 090623</w:t>
            </w:r>
          </w:p>
        </w:tc>
      </w:tr>
    </w:tbl>
    <w:p w14:paraId="5DAC817B" w14:textId="77777777" w:rsidR="006D04F3" w:rsidRPr="009348F6" w:rsidRDefault="009348F6">
      <w:pPr>
        <w:spacing w:before="480" w:after="240" w:line="259" w:lineRule="auto"/>
        <w:jc w:val="center"/>
        <w:rPr>
          <w:rStyle w:val="Heading1Char"/>
          <w:rFonts w:ascii="Arial" w:hAnsi="Arial" w:cs="Arial"/>
          <w:bCs w:val="0"/>
          <w:iCs/>
          <w:color w:val="2E71AC"/>
          <w:sz w:val="24"/>
          <w:szCs w:val="24"/>
        </w:rPr>
      </w:pPr>
      <w:r w:rsidRPr="009348F6">
        <w:rPr>
          <w:rStyle w:val="Heading1Char"/>
          <w:rFonts w:ascii="Arial" w:hAnsi="Arial" w:cs="Arial"/>
          <w:iCs/>
          <w:color w:val="2E71AC"/>
          <w:sz w:val="24"/>
          <w:szCs w:val="24"/>
        </w:rPr>
        <w:t>Labour Force Survey, II quarter 2023</w:t>
      </w:r>
    </w:p>
    <w:p w14:paraId="3DF029B8" w14:textId="77777777" w:rsidR="006D04F3" w:rsidRPr="009348F6" w:rsidRDefault="009348F6">
      <w:pPr>
        <w:pStyle w:val="NormalWeb"/>
        <w:spacing w:before="120" w:after="120" w:line="288" w:lineRule="auto"/>
        <w:ind w:firstLine="403"/>
        <w:jc w:val="both"/>
        <w:rPr>
          <w:rFonts w:ascii="Arial" w:eastAsia="Times New Roman" w:hAnsi="Arial" w:cs="Arial"/>
        </w:rPr>
      </w:pPr>
      <w:bookmarkStart w:id="0" w:name="_Hlk144197589"/>
      <w:r w:rsidRPr="009348F6">
        <w:rPr>
          <w:rFonts w:ascii="Arial" w:eastAsia="Times New Roman" w:hAnsi="Arial" w:cs="Arial"/>
        </w:rPr>
        <w:t>In the second quarter 2023 the number of employed persons amounted to 2 876 600, and that of unemployed persons to 306 600. The employment rate for the observed period was 50.4%, and the unemployment rate was 9.6%.</w:t>
      </w:r>
      <w:bookmarkEnd w:id="0"/>
    </w:p>
    <w:p w14:paraId="417D501C" w14:textId="77777777" w:rsidR="006D04F3" w:rsidRPr="009348F6" w:rsidRDefault="009348F6">
      <w:pPr>
        <w:pStyle w:val="NormalWeb"/>
        <w:spacing w:before="360" w:after="60" w:line="288" w:lineRule="auto"/>
        <w:rPr>
          <w:rFonts w:ascii="Arial" w:hAnsi="Arial" w:cs="Arial"/>
          <w:lang w:val="en-GB"/>
        </w:rPr>
      </w:pPr>
      <w:r w:rsidRPr="009348F6">
        <w:rPr>
          <w:rFonts w:ascii="Arial" w:hAnsi="Arial" w:cs="Arial"/>
          <w:b/>
          <w:bCs/>
          <w:color w:val="2E71AC"/>
          <w:lang w:val="en-GB"/>
        </w:rPr>
        <w:t>Graph 1.</w:t>
      </w:r>
      <w:r w:rsidRPr="009348F6">
        <w:rPr>
          <w:rFonts w:ascii="Arial" w:hAnsi="Arial" w:cs="Arial"/>
          <w:bCs/>
          <w:color w:val="2E71AC"/>
          <w:lang w:val="en-GB"/>
        </w:rPr>
        <w:t xml:space="preserve"> </w:t>
      </w:r>
      <w:r w:rsidRPr="009348F6">
        <w:rPr>
          <w:rFonts w:ascii="Arial" w:hAnsi="Arial" w:cs="Arial"/>
          <w:bCs/>
          <w:color w:val="000000"/>
          <w:lang w:val="en-GB"/>
        </w:rPr>
        <w:t>E</w:t>
      </w:r>
      <w:r w:rsidRPr="009348F6">
        <w:rPr>
          <w:rFonts w:ascii="Arial" w:hAnsi="Arial" w:cs="Arial"/>
          <w:lang w:val="en-GB"/>
        </w:rPr>
        <w:t>mployment/unemployment rates (in %), population 15+, 2022-2023</w:t>
      </w:r>
    </w:p>
    <w:tbl>
      <w:tblPr>
        <w:tblStyle w:val="TableGrid"/>
        <w:tblW w:w="10260" w:type="dxa"/>
        <w:jc w:val="center"/>
        <w:tblLayout w:type="fixed"/>
        <w:tblCellMar>
          <w:left w:w="28" w:type="dxa"/>
          <w:right w:w="28" w:type="dxa"/>
        </w:tblCellMar>
        <w:tblLook w:val="04A0" w:firstRow="1" w:lastRow="0" w:firstColumn="1" w:lastColumn="0" w:noHBand="0" w:noVBand="1"/>
      </w:tblPr>
      <w:tblGrid>
        <w:gridCol w:w="10260"/>
      </w:tblGrid>
      <w:tr w:rsidR="006D04F3" w:rsidRPr="009348F6" w14:paraId="17523293" w14:textId="77777777">
        <w:trPr>
          <w:jc w:val="center"/>
        </w:trPr>
        <w:tc>
          <w:tcPr>
            <w:tcW w:w="10260" w:type="dxa"/>
            <w:tcBorders>
              <w:top w:val="single" w:sz="4" w:space="0" w:color="BFBFBF"/>
              <w:left w:val="single" w:sz="4" w:space="0" w:color="BFBFBF"/>
              <w:bottom w:val="single" w:sz="4" w:space="0" w:color="BFBFBF"/>
              <w:right w:val="single" w:sz="4" w:space="0" w:color="BFBFBF"/>
            </w:tcBorders>
          </w:tcPr>
          <w:p w14:paraId="7F771AF5" w14:textId="77777777" w:rsidR="006D04F3" w:rsidRPr="009348F6" w:rsidRDefault="009348F6">
            <w:pPr>
              <w:pStyle w:val="NormalWeb"/>
              <w:spacing w:before="60" w:after="60"/>
              <w:jc w:val="center"/>
              <w:rPr>
                <w:rFonts w:ascii="Arial" w:hAnsi="Arial" w:cs="Arial"/>
                <w:lang w:val="en-GB"/>
              </w:rPr>
            </w:pPr>
            <w:r w:rsidRPr="009348F6">
              <w:rPr>
                <w:rFonts w:ascii="Arial" w:hAnsi="Arial" w:cs="Arial"/>
                <w:noProof/>
              </w:rPr>
              <w:drawing>
                <wp:inline distT="0" distB="0" distL="0" distR="0" wp14:anchorId="4043A92A" wp14:editId="7EBD8AB1">
                  <wp:extent cx="4267200" cy="2931795"/>
                  <wp:effectExtent l="0" t="0" r="0" b="0"/>
                  <wp:docPr id="4" name="Picture 5" descr="A graph of employment r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A graph of employment rate&#10;&#10;Description automatically generated"/>
                          <pic:cNvPicPr>
                            <a:picLocks noChangeAspect="1" noChangeArrowheads="1"/>
                          </pic:cNvPicPr>
                        </pic:nvPicPr>
                        <pic:blipFill>
                          <a:blip r:embed="rId8"/>
                          <a:srcRect t="6940"/>
                          <a:stretch>
                            <a:fillRect/>
                          </a:stretch>
                        </pic:blipFill>
                        <pic:spPr bwMode="auto">
                          <a:xfrm>
                            <a:off x="0" y="0"/>
                            <a:ext cx="4267200" cy="2931795"/>
                          </a:xfrm>
                          <a:prstGeom prst="rect">
                            <a:avLst/>
                          </a:prstGeom>
                        </pic:spPr>
                      </pic:pic>
                    </a:graphicData>
                  </a:graphic>
                </wp:inline>
              </w:drawing>
            </w:r>
          </w:p>
        </w:tc>
      </w:tr>
    </w:tbl>
    <w:p w14:paraId="476AF7C3" w14:textId="77777777" w:rsidR="006D04F3" w:rsidRPr="009348F6" w:rsidRDefault="009348F6" w:rsidP="009348F6">
      <w:pPr>
        <w:spacing w:before="60" w:after="160" w:line="259" w:lineRule="auto"/>
        <w:rPr>
          <w:rStyle w:val="Heading1Char"/>
          <w:rFonts w:ascii="Arial" w:hAnsi="Arial" w:cs="Arial"/>
          <w:b w:val="0"/>
          <w:bCs w:val="0"/>
          <w:iCs/>
          <w:color w:val="auto"/>
          <w:sz w:val="22"/>
          <w:szCs w:val="22"/>
        </w:rPr>
      </w:pPr>
      <w:r w:rsidRPr="009348F6">
        <w:rPr>
          <w:rStyle w:val="Heading1Char"/>
          <w:rFonts w:ascii="Arial" w:hAnsi="Arial" w:cs="Arial"/>
          <w:b w:val="0"/>
          <w:bCs w:val="0"/>
          <w:iCs/>
          <w:color w:val="auto"/>
          <w:sz w:val="18"/>
          <w:szCs w:val="18"/>
        </w:rPr>
        <w:t xml:space="preserve"> (r)-Revised data.</w:t>
      </w:r>
    </w:p>
    <w:p w14:paraId="09EB9AFC" w14:textId="77777777" w:rsidR="006D04F3" w:rsidRPr="009348F6" w:rsidRDefault="009348F6">
      <w:pPr>
        <w:pStyle w:val="NormalWeb"/>
        <w:spacing w:before="480" w:after="120"/>
        <w:jc w:val="both"/>
        <w:rPr>
          <w:rStyle w:val="Heading1Char"/>
          <w:rFonts w:ascii="Arial" w:eastAsia="Calibri" w:hAnsi="Arial" w:cs="Arial"/>
          <w:b w:val="0"/>
          <w:bCs w:val="0"/>
          <w:color w:val="2E71AC"/>
          <w:sz w:val="22"/>
          <w:szCs w:val="22"/>
          <w:lang w:val="en-GB"/>
        </w:rPr>
      </w:pPr>
      <w:r w:rsidRPr="009348F6">
        <w:rPr>
          <w:rStyle w:val="Heading1Char"/>
          <w:rFonts w:ascii="Arial" w:eastAsia="Calibri" w:hAnsi="Arial" w:cs="Arial"/>
          <w:b w:val="0"/>
          <w:bCs w:val="0"/>
          <w:color w:val="2E71AC"/>
          <w:sz w:val="22"/>
          <w:szCs w:val="22"/>
          <w:lang w:val="en-GB"/>
        </w:rPr>
        <w:t>Comparison with the same quarter of the previous year</w:t>
      </w:r>
    </w:p>
    <w:p w14:paraId="2EA56F2B" w14:textId="6A6194D9" w:rsidR="006D04F3" w:rsidRPr="009348F6" w:rsidRDefault="009348F6">
      <w:pPr>
        <w:pStyle w:val="NormalWeb"/>
        <w:spacing w:before="120" w:after="120"/>
        <w:ind w:firstLine="403"/>
        <w:jc w:val="both"/>
        <w:rPr>
          <w:rFonts w:ascii="Arial" w:eastAsia="Times New Roman" w:hAnsi="Arial" w:cs="Arial"/>
        </w:rPr>
      </w:pPr>
      <w:r w:rsidRPr="009348F6">
        <w:rPr>
          <w:rFonts w:ascii="Arial" w:eastAsia="Times New Roman" w:hAnsi="Arial" w:cs="Arial"/>
        </w:rPr>
        <w:t>The data of the Labour Force Survey indicate that in the second quarter 2023, relative to the second quarter 2022, there was an increase both in the employment rate, by 0.5 p.p. and unemployment rate by 0.7 p.p. and that the rate of the population outside the labour force decreased by 1.0 p.p.</w:t>
      </w:r>
    </w:p>
    <w:p w14:paraId="1BA69240" w14:textId="77777777" w:rsidR="006D04F3" w:rsidRPr="009348F6" w:rsidRDefault="009348F6">
      <w:pPr>
        <w:pStyle w:val="NormalWeb"/>
        <w:spacing w:before="120" w:after="120"/>
        <w:ind w:firstLine="403"/>
        <w:jc w:val="both"/>
        <w:rPr>
          <w:rFonts w:ascii="Arial" w:eastAsia="Times New Roman" w:hAnsi="Arial" w:cs="Arial"/>
        </w:rPr>
      </w:pPr>
      <w:r w:rsidRPr="009348F6">
        <w:rPr>
          <w:rFonts w:ascii="Arial" w:eastAsia="Times New Roman" w:hAnsi="Arial" w:cs="Arial"/>
        </w:rPr>
        <w:t>The total observed population (population aged 15 and over) decreased in the interannual period by</w:t>
      </w:r>
      <w:r w:rsidRPr="009348F6">
        <w:rPr>
          <w:rFonts w:ascii="Arial" w:eastAsia="Times New Roman" w:hAnsi="Arial" w:cs="Arial"/>
          <w:lang w:val="sr-Latn-RS"/>
        </w:rPr>
        <w:t xml:space="preserve"> </w:t>
      </w:r>
      <w:r w:rsidRPr="009348F6">
        <w:rPr>
          <w:rFonts w:ascii="Arial" w:eastAsia="Times New Roman" w:hAnsi="Arial" w:cs="Arial"/>
        </w:rPr>
        <w:t xml:space="preserve">62 700, and amounts to 5 704 800. </w:t>
      </w:r>
      <w:r w:rsidRPr="009348F6">
        <w:rPr>
          <w:rFonts w:ascii="Arial" w:eastAsia="Times New Roman" w:hAnsi="Arial" w:cs="Arial"/>
          <w:lang w:val="sr-Latn-RS"/>
        </w:rPr>
        <w:t xml:space="preserve"> The contingent of the population outside the labour force in the second quarter 2023, relative to the second quarter 2022, droped by </w:t>
      </w:r>
      <w:r w:rsidRPr="009348F6">
        <w:rPr>
          <w:rFonts w:ascii="Arial" w:eastAsia="Times New Roman" w:hAnsi="Arial" w:cs="Arial"/>
        </w:rPr>
        <w:t xml:space="preserve">82 700, and amounts to 2 521 600, while the contingent of active population increased by 20 000. Within the contingent of active population, the number of unemployed persons increased by 25 500, while the number of employed persons was slightly lower, by 5 500. </w:t>
      </w:r>
    </w:p>
    <w:p w14:paraId="60455B9E" w14:textId="77777777" w:rsidR="006D04F3" w:rsidRPr="009348F6" w:rsidRDefault="009348F6">
      <w:pPr>
        <w:pStyle w:val="NormalWeb"/>
        <w:spacing w:before="120" w:after="120"/>
        <w:ind w:firstLine="403"/>
        <w:jc w:val="both"/>
        <w:rPr>
          <w:rFonts w:ascii="Arial" w:eastAsia="Times New Roman" w:hAnsi="Arial" w:cs="Arial"/>
        </w:rPr>
      </w:pPr>
      <w:r w:rsidRPr="009348F6">
        <w:rPr>
          <w:rFonts w:ascii="Arial" w:eastAsia="Times New Roman" w:hAnsi="Arial" w:cs="Arial"/>
        </w:rPr>
        <w:t xml:space="preserve">Within total employment the number of formally employed persons increased by 33 300, and amounts to 2 522 300. The number of informally employed persons decreased by 38 800, and amounts to 354 300. The number of informally employed persons outside agriculture went down by 25 300, while that of informally employed persons outside agriculture went down by 13 500. </w:t>
      </w:r>
    </w:p>
    <w:p w14:paraId="684F99C3" w14:textId="77777777" w:rsidR="009348F6" w:rsidRDefault="009348F6">
      <w:pPr>
        <w:rPr>
          <w:rFonts w:cs="Arial"/>
        </w:rPr>
      </w:pPr>
      <w:r>
        <w:rPr>
          <w:rFonts w:cs="Arial"/>
        </w:rPr>
        <w:br w:type="page"/>
      </w:r>
    </w:p>
    <w:p w14:paraId="5FD8A958" w14:textId="128736D7" w:rsidR="006D04F3" w:rsidRPr="009348F6" w:rsidRDefault="009348F6">
      <w:pPr>
        <w:pStyle w:val="NormalWeb"/>
        <w:spacing w:before="120" w:after="120"/>
        <w:ind w:firstLine="403"/>
        <w:jc w:val="both"/>
        <w:rPr>
          <w:rFonts w:ascii="Arial" w:eastAsia="Times New Roman" w:hAnsi="Arial" w:cs="Arial"/>
        </w:rPr>
      </w:pPr>
      <w:r w:rsidRPr="009348F6">
        <w:rPr>
          <w:rFonts w:ascii="Arial" w:eastAsia="Times New Roman" w:hAnsi="Arial" w:cs="Arial"/>
        </w:rPr>
        <w:lastRenderedPageBreak/>
        <w:t xml:space="preserve">The rate of total informal employment in the second quarter 2023 amounted to 12.3% and, relative to the second quarter 2022, was down by 1.3 p.p. The rate of informal employment outside agriculture was 6.5%, while the same rate in agriculture amounted to 52.0%, and when compared with the same period of the previous year, both rates decreased, by 1.0 p.p. and 1.3 p.p. respectively). </w:t>
      </w:r>
    </w:p>
    <w:p w14:paraId="15E572DB" w14:textId="77777777" w:rsidR="006D04F3" w:rsidRPr="009348F6" w:rsidRDefault="009348F6">
      <w:pPr>
        <w:pStyle w:val="NormalWeb"/>
        <w:spacing w:before="120" w:after="120"/>
        <w:ind w:firstLine="403"/>
        <w:jc w:val="both"/>
        <w:rPr>
          <w:rFonts w:ascii="Arial" w:eastAsia="Times New Roman" w:hAnsi="Arial" w:cs="Arial"/>
        </w:rPr>
      </w:pPr>
      <w:r w:rsidRPr="009348F6">
        <w:rPr>
          <w:rFonts w:ascii="Arial" w:eastAsia="Times New Roman" w:hAnsi="Arial" w:cs="Arial"/>
        </w:rPr>
        <w:t xml:space="preserve">Observed by sex, the data for the second quarter 2023 indicate that the number of employed persons among the female population increased by 20 700, and that the number of employed men decreased by 26 200. The number of unemployed persons noted growth in both sexes, 7 900 unemployed women and 17 600 unemployed men, relative to the same quarter of the previous year. </w:t>
      </w:r>
    </w:p>
    <w:p w14:paraId="1E7405E4" w14:textId="77777777" w:rsidR="006D04F3" w:rsidRPr="009348F6" w:rsidRDefault="009348F6">
      <w:pPr>
        <w:pStyle w:val="NormalWeb"/>
        <w:spacing w:before="120" w:after="120"/>
        <w:ind w:firstLine="403"/>
        <w:jc w:val="both"/>
        <w:rPr>
          <w:rFonts w:ascii="Arial" w:eastAsia="Times New Roman" w:hAnsi="Arial" w:cs="Arial"/>
        </w:rPr>
      </w:pPr>
      <w:r w:rsidRPr="009348F6">
        <w:rPr>
          <w:rFonts w:ascii="Arial" w:eastAsia="Times New Roman" w:hAnsi="Arial" w:cs="Arial"/>
        </w:rPr>
        <w:t>Observed territorially, the largest unemployment growth (4.</w:t>
      </w:r>
      <w:r w:rsidRPr="009348F6">
        <w:rPr>
          <w:rFonts w:ascii="Arial" w:eastAsia="Times New Roman" w:hAnsi="Arial" w:cs="Arial"/>
          <w:lang w:val="sr-Latn-RS"/>
        </w:rPr>
        <w:t>1</w:t>
      </w:r>
      <w:r w:rsidRPr="009348F6">
        <w:rPr>
          <w:rFonts w:ascii="Arial" w:eastAsia="Times New Roman" w:hAnsi="Arial" w:cs="Arial"/>
        </w:rPr>
        <w:t xml:space="preserve"> p.p.) was followed at the same time by the largest fall of employment of 2.5 p.p. recorded in Region Južne i Istočne Srbije. At the international level, the employment rate  recorded the largest growth in Region Vojvodine (1.9 p.p.), followed by Beogradski Region where the employment rate increased by 1.</w:t>
      </w:r>
      <w:r w:rsidRPr="009348F6">
        <w:rPr>
          <w:rFonts w:ascii="Arial" w:eastAsia="Times New Roman" w:hAnsi="Arial" w:cs="Arial"/>
          <w:lang w:val="sr-Latn-RS"/>
        </w:rPr>
        <w:t>4</w:t>
      </w:r>
      <w:r w:rsidRPr="009348F6">
        <w:rPr>
          <w:rFonts w:ascii="Arial" w:eastAsia="Times New Roman" w:hAnsi="Arial" w:cs="Arial"/>
        </w:rPr>
        <w:t xml:space="preserve"> p.p. and by Region Šumadije i Zapadne Srbije with an increase of 0.4 p.p.  </w:t>
      </w:r>
      <w:r w:rsidRPr="009348F6">
        <w:rPr>
          <w:rFonts w:ascii="Arial" w:eastAsia="Times New Roman" w:hAnsi="Arial" w:cs="Arial"/>
          <w:lang w:val="sr-Latn-RS"/>
        </w:rPr>
        <w:t xml:space="preserve"> </w:t>
      </w:r>
    </w:p>
    <w:p w14:paraId="6412B67F" w14:textId="77777777" w:rsidR="006D04F3" w:rsidRPr="009348F6" w:rsidRDefault="009348F6">
      <w:pPr>
        <w:pStyle w:val="NormalWeb"/>
        <w:spacing w:before="120" w:after="120"/>
        <w:jc w:val="both"/>
        <w:rPr>
          <w:rFonts w:ascii="Arial" w:eastAsia="Times New Roman" w:hAnsi="Arial" w:cs="Arial"/>
        </w:rPr>
      </w:pPr>
      <w:r w:rsidRPr="009348F6">
        <w:rPr>
          <w:rFonts w:ascii="Arial" w:eastAsia="Times New Roman" w:hAnsi="Arial" w:cs="Arial"/>
        </w:rPr>
        <w:t xml:space="preserve">The population of youth aged 15−24 in the second quarter 2023 decreased by 8 000 persons, and amounts to 676 400. Relative to the second quarter 2022, the number of employed youth decreased by 10 400, amounting to 160 600, while the number of unemployed youth increased by 14 300, now amounting to 52 700. In the same period, the contingent of youth population outside the labour force fell by 11 900, to 463 200.  </w:t>
      </w:r>
    </w:p>
    <w:p w14:paraId="3CF00898" w14:textId="77777777" w:rsidR="006D04F3" w:rsidRPr="009348F6" w:rsidRDefault="009348F6">
      <w:pPr>
        <w:spacing w:before="120" w:after="120"/>
        <w:ind w:firstLine="397"/>
        <w:jc w:val="both"/>
        <w:rPr>
          <w:rFonts w:cs="Arial"/>
        </w:rPr>
      </w:pPr>
      <w:r w:rsidRPr="009348F6">
        <w:rPr>
          <w:rFonts w:cs="Arial"/>
        </w:rPr>
        <w:t xml:space="preserve">The so-called NEET rate, i.e. the share of young people aged 15−24 who are neither in employment, education or training in the total population was 11.7%, which, relative to the second quarter 2022, represents a decrease of 0.8 p.p. In the population aged 15−29 the NEET rate was </w:t>
      </w:r>
      <w:r w:rsidRPr="009348F6">
        <w:rPr>
          <w:rFonts w:cs="Arial"/>
          <w:lang w:val="sr-Latn-RS"/>
        </w:rPr>
        <w:t>13.8</w:t>
      </w:r>
      <w:r w:rsidRPr="009348F6">
        <w:rPr>
          <w:rFonts w:cs="Arial"/>
        </w:rPr>
        <w:t>%, recording an interannual increase of 0.1 p.p.</w:t>
      </w:r>
    </w:p>
    <w:p w14:paraId="5F867C9E" w14:textId="77777777" w:rsidR="006D04F3" w:rsidRPr="009348F6" w:rsidRDefault="009348F6">
      <w:pPr>
        <w:pStyle w:val="NormalWeb"/>
        <w:spacing w:before="480" w:after="120"/>
        <w:jc w:val="both"/>
        <w:rPr>
          <w:rStyle w:val="Heading1Char"/>
          <w:rFonts w:ascii="Arial" w:eastAsia="Calibri" w:hAnsi="Arial" w:cs="Arial"/>
          <w:b w:val="0"/>
          <w:bCs w:val="0"/>
          <w:color w:val="2E71AC"/>
          <w:sz w:val="22"/>
          <w:szCs w:val="22"/>
        </w:rPr>
      </w:pPr>
      <w:r w:rsidRPr="009348F6">
        <w:rPr>
          <w:rStyle w:val="Heading1Char"/>
          <w:rFonts w:ascii="Arial" w:eastAsia="Calibri" w:hAnsi="Arial" w:cs="Arial"/>
          <w:b w:val="0"/>
          <w:bCs w:val="0"/>
          <w:color w:val="2E71AC"/>
          <w:sz w:val="22"/>
          <w:szCs w:val="22"/>
          <w:lang w:val="en-GB"/>
        </w:rPr>
        <w:t>Comparison</w:t>
      </w:r>
      <w:r w:rsidRPr="009348F6">
        <w:rPr>
          <w:rStyle w:val="Heading1Char"/>
          <w:rFonts w:ascii="Arial" w:eastAsia="Calibri" w:hAnsi="Arial" w:cs="Arial"/>
          <w:b w:val="0"/>
          <w:bCs w:val="0"/>
          <w:color w:val="2E71AC"/>
          <w:sz w:val="22"/>
          <w:szCs w:val="22"/>
        </w:rPr>
        <w:t xml:space="preserve"> </w:t>
      </w:r>
      <w:r w:rsidRPr="009348F6">
        <w:rPr>
          <w:rStyle w:val="Heading1Char"/>
          <w:rFonts w:ascii="Arial" w:eastAsia="Calibri" w:hAnsi="Arial" w:cs="Arial"/>
          <w:b w:val="0"/>
          <w:bCs w:val="0"/>
          <w:color w:val="2E71AC"/>
          <w:sz w:val="22"/>
          <w:szCs w:val="22"/>
          <w:lang w:val="en-GB"/>
        </w:rPr>
        <w:t>with</w:t>
      </w:r>
      <w:r w:rsidRPr="009348F6">
        <w:rPr>
          <w:rStyle w:val="Heading1Char"/>
          <w:rFonts w:ascii="Arial" w:eastAsia="Calibri" w:hAnsi="Arial" w:cs="Arial"/>
          <w:b w:val="0"/>
          <w:bCs w:val="0"/>
          <w:color w:val="2E71AC"/>
          <w:sz w:val="22"/>
          <w:szCs w:val="22"/>
        </w:rPr>
        <w:t xml:space="preserve"> </w:t>
      </w:r>
      <w:r w:rsidRPr="009348F6">
        <w:rPr>
          <w:rStyle w:val="Heading1Char"/>
          <w:rFonts w:ascii="Arial" w:eastAsia="Calibri" w:hAnsi="Arial" w:cs="Arial"/>
          <w:b w:val="0"/>
          <w:bCs w:val="0"/>
          <w:color w:val="2E71AC"/>
          <w:sz w:val="22"/>
          <w:szCs w:val="22"/>
          <w:lang w:val="en-GB"/>
        </w:rPr>
        <w:t>the</w:t>
      </w:r>
      <w:r w:rsidRPr="009348F6">
        <w:rPr>
          <w:rStyle w:val="Heading1Char"/>
          <w:rFonts w:ascii="Arial" w:eastAsia="Calibri" w:hAnsi="Arial" w:cs="Arial"/>
          <w:b w:val="0"/>
          <w:bCs w:val="0"/>
          <w:color w:val="2E71AC"/>
          <w:sz w:val="22"/>
          <w:szCs w:val="22"/>
        </w:rPr>
        <w:t xml:space="preserve"> </w:t>
      </w:r>
      <w:r w:rsidRPr="009348F6">
        <w:rPr>
          <w:rStyle w:val="Heading1Char"/>
          <w:rFonts w:ascii="Arial" w:eastAsia="Calibri" w:hAnsi="Arial" w:cs="Arial"/>
          <w:b w:val="0"/>
          <w:bCs w:val="0"/>
          <w:color w:val="2E71AC"/>
          <w:sz w:val="22"/>
          <w:szCs w:val="22"/>
          <w:lang w:val="en-GB"/>
        </w:rPr>
        <w:t>previous</w:t>
      </w:r>
      <w:r w:rsidRPr="009348F6">
        <w:rPr>
          <w:rStyle w:val="Heading1Char"/>
          <w:rFonts w:ascii="Arial" w:eastAsia="Calibri" w:hAnsi="Arial" w:cs="Arial"/>
          <w:b w:val="0"/>
          <w:bCs w:val="0"/>
          <w:color w:val="2E71AC"/>
          <w:sz w:val="22"/>
          <w:szCs w:val="22"/>
        </w:rPr>
        <w:t xml:space="preserve"> </w:t>
      </w:r>
      <w:r w:rsidRPr="009348F6">
        <w:rPr>
          <w:rStyle w:val="Heading1Char"/>
          <w:rFonts w:ascii="Arial" w:eastAsia="Calibri" w:hAnsi="Arial" w:cs="Arial"/>
          <w:b w:val="0"/>
          <w:bCs w:val="0"/>
          <w:color w:val="2E71AC"/>
          <w:sz w:val="22"/>
          <w:szCs w:val="22"/>
          <w:lang w:val="en-GB"/>
        </w:rPr>
        <w:t>quarter</w:t>
      </w:r>
    </w:p>
    <w:p w14:paraId="4567AB97" w14:textId="77777777" w:rsidR="006D04F3" w:rsidRPr="009348F6" w:rsidRDefault="009348F6">
      <w:pPr>
        <w:pStyle w:val="NormalWeb"/>
        <w:spacing w:before="120" w:after="120"/>
        <w:ind w:firstLine="403"/>
        <w:jc w:val="both"/>
        <w:rPr>
          <w:rFonts w:ascii="Arial" w:eastAsia="Times New Roman" w:hAnsi="Arial" w:cs="Arial"/>
        </w:rPr>
      </w:pPr>
      <w:r w:rsidRPr="009348F6">
        <w:rPr>
          <w:rFonts w:ascii="Arial" w:eastAsia="Times New Roman" w:hAnsi="Arial" w:cs="Arial"/>
        </w:rPr>
        <w:t>In the second quarter 2023, relative to the first quarter 2023, employment increased by 39</w:t>
      </w:r>
      <w:r w:rsidRPr="009348F6">
        <w:rPr>
          <w:rFonts w:ascii="Arial" w:eastAsia="Times New Roman" w:hAnsi="Arial" w:cs="Arial"/>
          <w:lang w:val="sr-Latn-RS"/>
        </w:rPr>
        <w:t> </w:t>
      </w:r>
      <w:r w:rsidRPr="009348F6">
        <w:rPr>
          <w:rFonts w:ascii="Arial" w:eastAsia="Times New Roman" w:hAnsi="Arial" w:cs="Arial"/>
        </w:rPr>
        <w:t>000,  unemployment decreased (-10 600) and so did the outside the labour force population (-39 600), which led to a higher employment rate by 0.8 p.p, lower unemployment rate by 0.4 p.p. and lower rate of the outside labour force population by 0.6 p.p.</w:t>
      </w:r>
    </w:p>
    <w:p w14:paraId="352E92CD" w14:textId="77777777" w:rsidR="006D04F3" w:rsidRPr="009348F6" w:rsidRDefault="009348F6">
      <w:pPr>
        <w:pStyle w:val="NormalWeb"/>
        <w:spacing w:before="120" w:after="120"/>
        <w:ind w:firstLine="403"/>
        <w:jc w:val="both"/>
        <w:rPr>
          <w:rFonts w:ascii="Arial" w:eastAsia="Times New Roman" w:hAnsi="Arial" w:cs="Arial"/>
        </w:rPr>
      </w:pPr>
      <w:r w:rsidRPr="009348F6">
        <w:rPr>
          <w:rFonts w:ascii="Arial" w:eastAsia="Times New Roman" w:hAnsi="Arial" w:cs="Arial"/>
        </w:rPr>
        <w:t xml:space="preserve"> Observed by sex, employment increase is more noticeable in the male population, where the number of employed persons is higher by 25 500 than in the previous quarter, while the mentioned increase in the female population was 13 500. Employment in the male population increased due to the decrease in unemployment and outside the labour force population. The male population on interquarterly level saw a fall of the number of the unemployed by 12 100 and of the outside the labour population by 18 900. The female population, in the second quarter 2023 relative to the second quarter of the same year, saw a decrease in the contingent of the outside the labour force population, by 20 700 and an increase of the number of employed persons, by 13 500, as well a sligth increase in the number of unemployed persons, 1 500.</w:t>
      </w:r>
    </w:p>
    <w:p w14:paraId="56C29F3C" w14:textId="77777777" w:rsidR="006D04F3" w:rsidRPr="009348F6" w:rsidRDefault="009348F6">
      <w:pPr>
        <w:pStyle w:val="NormalWeb"/>
        <w:spacing w:before="120" w:after="120"/>
        <w:ind w:firstLine="403"/>
        <w:jc w:val="both"/>
        <w:rPr>
          <w:rFonts w:ascii="Arial" w:eastAsia="Times New Roman" w:hAnsi="Arial" w:cs="Arial"/>
        </w:rPr>
      </w:pPr>
      <w:r w:rsidRPr="009348F6">
        <w:rPr>
          <w:rFonts w:ascii="Arial" w:eastAsia="Times New Roman" w:hAnsi="Arial" w:cs="Arial"/>
        </w:rPr>
        <w:t xml:space="preserve">Within total employment that increased by 39 000 in the second quarter 2023, relative to the first quarter, growth was primarily noted in formal employment, by 34 000, and in informal employment, by 4 900. </w:t>
      </w:r>
    </w:p>
    <w:p w14:paraId="036395B2" w14:textId="77777777" w:rsidR="006D04F3" w:rsidRPr="009348F6" w:rsidRDefault="009348F6">
      <w:pPr>
        <w:pStyle w:val="NormalWeb"/>
        <w:spacing w:before="120" w:after="120"/>
        <w:ind w:firstLine="403"/>
        <w:jc w:val="both"/>
        <w:rPr>
          <w:rFonts w:ascii="Arial" w:eastAsia="Times New Roman" w:hAnsi="Arial" w:cs="Arial"/>
        </w:rPr>
      </w:pPr>
      <w:r w:rsidRPr="009348F6">
        <w:rPr>
          <w:rFonts w:ascii="Arial" w:eastAsia="Times New Roman" w:hAnsi="Arial" w:cs="Arial"/>
        </w:rPr>
        <w:t xml:space="preserve"> The largest employment growth was recorded in Region Vojvodine (by 28 500) which conditioned employment rate growth by 2.0 p.p. Employment growth was followed by a fall in the contingent of the outside the labour force population (by 25 700 persons), i.e. 1.6 p.p. and fall of the number of unemployed persons by 5 600, i.e. 0.9 p.p. Employment increase and the decrease in the number of outside the labour force population, considerably lower than in the Region Vojvodine, were noted also in Beogradski Region and Region Šumadije i Zapadne Srbije, while Region June i Istočne Srbije had the same employment rate as in the previous quarter (44.0%), and recorded a fall of the unemployment rate of 1.1 p.p. </w:t>
      </w:r>
    </w:p>
    <w:p w14:paraId="1E72796D" w14:textId="77777777" w:rsidR="006D04F3" w:rsidRPr="009348F6" w:rsidRDefault="009348F6">
      <w:pPr>
        <w:pStyle w:val="NormalWeb"/>
        <w:spacing w:before="120" w:after="120"/>
        <w:ind w:firstLine="403"/>
        <w:jc w:val="both"/>
        <w:rPr>
          <w:rFonts w:ascii="Arial" w:eastAsia="Times New Roman" w:hAnsi="Arial" w:cs="Arial"/>
        </w:rPr>
      </w:pPr>
      <w:r w:rsidRPr="009348F6">
        <w:rPr>
          <w:rFonts w:ascii="Arial" w:eastAsia="Times New Roman" w:hAnsi="Arial" w:cs="Arial"/>
        </w:rPr>
        <w:t>In the youth population aged 15−24 the number of unemployed persons remained unchanged, the number of employed persons recorded slight growth (+1 700) аnd the outside the labour force population decreased by 3 000 reltive to the first quarter of 2023. Therefore, this led to employment rate increase of 0.3 p.p. and unemployment rate decrease of 0.2 p.p., as well as to the increase in the outside the labour force population of 0.3 p.p. in this age category.</w:t>
      </w:r>
    </w:p>
    <w:p w14:paraId="28A90113" w14:textId="77777777" w:rsidR="006D04F3" w:rsidRPr="009348F6" w:rsidRDefault="009348F6">
      <w:pPr>
        <w:spacing w:before="120" w:after="120"/>
        <w:ind w:firstLine="397"/>
        <w:jc w:val="both"/>
        <w:rPr>
          <w:rFonts w:cs="Arial"/>
        </w:rPr>
      </w:pPr>
      <w:r w:rsidRPr="009348F6">
        <w:rPr>
          <w:rFonts w:cs="Arial"/>
        </w:rPr>
        <w:t xml:space="preserve">Тhe so-called NEET rate, i.e. the share of young people aged 15−24, who are in employment, education or training, in the total youth population, relative to the first quarter 2023, increased by 0.3 p.p. </w:t>
      </w:r>
    </w:p>
    <w:p w14:paraId="769AEB66" w14:textId="77777777" w:rsidR="006D04F3" w:rsidRPr="009348F6" w:rsidRDefault="006D04F3">
      <w:pPr>
        <w:spacing w:before="120" w:after="120"/>
        <w:ind w:firstLine="397"/>
        <w:jc w:val="both"/>
        <w:rPr>
          <w:rFonts w:cs="Arial"/>
        </w:rPr>
      </w:pPr>
    </w:p>
    <w:p w14:paraId="30459C6B" w14:textId="77777777" w:rsidR="006D04F3" w:rsidRPr="009348F6" w:rsidRDefault="006D04F3">
      <w:pPr>
        <w:spacing w:before="120" w:after="120"/>
        <w:ind w:firstLine="397"/>
        <w:jc w:val="both"/>
        <w:rPr>
          <w:rFonts w:cs="Arial"/>
        </w:rPr>
      </w:pPr>
    </w:p>
    <w:p w14:paraId="798E9227" w14:textId="77777777" w:rsidR="006D04F3" w:rsidRPr="009348F6" w:rsidRDefault="006D04F3">
      <w:pPr>
        <w:spacing w:before="120" w:after="120"/>
        <w:ind w:firstLine="397"/>
        <w:jc w:val="both"/>
        <w:rPr>
          <w:rFonts w:cs="Arial"/>
        </w:rPr>
      </w:pPr>
    </w:p>
    <w:p w14:paraId="2BCB9E21" w14:textId="40BF1226" w:rsidR="006D04F3" w:rsidRPr="009348F6" w:rsidRDefault="00DD751B" w:rsidP="009348F6">
      <w:pPr>
        <w:spacing w:before="120" w:after="120"/>
        <w:jc w:val="center"/>
        <w:rPr>
          <w:rFonts w:cs="Arial"/>
        </w:rPr>
      </w:pPr>
      <w:r>
        <w:rPr>
          <w:rFonts w:cs="Arial"/>
        </w:rPr>
      </w:r>
      <w:r>
        <w:rPr>
          <w:rFonts w:cs="Arial"/>
        </w:rPr>
        <w:pict w14:anchorId="5426926C">
          <v:shape id="Round Diagonal Corner Rectangle 3" o:spid="_x0000_s1027" style="width:506.45pt;height:700.25pt;visibility:visible;mso-wrap-style:square;mso-left-percent:-10001;mso-top-percent:-10001;mso-position-horizontal:absolute;mso-position-horizontal-relative:char;mso-position-vertical:absolute;mso-position-vertical-relative:line;mso-left-percent:-10001;mso-top-percent:-10001;v-text-anchor:middle-center" coordsize="17866,24703" o:spt="100" adj="-11796480,,5400" path="m2978,1r14888,l17866,1r,21709c17866,23363,16533,24704,14888,24704l,24704r,l,2995c,1342,1333,1,2978,1xe" fillcolor="#f2f2f2" strokecolor="#bfbfbf [2412]" strokeweight=".18mm">
            <v:stroke joinstyle="miter"/>
            <v:formulas/>
            <v:path arrowok="t" o:connecttype="segments" textboxrect="0,0,17866,24703"/>
            <v:textbox style="mso-next-textbox:#Round Diagonal Corner Rectangle 3">
              <w:txbxContent>
                <w:p w14:paraId="21BC2BA7" w14:textId="77777777" w:rsidR="00837B42" w:rsidRDefault="00837B42">
                  <w:pPr>
                    <w:pStyle w:val="a4"/>
                    <w:spacing w:after="60"/>
                    <w:jc w:val="both"/>
                    <w:rPr>
                      <w:rFonts w:cstheme="minorHAnsi"/>
                      <w:color w:val="000000"/>
                    </w:rPr>
                  </w:pPr>
                </w:p>
                <w:p w14:paraId="11BF9102" w14:textId="77777777" w:rsidR="00837B42" w:rsidRDefault="00837B42">
                  <w:pPr>
                    <w:pStyle w:val="a4"/>
                    <w:spacing w:after="60"/>
                    <w:jc w:val="both"/>
                    <w:rPr>
                      <w:rFonts w:cstheme="minorHAnsi"/>
                      <w:color w:val="000000"/>
                    </w:rPr>
                  </w:pPr>
                </w:p>
                <w:p w14:paraId="6C12153B" w14:textId="77777777" w:rsidR="00837B42" w:rsidRDefault="00837B42">
                  <w:pPr>
                    <w:pStyle w:val="a4"/>
                    <w:spacing w:after="60"/>
                    <w:jc w:val="both"/>
                    <w:rPr>
                      <w:rFonts w:cstheme="minorHAnsi"/>
                      <w:color w:val="000000"/>
                    </w:rPr>
                  </w:pPr>
                </w:p>
                <w:p w14:paraId="09B59063" w14:textId="77777777" w:rsidR="00837B42" w:rsidRDefault="00837B42">
                  <w:pPr>
                    <w:pStyle w:val="a4"/>
                    <w:spacing w:after="60"/>
                    <w:jc w:val="both"/>
                    <w:rPr>
                      <w:rFonts w:cstheme="minorHAnsi"/>
                      <w:color w:val="000000"/>
                    </w:rPr>
                  </w:pPr>
                </w:p>
                <w:p w14:paraId="169389BA" w14:textId="236CBCD4" w:rsidR="006D04F3" w:rsidRDefault="009348F6" w:rsidP="009348F6">
                  <w:pPr>
                    <w:pStyle w:val="a4"/>
                    <w:spacing w:after="60"/>
                    <w:ind w:left="170" w:right="170"/>
                    <w:jc w:val="both"/>
                    <w:rPr>
                      <w:rFonts w:cstheme="minorHAnsi"/>
                    </w:rPr>
                  </w:pPr>
                  <w:r>
                    <w:rPr>
                      <w:rFonts w:cstheme="minorHAnsi"/>
                      <w:color w:val="000000"/>
                    </w:rPr>
                    <w:t>Scores</w:t>
                  </w:r>
                  <w:r>
                    <w:rPr>
                      <w:rFonts w:cstheme="minorHAnsi"/>
                      <w:color w:val="000000"/>
                      <w:vertAlign w:val="superscript"/>
                    </w:rPr>
                    <w:t>1</w:t>
                  </w:r>
                  <w:r>
                    <w:rPr>
                      <w:rFonts w:cstheme="minorHAnsi"/>
                      <w:color w:val="000000"/>
                    </w:rPr>
                    <w:t xml:space="preserve"> were calculated starting from</w:t>
                  </w:r>
                  <w:r w:rsidR="00B166E2">
                    <w:rPr>
                      <w:rFonts w:cstheme="minorHAnsi"/>
                      <w:color w:val="000000"/>
                    </w:rPr>
                    <w:t xml:space="preserve"> the</w:t>
                  </w:r>
                  <w:r>
                    <w:rPr>
                      <w:rFonts w:cstheme="minorHAnsi"/>
                      <w:color w:val="000000"/>
                    </w:rPr>
                    <w:t xml:space="preserve"> first quarter of 2023 on the basis of demographic estimates for 2022, according to final results of 2022 Population Census. </w:t>
                  </w:r>
                </w:p>
                <w:p w14:paraId="35177139" w14:textId="77777777" w:rsidR="006D04F3" w:rsidRDefault="009348F6" w:rsidP="009348F6">
                  <w:pPr>
                    <w:pStyle w:val="a4"/>
                    <w:spacing w:after="60"/>
                    <w:ind w:left="170" w:right="170"/>
                    <w:jc w:val="both"/>
                    <w:rPr>
                      <w:rFonts w:cstheme="minorHAnsi"/>
                    </w:rPr>
                  </w:pPr>
                  <w:r>
                    <w:rPr>
                      <w:rFonts w:cstheme="minorHAnsi"/>
                      <w:color w:val="000000"/>
                    </w:rPr>
                    <w:t>Due to the application of weights based on the most recent demographic indicators, the data from this statistical release are not comparable to previous data published in the same statistical releases before 2023.</w:t>
                  </w:r>
                </w:p>
                <w:p w14:paraId="5F5F6A93" w14:textId="77777777" w:rsidR="006D04F3" w:rsidRDefault="009348F6" w:rsidP="009348F6">
                  <w:pPr>
                    <w:pStyle w:val="a4"/>
                    <w:spacing w:after="60"/>
                    <w:ind w:left="170" w:right="170"/>
                    <w:jc w:val="both"/>
                    <w:rPr>
                      <w:rFonts w:cstheme="minorHAnsi"/>
                    </w:rPr>
                  </w:pPr>
                  <w:r>
                    <w:rPr>
                      <w:rFonts w:cstheme="minorHAnsi"/>
                      <w:color w:val="000000"/>
                    </w:rPr>
                    <w:t>In order to ensure the comparability of the data from the first quarter of 2023 with the data from 2022, the LFS data was revised based on the revision of demographic estimates based on final 2022 Census results. Demographic estimates based on 2011 Census were, for the last time, used to calculate the grades for the fourth quarter of 2022.</w:t>
                  </w:r>
                </w:p>
                <w:p w14:paraId="6A88858E" w14:textId="77777777" w:rsidR="006D04F3" w:rsidRDefault="009348F6" w:rsidP="009348F6">
                  <w:pPr>
                    <w:pStyle w:val="a4"/>
                    <w:spacing w:after="60"/>
                    <w:ind w:left="170" w:right="170"/>
                    <w:jc w:val="both"/>
                    <w:rPr>
                      <w:rFonts w:cstheme="minorHAnsi"/>
                      <w:b/>
                    </w:rPr>
                  </w:pPr>
                  <w:bookmarkStart w:id="1" w:name="_Hlk135996923"/>
                  <w:bookmarkStart w:id="2" w:name="_Hlk135996922"/>
                  <w:r>
                    <w:rPr>
                      <w:rFonts w:cstheme="minorHAnsi"/>
                      <w:b/>
                      <w:color w:val="000000"/>
                    </w:rPr>
                    <w:t>In this statistical release, the data for the second quarter of 2023 is compared with the revised data for 2022 and the final results for the first quarter of 2023.</w:t>
                  </w:r>
                  <w:bookmarkEnd w:id="1"/>
                  <w:bookmarkEnd w:id="2"/>
                </w:p>
                <w:p w14:paraId="127897F8" w14:textId="77777777" w:rsidR="006D04F3" w:rsidRDefault="009348F6" w:rsidP="009348F6">
                  <w:pPr>
                    <w:pStyle w:val="a4"/>
                    <w:spacing w:after="60"/>
                    <w:ind w:left="170" w:right="170"/>
                    <w:jc w:val="both"/>
                    <w:rPr>
                      <w:rFonts w:cstheme="minorHAnsi"/>
                    </w:rPr>
                  </w:pPr>
                  <w:r>
                    <w:rPr>
                      <w:rFonts w:cstheme="minorHAnsi"/>
                      <w:color w:val="000000"/>
                    </w:rPr>
                    <w:t>In the coming months, after the publication of the revised data on population estimates in the inter-census period, the LFS data will be revised for the relevant period before 2022.</w:t>
                  </w:r>
                </w:p>
                <w:p w14:paraId="376AB07A" w14:textId="77777777" w:rsidR="006D04F3" w:rsidRDefault="009348F6" w:rsidP="009348F6">
                  <w:pPr>
                    <w:pStyle w:val="a4"/>
                    <w:spacing w:after="60"/>
                    <w:ind w:left="170" w:right="170"/>
                    <w:jc w:val="both"/>
                    <w:rPr>
                      <w:rFonts w:cstheme="minorHAnsi"/>
                      <w:b/>
                    </w:rPr>
                  </w:pPr>
                  <w:r>
                    <w:rPr>
                      <w:rFonts w:cstheme="minorHAnsi"/>
                      <w:b/>
                      <w:color w:val="000000"/>
                    </w:rPr>
                    <w:t>The revised data will be subsequently updated in the database on SORS website.</w:t>
                  </w:r>
                </w:p>
                <w:p w14:paraId="130118AE" w14:textId="77777777" w:rsidR="006D04F3" w:rsidRDefault="009348F6" w:rsidP="009348F6">
                  <w:pPr>
                    <w:pStyle w:val="a4"/>
                    <w:spacing w:after="60"/>
                    <w:ind w:left="170" w:right="170"/>
                    <w:jc w:val="both"/>
                    <w:rPr>
                      <w:rFonts w:cstheme="minorHAnsi"/>
                    </w:rPr>
                  </w:pPr>
                  <w:r>
                    <w:rPr>
                      <w:rFonts w:cstheme="minorHAnsi"/>
                      <w:color w:val="000000"/>
                    </w:rPr>
                    <w:t>The post-census revision is carried out in accordance with the General Audit Policy of the Statistical Office of the Republic of Serbia, which is fully aligned with the guidelines from the Manual on Revision Policy in the European Statistical System (ESS Guidelines on Revision Policy), which was adopted by the European Statistical System Committee.</w:t>
                  </w:r>
                </w:p>
                <w:p w14:paraId="2C1C9551" w14:textId="77777777" w:rsidR="006D04F3" w:rsidRDefault="009348F6" w:rsidP="009348F6">
                  <w:pPr>
                    <w:pStyle w:val="a4"/>
                    <w:spacing w:after="60"/>
                    <w:ind w:left="170" w:right="170"/>
                    <w:jc w:val="both"/>
                    <w:rPr>
                      <w:rFonts w:cstheme="minorHAnsi"/>
                    </w:rPr>
                  </w:pPr>
                  <w:r>
                    <w:rPr>
                      <w:rFonts w:cstheme="minorHAnsi"/>
                      <w:color w:val="000000"/>
                    </w:rPr>
                    <w:t>The goal of post-census revision of ARS data is to ensure comparability of data without interrupting the time series.</w:t>
                  </w:r>
                </w:p>
                <w:p w14:paraId="5F99108D" w14:textId="77777777" w:rsidR="006D04F3" w:rsidRDefault="009348F6" w:rsidP="009348F6">
                  <w:pPr>
                    <w:pStyle w:val="a4"/>
                    <w:spacing w:before="240" w:after="120"/>
                    <w:ind w:left="170" w:right="170"/>
                    <w:jc w:val="both"/>
                    <w:rPr>
                      <w:rFonts w:cstheme="minorHAnsi"/>
                      <w:b/>
                      <w:sz w:val="18"/>
                      <w:szCs w:val="18"/>
                    </w:rPr>
                  </w:pPr>
                  <w:r>
                    <w:rPr>
                      <w:rFonts w:cstheme="minorHAnsi"/>
                      <w:b/>
                      <w:color w:val="000000"/>
                      <w:sz w:val="18"/>
                      <w:szCs w:val="18"/>
                    </w:rPr>
                    <w:t>Graph: Comparative overview of the most important LFS indicators (employment, unemployment and population outside the labour force) for the year 2022 before (previous data) and after (revised data) the application of new weights</w:t>
                  </w:r>
                </w:p>
                <w:p w14:paraId="0E1CE00C" w14:textId="77777777" w:rsidR="006D04F3" w:rsidRDefault="009348F6" w:rsidP="009348F6">
                  <w:pPr>
                    <w:pStyle w:val="a4"/>
                    <w:spacing w:before="120" w:after="120"/>
                    <w:jc w:val="center"/>
                    <w:rPr>
                      <w:rFonts w:cstheme="minorHAnsi"/>
                      <w:sz w:val="18"/>
                      <w:szCs w:val="18"/>
                    </w:rPr>
                  </w:pPr>
                  <w:r>
                    <w:rPr>
                      <w:noProof/>
                    </w:rPr>
                    <w:drawing>
                      <wp:inline distT="0" distB="0" distL="0" distR="0" wp14:anchorId="161BE831" wp14:editId="47A750E1">
                        <wp:extent cx="5544185" cy="2804795"/>
                        <wp:effectExtent l="0" t="0" r="0" b="0"/>
                        <wp:docPr id="267832828" name="Chart 26783282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4CBD247" w14:textId="77777777" w:rsidR="006D04F3" w:rsidRDefault="009348F6" w:rsidP="009348F6">
                  <w:pPr>
                    <w:pStyle w:val="a4"/>
                    <w:spacing w:before="240" w:after="120"/>
                    <w:ind w:left="170" w:right="170"/>
                    <w:jc w:val="both"/>
                    <w:rPr>
                      <w:rFonts w:cstheme="minorHAnsi"/>
                      <w:sz w:val="18"/>
                      <w:szCs w:val="18"/>
                    </w:rPr>
                  </w:pPr>
                  <w:r>
                    <w:rPr>
                      <w:rFonts w:cstheme="minorHAnsi"/>
                      <w:color w:val="000000"/>
                      <w:sz w:val="18"/>
                      <w:szCs w:val="18"/>
                    </w:rPr>
                    <w:t>Explanation of terms:</w:t>
                  </w:r>
                </w:p>
                <w:p w14:paraId="1A4E9DD3" w14:textId="77777777" w:rsidR="006D04F3" w:rsidRDefault="009348F6" w:rsidP="009348F6">
                  <w:pPr>
                    <w:pStyle w:val="a4"/>
                    <w:spacing w:before="120" w:after="120"/>
                    <w:ind w:left="170" w:right="170"/>
                    <w:jc w:val="both"/>
                    <w:rPr>
                      <w:rFonts w:cstheme="minorHAnsi"/>
                      <w:sz w:val="18"/>
                      <w:szCs w:val="18"/>
                    </w:rPr>
                  </w:pPr>
                  <w:r>
                    <w:rPr>
                      <w:rFonts w:cstheme="minorHAnsi"/>
                      <w:color w:val="000000"/>
                      <w:sz w:val="18"/>
                      <w:szCs w:val="18"/>
                    </w:rPr>
                    <w:t>Previous data - data based on a weighting system that implied the use of demographic estimates based on 2011 Census.</w:t>
                  </w:r>
                </w:p>
                <w:p w14:paraId="55096BB0" w14:textId="77777777" w:rsidR="006D04F3" w:rsidRDefault="009348F6" w:rsidP="009348F6">
                  <w:pPr>
                    <w:pStyle w:val="a4"/>
                    <w:spacing w:before="120" w:after="120"/>
                    <w:ind w:left="170" w:right="170"/>
                    <w:jc w:val="both"/>
                    <w:rPr>
                      <w:rFonts w:cstheme="minorHAnsi"/>
                      <w:sz w:val="18"/>
                      <w:szCs w:val="18"/>
                    </w:rPr>
                  </w:pPr>
                  <w:r>
                    <w:rPr>
                      <w:rFonts w:cstheme="minorHAnsi"/>
                      <w:color w:val="000000"/>
                      <w:sz w:val="18"/>
                      <w:szCs w:val="18"/>
                    </w:rPr>
                    <w:t>Revised data - data based on a weighting system that implies the use of demographic estimates based on 2022 Census.</w:t>
                  </w:r>
                </w:p>
                <w:p w14:paraId="65751614" w14:textId="4525FC74" w:rsidR="006D04F3" w:rsidRDefault="009348F6" w:rsidP="009348F6">
                  <w:pPr>
                    <w:pStyle w:val="a4"/>
                    <w:spacing w:before="240" w:after="120"/>
                    <w:ind w:left="170" w:right="170"/>
                    <w:rPr>
                      <w:rFonts w:cstheme="minorHAnsi"/>
                      <w:sz w:val="16"/>
                      <w:szCs w:val="16"/>
                    </w:rPr>
                  </w:pPr>
                  <w:r>
                    <w:rPr>
                      <w:rFonts w:cstheme="minorHAnsi"/>
                      <w:color w:val="000000"/>
                      <w:sz w:val="18"/>
                      <w:szCs w:val="18"/>
                      <w:vertAlign w:val="superscript"/>
                    </w:rPr>
                    <w:t>1</w:t>
                  </w:r>
                  <w:r>
                    <w:rPr>
                      <w:rFonts w:cstheme="minorHAnsi"/>
                      <w:color w:val="000000"/>
                      <w:sz w:val="16"/>
                      <w:szCs w:val="16"/>
                      <w:vertAlign w:val="superscript"/>
                    </w:rPr>
                    <w:t>)</w:t>
                  </w:r>
                  <w:r>
                    <w:rPr>
                      <w:rFonts w:cstheme="minorHAnsi"/>
                      <w:color w:val="000000"/>
                      <w:sz w:val="16"/>
                      <w:szCs w:val="16"/>
                    </w:rPr>
                    <w:t xml:space="preserve"> </w:t>
                  </w:r>
                  <w:r w:rsidR="000874AD">
                    <w:rPr>
                      <w:rFonts w:cstheme="minorHAnsi"/>
                      <w:color w:val="000000"/>
                      <w:sz w:val="16"/>
                      <w:szCs w:val="16"/>
                    </w:rPr>
                    <w:t>S</w:t>
                  </w:r>
                  <w:r>
                    <w:rPr>
                      <w:rFonts w:cstheme="minorHAnsi"/>
                      <w:color w:val="000000"/>
                      <w:sz w:val="16"/>
                      <w:szCs w:val="16"/>
                    </w:rPr>
                    <w:t xml:space="preserve">cores were calculated using the weights obtained by the calibration procedure. For a more detailed explanation, see: </w:t>
                  </w:r>
                  <w:r>
                    <w:rPr>
                      <w:rFonts w:cstheme="minorHAnsi"/>
                      <w:color w:val="2E74B5" w:themeColor="accent1" w:themeShade="BF"/>
                      <w:sz w:val="16"/>
                      <w:szCs w:val="16"/>
                    </w:rPr>
                    <w:t>https://publikacije.stat.gov.rs/G2017/PdfE/G20177069.pdf</w:t>
                  </w:r>
                </w:p>
              </w:txbxContent>
            </v:textbox>
            <w10:wrap type="none"/>
            <w10:anchorlock/>
          </v:shape>
        </w:pict>
      </w:r>
    </w:p>
    <w:p w14:paraId="3D7E2B16" w14:textId="77777777" w:rsidR="006D04F3" w:rsidRPr="009348F6" w:rsidRDefault="006D04F3">
      <w:pPr>
        <w:spacing w:before="480" w:after="120"/>
        <w:rPr>
          <w:rStyle w:val="IntenseEmphasis1"/>
          <w:rFonts w:cs="Arial"/>
          <w:i w:val="0"/>
          <w:iCs w:val="0"/>
          <w:color w:val="2E71AC"/>
          <w:sz w:val="22"/>
          <w:szCs w:val="22"/>
        </w:rPr>
      </w:pPr>
    </w:p>
    <w:p w14:paraId="2C47AF54" w14:textId="77777777" w:rsidR="006D04F3" w:rsidRPr="009348F6" w:rsidRDefault="009348F6">
      <w:pPr>
        <w:spacing w:before="480" w:after="120"/>
        <w:rPr>
          <w:rStyle w:val="IntenseEmphasis1"/>
          <w:rFonts w:cs="Arial"/>
          <w:i w:val="0"/>
          <w:iCs w:val="0"/>
          <w:color w:val="2E71AC"/>
        </w:rPr>
      </w:pPr>
      <w:r w:rsidRPr="009348F6">
        <w:rPr>
          <w:rStyle w:val="IntenseEmphasis1"/>
          <w:rFonts w:cs="Arial"/>
          <w:i w:val="0"/>
          <w:iCs w:val="0"/>
          <w:color w:val="2E71AC"/>
          <w:sz w:val="22"/>
          <w:szCs w:val="22"/>
        </w:rPr>
        <w:lastRenderedPageBreak/>
        <w:t>Major indicators, second quarter of 2023</w:t>
      </w:r>
    </w:p>
    <w:p w14:paraId="551DF62B" w14:textId="77777777" w:rsidR="006D04F3" w:rsidRPr="009348F6" w:rsidRDefault="009348F6" w:rsidP="009348F6">
      <w:pPr>
        <w:spacing w:before="120" w:after="120"/>
        <w:ind w:firstLine="403"/>
        <w:jc w:val="both"/>
        <w:rPr>
          <w:rFonts w:cs="Arial"/>
          <w:b/>
          <w:lang w:val="ru-RU"/>
        </w:rPr>
      </w:pPr>
      <w:r w:rsidRPr="009348F6">
        <w:rPr>
          <w:rFonts w:cs="Arial"/>
          <w:b/>
          <w:lang w:val="ru-RU"/>
        </w:rPr>
        <w:t>Activity rate</w:t>
      </w:r>
      <w:r w:rsidRPr="009348F6">
        <w:rPr>
          <w:rFonts w:cs="Arial"/>
          <w:lang w:val="ru-RU"/>
        </w:rPr>
        <w:t xml:space="preserve"> of the population aged 15 and over in the second quarter 2023 amounted to 55.</w:t>
      </w:r>
      <w:r w:rsidRPr="009348F6">
        <w:rPr>
          <w:rFonts w:cs="Arial"/>
        </w:rPr>
        <w:t>8%</w:t>
      </w:r>
      <w:r w:rsidRPr="009348F6">
        <w:rPr>
          <w:rFonts w:cs="Arial"/>
          <w:lang w:val="ru-RU"/>
        </w:rPr>
        <w:t>, the activity rate of men being 63.</w:t>
      </w:r>
      <w:r w:rsidRPr="009348F6">
        <w:rPr>
          <w:rFonts w:cs="Arial"/>
        </w:rPr>
        <w:t>3</w:t>
      </w:r>
      <w:r w:rsidRPr="009348F6">
        <w:rPr>
          <w:rFonts w:cs="Arial"/>
          <w:lang w:val="ru-RU"/>
        </w:rPr>
        <w:t>%, аnd of women 48.</w:t>
      </w:r>
      <w:r w:rsidRPr="009348F6">
        <w:rPr>
          <w:rFonts w:cs="Arial"/>
        </w:rPr>
        <w:t>8</w:t>
      </w:r>
      <w:r w:rsidRPr="009348F6">
        <w:rPr>
          <w:rFonts w:cs="Arial"/>
          <w:lang w:val="ru-RU"/>
        </w:rPr>
        <w:t>%. Beogradski Region recorded the largest activity rate of 60.1%, followed by Region Vojvodine where this rate was 55.9%. In Region Šumadije i Zapadne Srbije the activity rate was 55.</w:t>
      </w:r>
      <w:r w:rsidRPr="009348F6">
        <w:rPr>
          <w:rFonts w:cs="Arial"/>
        </w:rPr>
        <w:t>5</w:t>
      </w:r>
      <w:r w:rsidRPr="009348F6">
        <w:rPr>
          <w:rFonts w:cs="Arial"/>
          <w:lang w:val="ru-RU"/>
        </w:rPr>
        <w:t>%, while the lowest value was registered in Region Južne i Istočne Srbije (51.1%).</w:t>
      </w:r>
    </w:p>
    <w:p w14:paraId="7979A27D" w14:textId="77777777" w:rsidR="006D04F3" w:rsidRPr="009348F6" w:rsidRDefault="009348F6" w:rsidP="009348F6">
      <w:pPr>
        <w:spacing w:before="120" w:after="120"/>
        <w:ind w:firstLine="403"/>
        <w:jc w:val="both"/>
        <w:rPr>
          <w:rFonts w:cs="Arial"/>
          <w:lang w:val="ru-RU"/>
        </w:rPr>
      </w:pPr>
      <w:r w:rsidRPr="009348F6">
        <w:rPr>
          <w:rFonts w:cs="Arial"/>
          <w:b/>
          <w:lang w:val="ru-RU"/>
        </w:rPr>
        <w:t xml:space="preserve">Employment rate </w:t>
      </w:r>
      <w:r w:rsidRPr="009348F6">
        <w:rPr>
          <w:rFonts w:cs="Arial"/>
          <w:lang w:val="ru-RU"/>
        </w:rPr>
        <w:t>of the population aged 15 and over amounted to 50.</w:t>
      </w:r>
      <w:r w:rsidRPr="009348F6">
        <w:rPr>
          <w:rFonts w:cs="Arial"/>
        </w:rPr>
        <w:t>4</w:t>
      </w:r>
      <w:r w:rsidRPr="009348F6">
        <w:rPr>
          <w:rFonts w:cs="Arial"/>
          <w:lang w:val="ru-RU"/>
        </w:rPr>
        <w:t xml:space="preserve">%, among men 57.6%, аnd among women 43.8%. Beogradski region recorded the largest employment rate (55.4%). It is followed by Region Vojvodine with a rate of 51.5%, аnd then by Region Šumadije i Zapadne </w:t>
      </w:r>
      <w:r w:rsidRPr="009348F6">
        <w:rPr>
          <w:rFonts w:cs="Arial"/>
        </w:rPr>
        <w:t>Srbije</w:t>
      </w:r>
      <w:r w:rsidRPr="009348F6">
        <w:rPr>
          <w:rFonts w:cs="Arial"/>
          <w:lang w:val="ru-RU"/>
        </w:rPr>
        <w:t xml:space="preserve"> where the employment rate was 49.8%. This rate was the lowest in Region Južne i Istočne Srbije (44.0%). </w:t>
      </w:r>
    </w:p>
    <w:p w14:paraId="4A5B9191" w14:textId="77777777" w:rsidR="006D04F3" w:rsidRPr="009348F6" w:rsidRDefault="009348F6" w:rsidP="009348F6">
      <w:pPr>
        <w:spacing w:before="120" w:after="120"/>
        <w:ind w:firstLine="403"/>
        <w:jc w:val="both"/>
        <w:rPr>
          <w:rFonts w:cs="Arial"/>
          <w:lang w:val="ru-RU"/>
        </w:rPr>
      </w:pPr>
      <w:r w:rsidRPr="009348F6">
        <w:rPr>
          <w:rFonts w:cs="Arial"/>
          <w:b/>
          <w:lang w:val="ru-RU"/>
        </w:rPr>
        <w:t xml:space="preserve">Informal employment rate </w:t>
      </w:r>
      <w:r w:rsidRPr="009348F6">
        <w:rPr>
          <w:rFonts w:cs="Arial"/>
          <w:lang w:val="ru-RU"/>
        </w:rPr>
        <w:t>in the first quarter amounted to 12.</w:t>
      </w:r>
      <w:r w:rsidRPr="009348F6">
        <w:rPr>
          <w:rFonts w:cs="Arial"/>
        </w:rPr>
        <w:t>3</w:t>
      </w:r>
      <w:r w:rsidRPr="009348F6">
        <w:rPr>
          <w:rFonts w:cs="Arial"/>
          <w:lang w:val="ru-RU"/>
        </w:rPr>
        <w:t>%. The informal employment rate in agriculture was 52.0%, while in activities outside agriculture this rate was 6.5%.</w:t>
      </w:r>
    </w:p>
    <w:p w14:paraId="35EC40C4" w14:textId="77777777" w:rsidR="006D04F3" w:rsidRPr="009348F6" w:rsidRDefault="009348F6" w:rsidP="009348F6">
      <w:pPr>
        <w:spacing w:before="120" w:after="120"/>
        <w:ind w:firstLine="403"/>
        <w:jc w:val="both"/>
        <w:rPr>
          <w:rFonts w:cs="Arial"/>
        </w:rPr>
      </w:pPr>
      <w:r w:rsidRPr="009348F6">
        <w:rPr>
          <w:rFonts w:cs="Arial"/>
          <w:b/>
          <w:lang w:val="ru-RU"/>
        </w:rPr>
        <w:t>Unemployment rate</w:t>
      </w:r>
      <w:r w:rsidRPr="009348F6">
        <w:rPr>
          <w:rFonts w:cs="Arial"/>
          <w:lang w:val="ru-RU"/>
        </w:rPr>
        <w:t xml:space="preserve"> of the population aged 15 and over amounted to </w:t>
      </w:r>
      <w:r w:rsidRPr="009348F6">
        <w:rPr>
          <w:rFonts w:cs="Arial"/>
        </w:rPr>
        <w:t>9.6</w:t>
      </w:r>
      <w:r w:rsidRPr="009348F6">
        <w:rPr>
          <w:rFonts w:cs="Arial"/>
          <w:lang w:val="ru-RU"/>
        </w:rPr>
        <w:t>%,</w:t>
      </w:r>
      <w:r w:rsidRPr="009348F6">
        <w:rPr>
          <w:rFonts w:cs="Arial"/>
          <w:b/>
          <w:lang w:val="ru-RU"/>
        </w:rPr>
        <w:t xml:space="preserve"> </w:t>
      </w:r>
      <w:r w:rsidRPr="009348F6">
        <w:rPr>
          <w:rFonts w:cs="Arial"/>
          <w:lang w:val="ru-RU"/>
        </w:rPr>
        <w:t xml:space="preserve">among men 9.0% and among women 10.4%. At regional level, this rate had the lowest value in Beogradski region </w:t>
      </w:r>
      <w:r w:rsidRPr="009348F6">
        <w:rPr>
          <w:rFonts w:cs="Arial"/>
        </w:rPr>
        <w:t xml:space="preserve">(7.7%), then in Region Vojvodine (7.9%), while the highest rate was recorded in Region Južne i Istočne Srbije (13.8%). Region Šumadije i Zapadne Srbije had the same unemployment rate as in the first quarter 2023 (10.2%). </w:t>
      </w:r>
    </w:p>
    <w:p w14:paraId="437D77EB" w14:textId="77777777" w:rsidR="006D04F3" w:rsidRPr="009348F6" w:rsidRDefault="009348F6">
      <w:pPr>
        <w:spacing w:before="400" w:after="120"/>
        <w:rPr>
          <w:rFonts w:cs="Arial"/>
          <w:bCs/>
        </w:rPr>
      </w:pPr>
      <w:r w:rsidRPr="009348F6">
        <w:rPr>
          <w:rFonts w:cs="Arial"/>
          <w:b/>
          <w:color w:val="2E71AC"/>
        </w:rPr>
        <w:t>Table 1</w:t>
      </w:r>
      <w:r w:rsidRPr="009348F6">
        <w:rPr>
          <w:rFonts w:cs="Arial"/>
          <w:color w:val="2E71AC"/>
        </w:rPr>
        <w:t xml:space="preserve"> </w:t>
      </w:r>
      <w:r w:rsidRPr="009348F6">
        <w:rPr>
          <w:rFonts w:cs="Arial"/>
          <w:bCs/>
        </w:rPr>
        <w:t>Main indicators of labour market trend, Q2 2023</w:t>
      </w:r>
    </w:p>
    <w:tbl>
      <w:tblPr>
        <w:tblW w:w="10212" w:type="dxa"/>
        <w:jc w:val="center"/>
        <w:tblLayout w:type="fixed"/>
        <w:tblLook w:val="04A0" w:firstRow="1" w:lastRow="0" w:firstColumn="1" w:lastColumn="0" w:noHBand="0" w:noVBand="1"/>
      </w:tblPr>
      <w:tblGrid>
        <w:gridCol w:w="3917"/>
        <w:gridCol w:w="1413"/>
        <w:gridCol w:w="1424"/>
        <w:gridCol w:w="1089"/>
        <w:gridCol w:w="1464"/>
        <w:gridCol w:w="905"/>
      </w:tblGrid>
      <w:tr w:rsidR="006D04F3" w:rsidRPr="009348F6" w14:paraId="4FE52C97" w14:textId="77777777">
        <w:trPr>
          <w:trHeight w:val="587"/>
          <w:jc w:val="center"/>
        </w:trPr>
        <w:tc>
          <w:tcPr>
            <w:tcW w:w="3916" w:type="dxa"/>
            <w:vMerge w:val="restart"/>
            <w:tcBorders>
              <w:top w:val="single" w:sz="4" w:space="0" w:color="BFBFBF"/>
              <w:bottom w:val="single" w:sz="4" w:space="0" w:color="BFBFBF"/>
              <w:right w:val="single" w:sz="4" w:space="0" w:color="BFBFBF"/>
            </w:tcBorders>
            <w:shd w:val="clear" w:color="auto" w:fill="F2F2F2" w:themeFill="background1" w:themeFillShade="F2"/>
            <w:vAlign w:val="center"/>
          </w:tcPr>
          <w:p w14:paraId="3F6E4E9C" w14:textId="77777777" w:rsidR="006D04F3" w:rsidRPr="009348F6" w:rsidRDefault="006D04F3">
            <w:pPr>
              <w:widowControl w:val="0"/>
              <w:spacing w:before="60" w:after="60"/>
              <w:rPr>
                <w:rFonts w:cs="Arial"/>
                <w:color w:val="000000"/>
                <w:sz w:val="18"/>
                <w:szCs w:val="18"/>
              </w:rPr>
            </w:pPr>
          </w:p>
        </w:tc>
        <w:tc>
          <w:tcPr>
            <w:tcW w:w="14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5CA8128" w14:textId="77777777" w:rsidR="006D04F3" w:rsidRPr="009348F6" w:rsidRDefault="009348F6">
            <w:pPr>
              <w:widowControl w:val="0"/>
              <w:spacing w:before="60" w:after="60"/>
              <w:jc w:val="center"/>
              <w:rPr>
                <w:rFonts w:cs="Arial"/>
                <w:color w:val="000000"/>
                <w:sz w:val="18"/>
                <w:szCs w:val="18"/>
              </w:rPr>
            </w:pPr>
            <w:r w:rsidRPr="009348F6">
              <w:rPr>
                <w:rFonts w:cs="Arial"/>
                <w:sz w:val="18"/>
                <w:szCs w:val="18"/>
              </w:rPr>
              <w:t>Q2 2023</w:t>
            </w:r>
          </w:p>
        </w:tc>
        <w:tc>
          <w:tcPr>
            <w:tcW w:w="2513"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44C97DC6" w14:textId="77777777" w:rsidR="006D04F3" w:rsidRPr="009348F6" w:rsidRDefault="009348F6">
            <w:pPr>
              <w:widowControl w:val="0"/>
              <w:spacing w:before="60" w:after="60"/>
              <w:jc w:val="center"/>
              <w:rPr>
                <w:rFonts w:cs="Arial"/>
                <w:color w:val="000000"/>
                <w:sz w:val="18"/>
                <w:szCs w:val="18"/>
              </w:rPr>
            </w:pPr>
            <w:r w:rsidRPr="009348F6">
              <w:rPr>
                <w:rFonts w:cs="Arial"/>
                <w:sz w:val="18"/>
                <w:szCs w:val="18"/>
              </w:rPr>
              <w:t>Changes relative to previous quarter</w:t>
            </w:r>
          </w:p>
        </w:tc>
        <w:tc>
          <w:tcPr>
            <w:tcW w:w="2369" w:type="dxa"/>
            <w:gridSpan w:val="2"/>
            <w:tcBorders>
              <w:top w:val="single" w:sz="4" w:space="0" w:color="BFBFBF"/>
              <w:left w:val="single" w:sz="4" w:space="0" w:color="BFBFBF"/>
              <w:bottom w:val="single" w:sz="4" w:space="0" w:color="BFBFBF"/>
            </w:tcBorders>
            <w:shd w:val="clear" w:color="auto" w:fill="F2F2F2" w:themeFill="background1" w:themeFillShade="F2"/>
            <w:vAlign w:val="center"/>
          </w:tcPr>
          <w:p w14:paraId="00EAEF26" w14:textId="77777777" w:rsidR="006D04F3" w:rsidRPr="009348F6" w:rsidRDefault="009348F6">
            <w:pPr>
              <w:widowControl w:val="0"/>
              <w:spacing w:before="60" w:after="60"/>
              <w:jc w:val="center"/>
              <w:rPr>
                <w:rFonts w:cs="Arial"/>
                <w:color w:val="000000"/>
                <w:sz w:val="18"/>
                <w:szCs w:val="18"/>
              </w:rPr>
            </w:pPr>
            <w:r w:rsidRPr="009348F6">
              <w:rPr>
                <w:rFonts w:cs="Arial"/>
                <w:sz w:val="18"/>
                <w:szCs w:val="18"/>
              </w:rPr>
              <w:t>Changes relative to same quarter of the previous year</w:t>
            </w:r>
          </w:p>
        </w:tc>
      </w:tr>
      <w:tr w:rsidR="006D04F3" w:rsidRPr="009348F6" w14:paraId="5AF8F032" w14:textId="77777777">
        <w:trPr>
          <w:trHeight w:val="273"/>
          <w:jc w:val="center"/>
        </w:trPr>
        <w:tc>
          <w:tcPr>
            <w:tcW w:w="3916" w:type="dxa"/>
            <w:vMerge/>
            <w:tcBorders>
              <w:top w:val="single" w:sz="4" w:space="0" w:color="BFBFBF"/>
              <w:bottom w:val="single" w:sz="4" w:space="0" w:color="BFBFBF"/>
              <w:right w:val="single" w:sz="4" w:space="0" w:color="BFBFBF"/>
            </w:tcBorders>
            <w:shd w:val="clear" w:color="auto" w:fill="F2F2F2" w:themeFill="background1" w:themeFillShade="F2"/>
            <w:vAlign w:val="center"/>
          </w:tcPr>
          <w:p w14:paraId="25EC8802" w14:textId="77777777" w:rsidR="006D04F3" w:rsidRPr="009348F6" w:rsidRDefault="006D04F3">
            <w:pPr>
              <w:widowControl w:val="0"/>
              <w:spacing w:before="60" w:after="60"/>
              <w:rPr>
                <w:rFonts w:cs="Arial"/>
                <w:color w:val="000000"/>
                <w:sz w:val="18"/>
                <w:szCs w:val="18"/>
              </w:rPr>
            </w:pPr>
          </w:p>
        </w:tc>
        <w:tc>
          <w:tcPr>
            <w:tcW w:w="14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E2A69EC" w14:textId="77777777" w:rsidR="006D04F3" w:rsidRPr="009348F6" w:rsidRDefault="009348F6">
            <w:pPr>
              <w:widowControl w:val="0"/>
              <w:spacing w:before="60" w:after="60"/>
              <w:ind w:right="113"/>
              <w:jc w:val="right"/>
              <w:rPr>
                <w:rFonts w:cs="Arial"/>
                <w:color w:val="000000"/>
                <w:sz w:val="18"/>
                <w:szCs w:val="18"/>
              </w:rPr>
            </w:pPr>
            <w:r w:rsidRPr="009348F6">
              <w:rPr>
                <w:rFonts w:cs="Arial"/>
                <w:sz w:val="18"/>
                <w:szCs w:val="18"/>
              </w:rPr>
              <w:t>(in thousand)</w:t>
            </w:r>
          </w:p>
        </w:tc>
        <w:tc>
          <w:tcPr>
            <w:tcW w:w="142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C2E8197" w14:textId="77777777" w:rsidR="006D04F3" w:rsidRPr="009348F6" w:rsidRDefault="009348F6">
            <w:pPr>
              <w:widowControl w:val="0"/>
              <w:spacing w:before="60" w:after="60"/>
              <w:ind w:right="113"/>
              <w:jc w:val="right"/>
              <w:rPr>
                <w:rFonts w:cs="Arial"/>
                <w:color w:val="000000"/>
                <w:sz w:val="18"/>
                <w:szCs w:val="18"/>
              </w:rPr>
            </w:pPr>
            <w:r w:rsidRPr="009348F6">
              <w:rPr>
                <w:rFonts w:cs="Arial"/>
                <w:sz w:val="18"/>
                <w:szCs w:val="18"/>
              </w:rPr>
              <w:t>(in thousand)</w:t>
            </w:r>
          </w:p>
        </w:tc>
        <w:tc>
          <w:tcPr>
            <w:tcW w:w="108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5F2E4543" w14:textId="77777777" w:rsidR="006D04F3" w:rsidRPr="009348F6" w:rsidRDefault="009348F6">
            <w:pPr>
              <w:widowControl w:val="0"/>
              <w:spacing w:before="60" w:after="60"/>
              <w:ind w:right="113"/>
              <w:jc w:val="right"/>
              <w:rPr>
                <w:rFonts w:cs="Arial"/>
                <w:color w:val="000000"/>
                <w:sz w:val="18"/>
                <w:szCs w:val="18"/>
              </w:rPr>
            </w:pPr>
            <w:r w:rsidRPr="009348F6">
              <w:rPr>
                <w:rFonts w:cs="Arial"/>
                <w:color w:val="000000"/>
                <w:sz w:val="18"/>
                <w:szCs w:val="18"/>
              </w:rPr>
              <w:t>%</w:t>
            </w:r>
          </w:p>
        </w:tc>
        <w:tc>
          <w:tcPr>
            <w:tcW w:w="14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D23F927" w14:textId="77777777" w:rsidR="006D04F3" w:rsidRPr="009348F6" w:rsidRDefault="009348F6">
            <w:pPr>
              <w:widowControl w:val="0"/>
              <w:spacing w:before="60" w:after="60"/>
              <w:ind w:right="113"/>
              <w:jc w:val="right"/>
              <w:rPr>
                <w:rFonts w:cs="Arial"/>
                <w:color w:val="000000"/>
                <w:sz w:val="18"/>
                <w:szCs w:val="18"/>
              </w:rPr>
            </w:pPr>
            <w:r w:rsidRPr="009348F6">
              <w:rPr>
                <w:rFonts w:cs="Arial"/>
                <w:sz w:val="18"/>
                <w:szCs w:val="18"/>
              </w:rPr>
              <w:t>(in thousand)</w:t>
            </w:r>
          </w:p>
        </w:tc>
        <w:tc>
          <w:tcPr>
            <w:tcW w:w="905" w:type="dxa"/>
            <w:tcBorders>
              <w:top w:val="single" w:sz="4" w:space="0" w:color="BFBFBF"/>
              <w:left w:val="single" w:sz="4" w:space="0" w:color="BFBFBF"/>
              <w:bottom w:val="single" w:sz="4" w:space="0" w:color="BFBFBF"/>
            </w:tcBorders>
            <w:shd w:val="clear" w:color="auto" w:fill="F2F2F2" w:themeFill="background1" w:themeFillShade="F2"/>
            <w:vAlign w:val="center"/>
          </w:tcPr>
          <w:p w14:paraId="381A1088" w14:textId="77777777" w:rsidR="006D04F3" w:rsidRPr="009348F6" w:rsidRDefault="009348F6">
            <w:pPr>
              <w:widowControl w:val="0"/>
              <w:spacing w:before="60" w:after="60"/>
              <w:ind w:right="113"/>
              <w:jc w:val="right"/>
              <w:rPr>
                <w:rFonts w:cs="Arial"/>
                <w:color w:val="000000"/>
                <w:sz w:val="18"/>
                <w:szCs w:val="18"/>
              </w:rPr>
            </w:pPr>
            <w:r w:rsidRPr="009348F6">
              <w:rPr>
                <w:rFonts w:cs="Arial"/>
                <w:color w:val="000000"/>
                <w:sz w:val="18"/>
                <w:szCs w:val="18"/>
              </w:rPr>
              <w:t>%</w:t>
            </w:r>
          </w:p>
        </w:tc>
      </w:tr>
      <w:tr w:rsidR="006D04F3" w:rsidRPr="009348F6" w14:paraId="083BB156" w14:textId="77777777">
        <w:trPr>
          <w:trHeight w:val="260"/>
          <w:jc w:val="center"/>
        </w:trPr>
        <w:tc>
          <w:tcPr>
            <w:tcW w:w="3916" w:type="dxa"/>
            <w:tcBorders>
              <w:top w:val="single" w:sz="4" w:space="0" w:color="BFBFBF"/>
              <w:bottom w:val="single" w:sz="4" w:space="0" w:color="BFBFBF"/>
              <w:right w:val="single" w:sz="4" w:space="0" w:color="BFBFBF"/>
            </w:tcBorders>
            <w:shd w:val="clear" w:color="auto" w:fill="auto"/>
            <w:vAlign w:val="center"/>
          </w:tcPr>
          <w:p w14:paraId="1B23903F" w14:textId="77777777" w:rsidR="006D04F3" w:rsidRPr="009348F6" w:rsidRDefault="009348F6">
            <w:pPr>
              <w:widowControl w:val="0"/>
              <w:spacing w:before="60" w:after="60"/>
              <w:rPr>
                <w:rFonts w:cs="Arial"/>
                <w:b/>
                <w:bCs/>
                <w:color w:val="000000"/>
                <w:sz w:val="18"/>
                <w:szCs w:val="18"/>
              </w:rPr>
            </w:pPr>
            <w:r w:rsidRPr="009348F6">
              <w:rPr>
                <w:rFonts w:cs="Arial"/>
                <w:b/>
                <w:bCs/>
                <w:color w:val="000000"/>
                <w:sz w:val="18"/>
                <w:szCs w:val="18"/>
              </w:rPr>
              <w:t>Population 15+</w:t>
            </w:r>
          </w:p>
        </w:tc>
        <w:tc>
          <w:tcPr>
            <w:tcW w:w="141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E6191CF" w14:textId="77777777" w:rsidR="006D04F3" w:rsidRPr="009348F6" w:rsidRDefault="009348F6">
            <w:pPr>
              <w:widowControl w:val="0"/>
              <w:spacing w:before="60" w:after="60"/>
              <w:ind w:right="113"/>
              <w:jc w:val="right"/>
              <w:rPr>
                <w:rFonts w:cs="Arial"/>
                <w:sz w:val="18"/>
                <w:szCs w:val="18"/>
              </w:rPr>
            </w:pPr>
            <w:r w:rsidRPr="009348F6">
              <w:rPr>
                <w:rFonts w:cs="Arial"/>
                <w:color w:val="000000"/>
                <w:sz w:val="18"/>
                <w:szCs w:val="18"/>
              </w:rPr>
              <w:t>5704.8</w:t>
            </w:r>
          </w:p>
        </w:tc>
        <w:tc>
          <w:tcPr>
            <w:tcW w:w="1424" w:type="dxa"/>
            <w:tcBorders>
              <w:top w:val="single" w:sz="4" w:space="0" w:color="BFBFBF"/>
              <w:left w:val="single" w:sz="4" w:space="0" w:color="BFBFBF"/>
              <w:bottom w:val="single" w:sz="4" w:space="0" w:color="BFBFBF"/>
            </w:tcBorders>
            <w:shd w:val="clear" w:color="auto" w:fill="auto"/>
            <w:vAlign w:val="center"/>
          </w:tcPr>
          <w:p w14:paraId="402392A2" w14:textId="77777777" w:rsidR="006D04F3" w:rsidRPr="009348F6" w:rsidRDefault="009348F6">
            <w:pPr>
              <w:widowControl w:val="0"/>
              <w:spacing w:before="60" w:after="60"/>
              <w:ind w:right="113"/>
              <w:jc w:val="right"/>
              <w:rPr>
                <w:rFonts w:cs="Arial"/>
                <w:sz w:val="18"/>
                <w:szCs w:val="18"/>
              </w:rPr>
            </w:pPr>
            <w:r w:rsidRPr="009348F6">
              <w:rPr>
                <w:rFonts w:cs="Arial"/>
                <w:color w:val="000000"/>
                <w:sz w:val="18"/>
                <w:szCs w:val="18"/>
              </w:rPr>
              <w:t>-11.3</w:t>
            </w:r>
          </w:p>
        </w:tc>
        <w:tc>
          <w:tcPr>
            <w:tcW w:w="1089" w:type="dxa"/>
            <w:tcBorders>
              <w:top w:val="single" w:sz="4" w:space="0" w:color="BFBFBF"/>
              <w:bottom w:val="single" w:sz="4" w:space="0" w:color="BFBFBF"/>
            </w:tcBorders>
            <w:shd w:val="clear" w:color="auto" w:fill="auto"/>
            <w:vAlign w:val="center"/>
          </w:tcPr>
          <w:p w14:paraId="2FBD21ED" w14:textId="77777777" w:rsidR="006D04F3" w:rsidRPr="009348F6" w:rsidRDefault="009348F6">
            <w:pPr>
              <w:widowControl w:val="0"/>
              <w:spacing w:before="60" w:after="60"/>
              <w:ind w:right="113"/>
              <w:jc w:val="right"/>
              <w:rPr>
                <w:rFonts w:cs="Arial"/>
                <w:sz w:val="18"/>
                <w:szCs w:val="18"/>
              </w:rPr>
            </w:pPr>
            <w:r w:rsidRPr="009348F6">
              <w:rPr>
                <w:rFonts w:cs="Arial"/>
                <w:color w:val="000000"/>
                <w:sz w:val="18"/>
                <w:szCs w:val="18"/>
              </w:rPr>
              <w:t>-0.2</w:t>
            </w:r>
          </w:p>
        </w:tc>
        <w:tc>
          <w:tcPr>
            <w:tcW w:w="1464" w:type="dxa"/>
            <w:tcBorders>
              <w:top w:val="single" w:sz="4" w:space="0" w:color="BFBFBF"/>
              <w:bottom w:val="single" w:sz="4" w:space="0" w:color="BFBFBF"/>
            </w:tcBorders>
            <w:shd w:val="clear" w:color="auto" w:fill="auto"/>
            <w:vAlign w:val="center"/>
          </w:tcPr>
          <w:p w14:paraId="05CB491C" w14:textId="77777777" w:rsidR="006D04F3" w:rsidRPr="009348F6" w:rsidRDefault="009348F6">
            <w:pPr>
              <w:widowControl w:val="0"/>
              <w:spacing w:before="60" w:after="60"/>
              <w:ind w:right="113"/>
              <w:jc w:val="right"/>
              <w:rPr>
                <w:rFonts w:cs="Arial"/>
                <w:sz w:val="18"/>
                <w:szCs w:val="18"/>
              </w:rPr>
            </w:pPr>
            <w:r w:rsidRPr="009348F6">
              <w:rPr>
                <w:rFonts w:cs="Arial"/>
                <w:color w:val="000000"/>
                <w:sz w:val="18"/>
                <w:szCs w:val="18"/>
              </w:rPr>
              <w:t>-62.7</w:t>
            </w:r>
          </w:p>
        </w:tc>
        <w:tc>
          <w:tcPr>
            <w:tcW w:w="905" w:type="dxa"/>
            <w:tcBorders>
              <w:top w:val="single" w:sz="4" w:space="0" w:color="BFBFBF"/>
              <w:bottom w:val="single" w:sz="4" w:space="0" w:color="BFBFBF"/>
            </w:tcBorders>
            <w:shd w:val="clear" w:color="auto" w:fill="auto"/>
            <w:vAlign w:val="center"/>
          </w:tcPr>
          <w:p w14:paraId="62C059A3" w14:textId="77777777" w:rsidR="006D04F3" w:rsidRPr="009348F6" w:rsidRDefault="009348F6">
            <w:pPr>
              <w:widowControl w:val="0"/>
              <w:spacing w:before="60" w:after="60"/>
              <w:ind w:right="113"/>
              <w:jc w:val="right"/>
              <w:rPr>
                <w:rFonts w:cs="Arial"/>
                <w:sz w:val="18"/>
                <w:szCs w:val="18"/>
              </w:rPr>
            </w:pPr>
            <w:r w:rsidRPr="009348F6">
              <w:rPr>
                <w:rFonts w:cs="Arial"/>
                <w:color w:val="000000"/>
                <w:sz w:val="18"/>
                <w:szCs w:val="18"/>
              </w:rPr>
              <w:t>-1.1</w:t>
            </w:r>
          </w:p>
        </w:tc>
      </w:tr>
      <w:tr w:rsidR="006D04F3" w:rsidRPr="009348F6" w14:paraId="7EBA363B" w14:textId="77777777">
        <w:trPr>
          <w:trHeight w:val="260"/>
          <w:jc w:val="center"/>
        </w:trPr>
        <w:tc>
          <w:tcPr>
            <w:tcW w:w="3916" w:type="dxa"/>
            <w:tcBorders>
              <w:top w:val="single" w:sz="4" w:space="0" w:color="BFBFBF"/>
              <w:bottom w:val="single" w:sz="4" w:space="0" w:color="BFBFBF"/>
              <w:right w:val="single" w:sz="4" w:space="0" w:color="BFBFBF"/>
            </w:tcBorders>
            <w:shd w:val="clear" w:color="auto" w:fill="auto"/>
            <w:vAlign w:val="center"/>
          </w:tcPr>
          <w:p w14:paraId="750EF207" w14:textId="77777777" w:rsidR="006D04F3" w:rsidRPr="009348F6" w:rsidRDefault="009348F6">
            <w:pPr>
              <w:widowControl w:val="0"/>
              <w:spacing w:before="60" w:after="60"/>
              <w:rPr>
                <w:rFonts w:cs="Arial"/>
                <w:color w:val="000000"/>
                <w:sz w:val="18"/>
                <w:szCs w:val="18"/>
              </w:rPr>
            </w:pPr>
            <w:r w:rsidRPr="009348F6">
              <w:rPr>
                <w:rFonts w:cs="Arial"/>
                <w:color w:val="000000"/>
                <w:sz w:val="18"/>
                <w:szCs w:val="18"/>
              </w:rPr>
              <w:t xml:space="preserve">    Active</w:t>
            </w:r>
          </w:p>
        </w:tc>
        <w:tc>
          <w:tcPr>
            <w:tcW w:w="141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967E2D0" w14:textId="77777777" w:rsidR="006D04F3" w:rsidRPr="009348F6" w:rsidRDefault="009348F6">
            <w:pPr>
              <w:widowControl w:val="0"/>
              <w:spacing w:before="60" w:after="60"/>
              <w:ind w:right="113"/>
              <w:jc w:val="right"/>
              <w:rPr>
                <w:rFonts w:cs="Arial"/>
                <w:sz w:val="18"/>
                <w:szCs w:val="18"/>
              </w:rPr>
            </w:pPr>
            <w:r w:rsidRPr="009348F6">
              <w:rPr>
                <w:rFonts w:cs="Arial"/>
                <w:color w:val="000000"/>
                <w:sz w:val="18"/>
                <w:szCs w:val="18"/>
              </w:rPr>
              <w:t>3183.2</w:t>
            </w:r>
          </w:p>
        </w:tc>
        <w:tc>
          <w:tcPr>
            <w:tcW w:w="1424" w:type="dxa"/>
            <w:tcBorders>
              <w:top w:val="single" w:sz="4" w:space="0" w:color="BFBFBF"/>
              <w:left w:val="single" w:sz="4" w:space="0" w:color="BFBFBF"/>
              <w:bottom w:val="single" w:sz="4" w:space="0" w:color="BFBFBF"/>
            </w:tcBorders>
            <w:shd w:val="clear" w:color="auto" w:fill="auto"/>
            <w:vAlign w:val="center"/>
          </w:tcPr>
          <w:p w14:paraId="0175318A" w14:textId="77777777" w:rsidR="006D04F3" w:rsidRPr="009348F6" w:rsidRDefault="009348F6">
            <w:pPr>
              <w:widowControl w:val="0"/>
              <w:spacing w:before="60" w:after="60"/>
              <w:ind w:right="113"/>
              <w:jc w:val="right"/>
              <w:rPr>
                <w:rFonts w:cs="Arial"/>
                <w:sz w:val="18"/>
                <w:szCs w:val="18"/>
              </w:rPr>
            </w:pPr>
            <w:r w:rsidRPr="009348F6">
              <w:rPr>
                <w:rFonts w:cs="Arial"/>
                <w:color w:val="000000"/>
                <w:sz w:val="18"/>
                <w:szCs w:val="18"/>
              </w:rPr>
              <w:t>28.3</w:t>
            </w:r>
          </w:p>
        </w:tc>
        <w:tc>
          <w:tcPr>
            <w:tcW w:w="1089" w:type="dxa"/>
            <w:tcBorders>
              <w:top w:val="single" w:sz="4" w:space="0" w:color="BFBFBF"/>
              <w:bottom w:val="single" w:sz="4" w:space="0" w:color="BFBFBF"/>
            </w:tcBorders>
            <w:shd w:val="clear" w:color="auto" w:fill="auto"/>
            <w:vAlign w:val="center"/>
          </w:tcPr>
          <w:p w14:paraId="07FA24CC" w14:textId="77777777" w:rsidR="006D04F3" w:rsidRPr="009348F6" w:rsidRDefault="009348F6">
            <w:pPr>
              <w:widowControl w:val="0"/>
              <w:spacing w:before="60" w:after="60"/>
              <w:ind w:right="113"/>
              <w:jc w:val="right"/>
              <w:rPr>
                <w:rFonts w:cs="Arial"/>
                <w:sz w:val="18"/>
                <w:szCs w:val="18"/>
              </w:rPr>
            </w:pPr>
            <w:r w:rsidRPr="009348F6">
              <w:rPr>
                <w:rFonts w:cs="Arial"/>
                <w:color w:val="000000"/>
                <w:sz w:val="18"/>
                <w:szCs w:val="18"/>
              </w:rPr>
              <w:t>0.9</w:t>
            </w:r>
          </w:p>
        </w:tc>
        <w:tc>
          <w:tcPr>
            <w:tcW w:w="1464" w:type="dxa"/>
            <w:tcBorders>
              <w:top w:val="single" w:sz="4" w:space="0" w:color="BFBFBF"/>
              <w:bottom w:val="single" w:sz="4" w:space="0" w:color="BFBFBF"/>
            </w:tcBorders>
            <w:shd w:val="clear" w:color="auto" w:fill="auto"/>
            <w:vAlign w:val="center"/>
          </w:tcPr>
          <w:p w14:paraId="2262594A" w14:textId="77777777" w:rsidR="006D04F3" w:rsidRPr="009348F6" w:rsidRDefault="009348F6">
            <w:pPr>
              <w:widowControl w:val="0"/>
              <w:spacing w:before="60" w:after="60"/>
              <w:ind w:right="113"/>
              <w:jc w:val="right"/>
              <w:rPr>
                <w:rFonts w:cs="Arial"/>
                <w:sz w:val="18"/>
                <w:szCs w:val="18"/>
              </w:rPr>
            </w:pPr>
            <w:r w:rsidRPr="009348F6">
              <w:rPr>
                <w:rFonts w:cs="Arial"/>
                <w:color w:val="000000"/>
                <w:sz w:val="18"/>
                <w:szCs w:val="18"/>
              </w:rPr>
              <w:t>20.0</w:t>
            </w:r>
          </w:p>
        </w:tc>
        <w:tc>
          <w:tcPr>
            <w:tcW w:w="905" w:type="dxa"/>
            <w:tcBorders>
              <w:top w:val="single" w:sz="4" w:space="0" w:color="BFBFBF"/>
              <w:bottom w:val="single" w:sz="4" w:space="0" w:color="BFBFBF"/>
            </w:tcBorders>
            <w:shd w:val="clear" w:color="auto" w:fill="auto"/>
            <w:vAlign w:val="center"/>
          </w:tcPr>
          <w:p w14:paraId="32082D2F" w14:textId="77777777" w:rsidR="006D04F3" w:rsidRPr="009348F6" w:rsidRDefault="009348F6">
            <w:pPr>
              <w:widowControl w:val="0"/>
              <w:spacing w:before="60" w:after="60"/>
              <w:ind w:right="113"/>
              <w:jc w:val="right"/>
              <w:rPr>
                <w:rFonts w:cs="Arial"/>
                <w:sz w:val="18"/>
                <w:szCs w:val="18"/>
              </w:rPr>
            </w:pPr>
            <w:r w:rsidRPr="009348F6">
              <w:rPr>
                <w:rFonts w:cs="Arial"/>
                <w:color w:val="000000"/>
                <w:sz w:val="18"/>
                <w:szCs w:val="18"/>
              </w:rPr>
              <w:t>0.6</w:t>
            </w:r>
          </w:p>
        </w:tc>
      </w:tr>
      <w:tr w:rsidR="006D04F3" w:rsidRPr="009348F6" w14:paraId="04577CD9" w14:textId="77777777">
        <w:trPr>
          <w:trHeight w:val="260"/>
          <w:jc w:val="center"/>
        </w:trPr>
        <w:tc>
          <w:tcPr>
            <w:tcW w:w="3916" w:type="dxa"/>
            <w:tcBorders>
              <w:top w:val="single" w:sz="4" w:space="0" w:color="BFBFBF"/>
              <w:bottom w:val="single" w:sz="4" w:space="0" w:color="BFBFBF"/>
              <w:right w:val="single" w:sz="4" w:space="0" w:color="BFBFBF"/>
            </w:tcBorders>
            <w:shd w:val="clear" w:color="auto" w:fill="auto"/>
            <w:vAlign w:val="center"/>
          </w:tcPr>
          <w:p w14:paraId="48BF68EF" w14:textId="77777777" w:rsidR="006D04F3" w:rsidRPr="009348F6" w:rsidRDefault="009348F6">
            <w:pPr>
              <w:widowControl w:val="0"/>
              <w:spacing w:before="60" w:after="60"/>
              <w:rPr>
                <w:rFonts w:cs="Arial"/>
                <w:color w:val="000000"/>
                <w:sz w:val="18"/>
                <w:szCs w:val="18"/>
              </w:rPr>
            </w:pPr>
            <w:r w:rsidRPr="009348F6">
              <w:rPr>
                <w:rFonts w:cs="Arial"/>
                <w:color w:val="000000"/>
                <w:sz w:val="18"/>
                <w:szCs w:val="18"/>
              </w:rPr>
              <w:t xml:space="preserve">        Employed</w:t>
            </w:r>
          </w:p>
        </w:tc>
        <w:tc>
          <w:tcPr>
            <w:tcW w:w="141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22985D8" w14:textId="77777777" w:rsidR="006D04F3" w:rsidRPr="009348F6" w:rsidRDefault="009348F6">
            <w:pPr>
              <w:widowControl w:val="0"/>
              <w:spacing w:before="60" w:after="60"/>
              <w:ind w:right="113"/>
              <w:jc w:val="right"/>
              <w:rPr>
                <w:rFonts w:cs="Arial"/>
                <w:sz w:val="18"/>
                <w:szCs w:val="18"/>
              </w:rPr>
            </w:pPr>
            <w:r w:rsidRPr="009348F6">
              <w:rPr>
                <w:rFonts w:cs="Arial"/>
                <w:color w:val="000000"/>
                <w:sz w:val="18"/>
                <w:szCs w:val="18"/>
              </w:rPr>
              <w:t>2876.6</w:t>
            </w:r>
          </w:p>
        </w:tc>
        <w:tc>
          <w:tcPr>
            <w:tcW w:w="1424" w:type="dxa"/>
            <w:tcBorders>
              <w:top w:val="single" w:sz="4" w:space="0" w:color="BFBFBF"/>
              <w:left w:val="single" w:sz="4" w:space="0" w:color="BFBFBF"/>
              <w:bottom w:val="single" w:sz="4" w:space="0" w:color="BFBFBF"/>
            </w:tcBorders>
            <w:shd w:val="clear" w:color="auto" w:fill="auto"/>
            <w:vAlign w:val="center"/>
          </w:tcPr>
          <w:p w14:paraId="3E009453" w14:textId="77777777" w:rsidR="006D04F3" w:rsidRPr="009348F6" w:rsidRDefault="009348F6">
            <w:pPr>
              <w:widowControl w:val="0"/>
              <w:spacing w:before="60" w:after="60"/>
              <w:ind w:right="113"/>
              <w:jc w:val="right"/>
              <w:rPr>
                <w:rFonts w:cs="Arial"/>
                <w:sz w:val="18"/>
                <w:szCs w:val="18"/>
              </w:rPr>
            </w:pPr>
            <w:r w:rsidRPr="009348F6">
              <w:rPr>
                <w:rFonts w:cs="Arial"/>
                <w:color w:val="000000"/>
                <w:sz w:val="18"/>
                <w:szCs w:val="18"/>
              </w:rPr>
              <w:t>39.0</w:t>
            </w:r>
          </w:p>
        </w:tc>
        <w:tc>
          <w:tcPr>
            <w:tcW w:w="1089" w:type="dxa"/>
            <w:tcBorders>
              <w:top w:val="single" w:sz="4" w:space="0" w:color="BFBFBF"/>
              <w:bottom w:val="single" w:sz="4" w:space="0" w:color="BFBFBF"/>
            </w:tcBorders>
            <w:shd w:val="clear" w:color="auto" w:fill="auto"/>
            <w:vAlign w:val="center"/>
          </w:tcPr>
          <w:p w14:paraId="3746FA83" w14:textId="77777777" w:rsidR="006D04F3" w:rsidRPr="009348F6" w:rsidRDefault="009348F6">
            <w:pPr>
              <w:widowControl w:val="0"/>
              <w:spacing w:before="60" w:after="60"/>
              <w:ind w:right="113"/>
              <w:jc w:val="right"/>
              <w:rPr>
                <w:rFonts w:cs="Arial"/>
                <w:sz w:val="18"/>
                <w:szCs w:val="18"/>
              </w:rPr>
            </w:pPr>
            <w:r w:rsidRPr="009348F6">
              <w:rPr>
                <w:rFonts w:cs="Arial"/>
                <w:color w:val="000000"/>
                <w:sz w:val="18"/>
                <w:szCs w:val="18"/>
              </w:rPr>
              <w:t>1.4</w:t>
            </w:r>
          </w:p>
        </w:tc>
        <w:tc>
          <w:tcPr>
            <w:tcW w:w="1464" w:type="dxa"/>
            <w:tcBorders>
              <w:top w:val="single" w:sz="4" w:space="0" w:color="BFBFBF"/>
              <w:bottom w:val="single" w:sz="4" w:space="0" w:color="BFBFBF"/>
            </w:tcBorders>
            <w:shd w:val="clear" w:color="auto" w:fill="auto"/>
            <w:vAlign w:val="center"/>
          </w:tcPr>
          <w:p w14:paraId="39053C92" w14:textId="77777777" w:rsidR="006D04F3" w:rsidRPr="009348F6" w:rsidRDefault="009348F6">
            <w:pPr>
              <w:widowControl w:val="0"/>
              <w:spacing w:before="60" w:after="60"/>
              <w:ind w:right="113"/>
              <w:jc w:val="right"/>
              <w:rPr>
                <w:rFonts w:cs="Arial"/>
                <w:sz w:val="18"/>
                <w:szCs w:val="18"/>
              </w:rPr>
            </w:pPr>
            <w:r w:rsidRPr="009348F6">
              <w:rPr>
                <w:rFonts w:cs="Arial"/>
                <w:color w:val="000000"/>
                <w:sz w:val="18"/>
                <w:szCs w:val="18"/>
              </w:rPr>
              <w:t>-5.5</w:t>
            </w:r>
          </w:p>
        </w:tc>
        <w:tc>
          <w:tcPr>
            <w:tcW w:w="905" w:type="dxa"/>
            <w:tcBorders>
              <w:top w:val="single" w:sz="4" w:space="0" w:color="BFBFBF"/>
              <w:bottom w:val="single" w:sz="4" w:space="0" w:color="BFBFBF"/>
            </w:tcBorders>
            <w:shd w:val="clear" w:color="auto" w:fill="auto"/>
            <w:vAlign w:val="center"/>
          </w:tcPr>
          <w:p w14:paraId="18F183BC" w14:textId="77777777" w:rsidR="006D04F3" w:rsidRPr="009348F6" w:rsidRDefault="009348F6">
            <w:pPr>
              <w:widowControl w:val="0"/>
              <w:spacing w:before="60" w:after="60"/>
              <w:ind w:right="113"/>
              <w:jc w:val="right"/>
              <w:rPr>
                <w:rFonts w:cs="Arial"/>
                <w:sz w:val="18"/>
                <w:szCs w:val="18"/>
              </w:rPr>
            </w:pPr>
            <w:r w:rsidRPr="009348F6">
              <w:rPr>
                <w:rFonts w:cs="Arial"/>
                <w:color w:val="000000"/>
                <w:sz w:val="18"/>
                <w:szCs w:val="18"/>
              </w:rPr>
              <w:t>-0.2</w:t>
            </w:r>
          </w:p>
        </w:tc>
      </w:tr>
      <w:tr w:rsidR="006D04F3" w:rsidRPr="009348F6" w14:paraId="0BB9BC6C" w14:textId="77777777">
        <w:trPr>
          <w:trHeight w:val="260"/>
          <w:jc w:val="center"/>
        </w:trPr>
        <w:tc>
          <w:tcPr>
            <w:tcW w:w="3916" w:type="dxa"/>
            <w:tcBorders>
              <w:top w:val="single" w:sz="4" w:space="0" w:color="BFBFBF"/>
              <w:bottom w:val="single" w:sz="4" w:space="0" w:color="BFBFBF"/>
              <w:right w:val="single" w:sz="4" w:space="0" w:color="BFBFBF"/>
            </w:tcBorders>
            <w:shd w:val="clear" w:color="auto" w:fill="auto"/>
            <w:vAlign w:val="center"/>
          </w:tcPr>
          <w:p w14:paraId="2B5D3121" w14:textId="77777777" w:rsidR="006D04F3" w:rsidRPr="009348F6" w:rsidRDefault="009348F6">
            <w:pPr>
              <w:widowControl w:val="0"/>
              <w:spacing w:before="60" w:after="60"/>
              <w:rPr>
                <w:rFonts w:cs="Arial"/>
                <w:color w:val="000000"/>
                <w:sz w:val="18"/>
                <w:szCs w:val="18"/>
              </w:rPr>
            </w:pPr>
            <w:r w:rsidRPr="009348F6">
              <w:rPr>
                <w:rFonts w:cs="Arial"/>
                <w:color w:val="000000"/>
                <w:sz w:val="18"/>
                <w:szCs w:val="18"/>
              </w:rPr>
              <w:t xml:space="preserve">            Formally employed</w:t>
            </w:r>
          </w:p>
        </w:tc>
        <w:tc>
          <w:tcPr>
            <w:tcW w:w="141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1327D7B" w14:textId="77777777" w:rsidR="006D04F3" w:rsidRPr="009348F6" w:rsidRDefault="009348F6">
            <w:pPr>
              <w:widowControl w:val="0"/>
              <w:spacing w:before="60" w:after="60"/>
              <w:ind w:right="113"/>
              <w:jc w:val="right"/>
              <w:rPr>
                <w:rFonts w:cs="Arial"/>
                <w:sz w:val="18"/>
                <w:szCs w:val="18"/>
              </w:rPr>
            </w:pPr>
            <w:r w:rsidRPr="009348F6">
              <w:rPr>
                <w:rFonts w:cs="Arial"/>
                <w:color w:val="000000"/>
                <w:sz w:val="18"/>
                <w:szCs w:val="18"/>
              </w:rPr>
              <w:t>2522.3</w:t>
            </w:r>
          </w:p>
        </w:tc>
        <w:tc>
          <w:tcPr>
            <w:tcW w:w="1424" w:type="dxa"/>
            <w:tcBorders>
              <w:top w:val="single" w:sz="4" w:space="0" w:color="BFBFBF"/>
              <w:left w:val="single" w:sz="4" w:space="0" w:color="BFBFBF"/>
              <w:bottom w:val="single" w:sz="4" w:space="0" w:color="BFBFBF"/>
            </w:tcBorders>
            <w:shd w:val="clear" w:color="auto" w:fill="auto"/>
            <w:vAlign w:val="center"/>
          </w:tcPr>
          <w:p w14:paraId="79049DE3" w14:textId="77777777" w:rsidR="006D04F3" w:rsidRPr="009348F6" w:rsidRDefault="009348F6">
            <w:pPr>
              <w:widowControl w:val="0"/>
              <w:spacing w:before="60" w:after="60"/>
              <w:ind w:right="113"/>
              <w:jc w:val="right"/>
              <w:rPr>
                <w:rFonts w:cs="Arial"/>
                <w:sz w:val="18"/>
                <w:szCs w:val="18"/>
              </w:rPr>
            </w:pPr>
            <w:r w:rsidRPr="009348F6">
              <w:rPr>
                <w:rFonts w:cs="Arial"/>
                <w:color w:val="000000"/>
                <w:sz w:val="18"/>
                <w:szCs w:val="18"/>
              </w:rPr>
              <w:t>34.0</w:t>
            </w:r>
          </w:p>
        </w:tc>
        <w:tc>
          <w:tcPr>
            <w:tcW w:w="1089" w:type="dxa"/>
            <w:tcBorders>
              <w:top w:val="single" w:sz="4" w:space="0" w:color="BFBFBF"/>
              <w:bottom w:val="single" w:sz="4" w:space="0" w:color="BFBFBF"/>
            </w:tcBorders>
            <w:shd w:val="clear" w:color="auto" w:fill="auto"/>
            <w:vAlign w:val="center"/>
          </w:tcPr>
          <w:p w14:paraId="412A153C" w14:textId="77777777" w:rsidR="006D04F3" w:rsidRPr="009348F6" w:rsidRDefault="009348F6">
            <w:pPr>
              <w:widowControl w:val="0"/>
              <w:spacing w:before="60" w:after="60"/>
              <w:ind w:right="113"/>
              <w:jc w:val="right"/>
              <w:rPr>
                <w:rFonts w:cs="Arial"/>
                <w:sz w:val="18"/>
                <w:szCs w:val="18"/>
              </w:rPr>
            </w:pPr>
            <w:r w:rsidRPr="009348F6">
              <w:rPr>
                <w:rFonts w:cs="Arial"/>
                <w:color w:val="000000"/>
                <w:sz w:val="18"/>
                <w:szCs w:val="18"/>
              </w:rPr>
              <w:t>1.4</w:t>
            </w:r>
          </w:p>
        </w:tc>
        <w:tc>
          <w:tcPr>
            <w:tcW w:w="1464" w:type="dxa"/>
            <w:tcBorders>
              <w:top w:val="single" w:sz="4" w:space="0" w:color="BFBFBF"/>
              <w:bottom w:val="single" w:sz="4" w:space="0" w:color="BFBFBF"/>
            </w:tcBorders>
            <w:shd w:val="clear" w:color="auto" w:fill="auto"/>
            <w:vAlign w:val="center"/>
          </w:tcPr>
          <w:p w14:paraId="067D7DBC" w14:textId="77777777" w:rsidR="006D04F3" w:rsidRPr="009348F6" w:rsidRDefault="009348F6">
            <w:pPr>
              <w:widowControl w:val="0"/>
              <w:spacing w:before="60" w:after="60"/>
              <w:ind w:right="113"/>
              <w:jc w:val="right"/>
              <w:rPr>
                <w:rFonts w:cs="Arial"/>
                <w:sz w:val="18"/>
                <w:szCs w:val="18"/>
              </w:rPr>
            </w:pPr>
            <w:r w:rsidRPr="009348F6">
              <w:rPr>
                <w:rFonts w:cs="Arial"/>
                <w:color w:val="000000"/>
                <w:sz w:val="18"/>
                <w:szCs w:val="18"/>
              </w:rPr>
              <w:t>33.3</w:t>
            </w:r>
          </w:p>
        </w:tc>
        <w:tc>
          <w:tcPr>
            <w:tcW w:w="905" w:type="dxa"/>
            <w:tcBorders>
              <w:top w:val="single" w:sz="4" w:space="0" w:color="BFBFBF"/>
              <w:bottom w:val="single" w:sz="4" w:space="0" w:color="BFBFBF"/>
            </w:tcBorders>
            <w:shd w:val="clear" w:color="auto" w:fill="auto"/>
            <w:vAlign w:val="center"/>
          </w:tcPr>
          <w:p w14:paraId="174D4E18" w14:textId="77777777" w:rsidR="006D04F3" w:rsidRPr="009348F6" w:rsidRDefault="009348F6">
            <w:pPr>
              <w:widowControl w:val="0"/>
              <w:spacing w:before="60" w:after="60"/>
              <w:ind w:right="113"/>
              <w:jc w:val="right"/>
              <w:rPr>
                <w:rFonts w:cs="Arial"/>
                <w:sz w:val="18"/>
                <w:szCs w:val="18"/>
              </w:rPr>
            </w:pPr>
            <w:r w:rsidRPr="009348F6">
              <w:rPr>
                <w:rFonts w:cs="Arial"/>
                <w:color w:val="000000"/>
                <w:sz w:val="18"/>
                <w:szCs w:val="18"/>
              </w:rPr>
              <w:t>1.3</w:t>
            </w:r>
          </w:p>
        </w:tc>
      </w:tr>
      <w:tr w:rsidR="006D04F3" w:rsidRPr="009348F6" w14:paraId="5A4742F7" w14:textId="77777777">
        <w:trPr>
          <w:trHeight w:val="260"/>
          <w:jc w:val="center"/>
        </w:trPr>
        <w:tc>
          <w:tcPr>
            <w:tcW w:w="3916" w:type="dxa"/>
            <w:tcBorders>
              <w:top w:val="single" w:sz="4" w:space="0" w:color="BFBFBF"/>
              <w:bottom w:val="single" w:sz="4" w:space="0" w:color="BFBFBF"/>
              <w:right w:val="single" w:sz="4" w:space="0" w:color="BFBFBF"/>
            </w:tcBorders>
            <w:shd w:val="clear" w:color="auto" w:fill="auto"/>
            <w:vAlign w:val="center"/>
          </w:tcPr>
          <w:p w14:paraId="6F7E3C92" w14:textId="77777777" w:rsidR="006D04F3" w:rsidRPr="009348F6" w:rsidRDefault="009348F6">
            <w:pPr>
              <w:widowControl w:val="0"/>
              <w:spacing w:before="60" w:after="60"/>
              <w:rPr>
                <w:rFonts w:cs="Arial"/>
                <w:color w:val="000000"/>
                <w:sz w:val="18"/>
                <w:szCs w:val="18"/>
              </w:rPr>
            </w:pPr>
            <w:r w:rsidRPr="009348F6">
              <w:rPr>
                <w:rFonts w:cs="Arial"/>
                <w:color w:val="000000"/>
                <w:sz w:val="18"/>
                <w:szCs w:val="18"/>
              </w:rPr>
              <w:t xml:space="preserve">            Informally employed</w:t>
            </w:r>
          </w:p>
        </w:tc>
        <w:tc>
          <w:tcPr>
            <w:tcW w:w="141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E695DD" w14:textId="77777777" w:rsidR="006D04F3" w:rsidRPr="009348F6" w:rsidRDefault="009348F6">
            <w:pPr>
              <w:widowControl w:val="0"/>
              <w:spacing w:before="60" w:after="60"/>
              <w:ind w:right="113"/>
              <w:jc w:val="right"/>
              <w:rPr>
                <w:rFonts w:cs="Arial"/>
                <w:sz w:val="18"/>
                <w:szCs w:val="18"/>
              </w:rPr>
            </w:pPr>
            <w:r w:rsidRPr="009348F6">
              <w:rPr>
                <w:rFonts w:cs="Arial"/>
                <w:color w:val="000000"/>
                <w:sz w:val="18"/>
                <w:szCs w:val="18"/>
              </w:rPr>
              <w:t>354.3</w:t>
            </w:r>
          </w:p>
        </w:tc>
        <w:tc>
          <w:tcPr>
            <w:tcW w:w="1424" w:type="dxa"/>
            <w:tcBorders>
              <w:top w:val="single" w:sz="4" w:space="0" w:color="BFBFBF"/>
              <w:left w:val="single" w:sz="4" w:space="0" w:color="BFBFBF"/>
              <w:bottom w:val="single" w:sz="4" w:space="0" w:color="BFBFBF"/>
            </w:tcBorders>
            <w:shd w:val="clear" w:color="auto" w:fill="auto"/>
            <w:vAlign w:val="center"/>
          </w:tcPr>
          <w:p w14:paraId="21101D9F" w14:textId="77777777" w:rsidR="006D04F3" w:rsidRPr="009348F6" w:rsidRDefault="009348F6">
            <w:pPr>
              <w:widowControl w:val="0"/>
              <w:spacing w:before="60" w:after="60"/>
              <w:ind w:right="113"/>
              <w:jc w:val="right"/>
              <w:rPr>
                <w:rFonts w:cs="Arial"/>
                <w:sz w:val="18"/>
                <w:szCs w:val="18"/>
              </w:rPr>
            </w:pPr>
            <w:r w:rsidRPr="009348F6">
              <w:rPr>
                <w:rFonts w:cs="Arial"/>
                <w:color w:val="000000"/>
                <w:sz w:val="18"/>
                <w:szCs w:val="18"/>
              </w:rPr>
              <w:t>4.9</w:t>
            </w:r>
          </w:p>
        </w:tc>
        <w:tc>
          <w:tcPr>
            <w:tcW w:w="1089" w:type="dxa"/>
            <w:tcBorders>
              <w:top w:val="single" w:sz="4" w:space="0" w:color="BFBFBF"/>
              <w:bottom w:val="single" w:sz="4" w:space="0" w:color="BFBFBF"/>
            </w:tcBorders>
            <w:shd w:val="clear" w:color="auto" w:fill="auto"/>
            <w:vAlign w:val="center"/>
          </w:tcPr>
          <w:p w14:paraId="024D2A8B" w14:textId="77777777" w:rsidR="006D04F3" w:rsidRPr="009348F6" w:rsidRDefault="009348F6">
            <w:pPr>
              <w:widowControl w:val="0"/>
              <w:spacing w:before="60" w:after="60"/>
              <w:ind w:right="113"/>
              <w:jc w:val="right"/>
              <w:rPr>
                <w:rFonts w:cs="Arial"/>
                <w:sz w:val="18"/>
                <w:szCs w:val="18"/>
              </w:rPr>
            </w:pPr>
            <w:r w:rsidRPr="009348F6">
              <w:rPr>
                <w:rFonts w:cs="Arial"/>
                <w:color w:val="000000"/>
                <w:sz w:val="18"/>
                <w:szCs w:val="18"/>
              </w:rPr>
              <w:t>1.4</w:t>
            </w:r>
          </w:p>
        </w:tc>
        <w:tc>
          <w:tcPr>
            <w:tcW w:w="1464" w:type="dxa"/>
            <w:tcBorders>
              <w:top w:val="single" w:sz="4" w:space="0" w:color="BFBFBF"/>
              <w:bottom w:val="single" w:sz="4" w:space="0" w:color="BFBFBF"/>
            </w:tcBorders>
            <w:shd w:val="clear" w:color="auto" w:fill="auto"/>
            <w:vAlign w:val="center"/>
          </w:tcPr>
          <w:p w14:paraId="6565B870" w14:textId="77777777" w:rsidR="006D04F3" w:rsidRPr="009348F6" w:rsidRDefault="009348F6">
            <w:pPr>
              <w:widowControl w:val="0"/>
              <w:spacing w:before="60" w:after="60"/>
              <w:ind w:right="113"/>
              <w:jc w:val="right"/>
              <w:rPr>
                <w:rFonts w:cs="Arial"/>
                <w:sz w:val="18"/>
                <w:szCs w:val="18"/>
              </w:rPr>
            </w:pPr>
            <w:r w:rsidRPr="009348F6">
              <w:rPr>
                <w:rFonts w:cs="Arial"/>
                <w:color w:val="000000"/>
                <w:sz w:val="18"/>
                <w:szCs w:val="18"/>
              </w:rPr>
              <w:t>-38.8</w:t>
            </w:r>
          </w:p>
        </w:tc>
        <w:tc>
          <w:tcPr>
            <w:tcW w:w="905" w:type="dxa"/>
            <w:tcBorders>
              <w:top w:val="single" w:sz="4" w:space="0" w:color="BFBFBF"/>
              <w:bottom w:val="single" w:sz="4" w:space="0" w:color="BFBFBF"/>
            </w:tcBorders>
            <w:shd w:val="clear" w:color="auto" w:fill="auto"/>
            <w:vAlign w:val="center"/>
          </w:tcPr>
          <w:p w14:paraId="0A618566" w14:textId="77777777" w:rsidR="006D04F3" w:rsidRPr="009348F6" w:rsidRDefault="009348F6">
            <w:pPr>
              <w:widowControl w:val="0"/>
              <w:spacing w:before="60" w:after="60"/>
              <w:ind w:right="113"/>
              <w:jc w:val="right"/>
              <w:rPr>
                <w:rFonts w:cs="Arial"/>
                <w:sz w:val="18"/>
                <w:szCs w:val="18"/>
              </w:rPr>
            </w:pPr>
            <w:r w:rsidRPr="009348F6">
              <w:rPr>
                <w:rFonts w:cs="Arial"/>
                <w:color w:val="000000"/>
                <w:sz w:val="18"/>
                <w:szCs w:val="18"/>
              </w:rPr>
              <w:t>-9.9</w:t>
            </w:r>
          </w:p>
        </w:tc>
      </w:tr>
      <w:tr w:rsidR="006D04F3" w:rsidRPr="009348F6" w14:paraId="77144367" w14:textId="77777777">
        <w:trPr>
          <w:trHeight w:val="259"/>
          <w:jc w:val="center"/>
        </w:trPr>
        <w:tc>
          <w:tcPr>
            <w:tcW w:w="3916" w:type="dxa"/>
            <w:tcBorders>
              <w:top w:val="single" w:sz="4" w:space="0" w:color="BFBFBF"/>
              <w:bottom w:val="single" w:sz="4" w:space="0" w:color="BFBFBF"/>
              <w:right w:val="single" w:sz="4" w:space="0" w:color="BFBFBF"/>
            </w:tcBorders>
            <w:shd w:val="clear" w:color="auto" w:fill="auto"/>
            <w:vAlign w:val="center"/>
          </w:tcPr>
          <w:p w14:paraId="7AE0DE4F" w14:textId="77777777" w:rsidR="006D04F3" w:rsidRPr="009348F6" w:rsidRDefault="009348F6">
            <w:pPr>
              <w:widowControl w:val="0"/>
              <w:spacing w:before="60" w:after="60"/>
              <w:rPr>
                <w:rFonts w:cs="Arial"/>
                <w:color w:val="000000"/>
                <w:sz w:val="18"/>
                <w:szCs w:val="18"/>
              </w:rPr>
            </w:pPr>
            <w:r w:rsidRPr="009348F6">
              <w:rPr>
                <w:rFonts w:cs="Arial"/>
                <w:color w:val="000000"/>
                <w:sz w:val="18"/>
                <w:szCs w:val="18"/>
              </w:rPr>
              <w:t xml:space="preserve">        Unemployed</w:t>
            </w:r>
          </w:p>
        </w:tc>
        <w:tc>
          <w:tcPr>
            <w:tcW w:w="141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FBD8213" w14:textId="77777777" w:rsidR="006D04F3" w:rsidRPr="009348F6" w:rsidRDefault="009348F6">
            <w:pPr>
              <w:widowControl w:val="0"/>
              <w:spacing w:before="60" w:after="60"/>
              <w:ind w:right="113"/>
              <w:jc w:val="right"/>
              <w:rPr>
                <w:rFonts w:cs="Arial"/>
                <w:sz w:val="18"/>
                <w:szCs w:val="18"/>
              </w:rPr>
            </w:pPr>
            <w:r w:rsidRPr="009348F6">
              <w:rPr>
                <w:rFonts w:cs="Arial"/>
                <w:color w:val="000000"/>
                <w:sz w:val="18"/>
                <w:szCs w:val="18"/>
              </w:rPr>
              <w:t>306.6</w:t>
            </w:r>
          </w:p>
        </w:tc>
        <w:tc>
          <w:tcPr>
            <w:tcW w:w="1424" w:type="dxa"/>
            <w:tcBorders>
              <w:top w:val="single" w:sz="4" w:space="0" w:color="BFBFBF"/>
              <w:left w:val="single" w:sz="4" w:space="0" w:color="BFBFBF"/>
              <w:bottom w:val="single" w:sz="4" w:space="0" w:color="BFBFBF"/>
            </w:tcBorders>
            <w:shd w:val="clear" w:color="auto" w:fill="auto"/>
            <w:vAlign w:val="center"/>
          </w:tcPr>
          <w:p w14:paraId="4433D2AB" w14:textId="77777777" w:rsidR="006D04F3" w:rsidRPr="009348F6" w:rsidRDefault="009348F6">
            <w:pPr>
              <w:widowControl w:val="0"/>
              <w:spacing w:before="60" w:after="60"/>
              <w:ind w:right="113"/>
              <w:jc w:val="right"/>
              <w:rPr>
                <w:rFonts w:cs="Arial"/>
                <w:sz w:val="18"/>
                <w:szCs w:val="18"/>
              </w:rPr>
            </w:pPr>
            <w:r w:rsidRPr="009348F6">
              <w:rPr>
                <w:rFonts w:cs="Arial"/>
                <w:color w:val="000000"/>
                <w:sz w:val="18"/>
                <w:szCs w:val="18"/>
              </w:rPr>
              <w:t>-10.6</w:t>
            </w:r>
          </w:p>
        </w:tc>
        <w:tc>
          <w:tcPr>
            <w:tcW w:w="1089" w:type="dxa"/>
            <w:tcBorders>
              <w:top w:val="single" w:sz="4" w:space="0" w:color="BFBFBF"/>
              <w:bottom w:val="single" w:sz="4" w:space="0" w:color="BFBFBF"/>
            </w:tcBorders>
            <w:shd w:val="clear" w:color="auto" w:fill="auto"/>
            <w:vAlign w:val="center"/>
          </w:tcPr>
          <w:p w14:paraId="1325B3B4" w14:textId="77777777" w:rsidR="006D04F3" w:rsidRPr="009348F6" w:rsidRDefault="009348F6">
            <w:pPr>
              <w:widowControl w:val="0"/>
              <w:spacing w:before="60" w:after="60"/>
              <w:ind w:right="113"/>
              <w:jc w:val="right"/>
              <w:rPr>
                <w:rFonts w:cs="Arial"/>
                <w:sz w:val="18"/>
                <w:szCs w:val="18"/>
              </w:rPr>
            </w:pPr>
            <w:r w:rsidRPr="009348F6">
              <w:rPr>
                <w:rFonts w:cs="Arial"/>
                <w:color w:val="000000"/>
                <w:sz w:val="18"/>
                <w:szCs w:val="18"/>
              </w:rPr>
              <w:t>-3.3</w:t>
            </w:r>
          </w:p>
        </w:tc>
        <w:tc>
          <w:tcPr>
            <w:tcW w:w="1464" w:type="dxa"/>
            <w:tcBorders>
              <w:top w:val="single" w:sz="4" w:space="0" w:color="BFBFBF"/>
              <w:bottom w:val="single" w:sz="4" w:space="0" w:color="BFBFBF"/>
            </w:tcBorders>
            <w:shd w:val="clear" w:color="auto" w:fill="auto"/>
            <w:vAlign w:val="center"/>
          </w:tcPr>
          <w:p w14:paraId="286BC21B" w14:textId="77777777" w:rsidR="006D04F3" w:rsidRPr="009348F6" w:rsidRDefault="009348F6">
            <w:pPr>
              <w:widowControl w:val="0"/>
              <w:spacing w:before="60" w:after="60"/>
              <w:ind w:right="113"/>
              <w:jc w:val="right"/>
              <w:rPr>
                <w:rFonts w:cs="Arial"/>
                <w:sz w:val="18"/>
                <w:szCs w:val="18"/>
              </w:rPr>
            </w:pPr>
            <w:r w:rsidRPr="009348F6">
              <w:rPr>
                <w:rFonts w:cs="Arial"/>
                <w:color w:val="000000"/>
                <w:sz w:val="18"/>
                <w:szCs w:val="18"/>
              </w:rPr>
              <w:t>25.5</w:t>
            </w:r>
          </w:p>
        </w:tc>
        <w:tc>
          <w:tcPr>
            <w:tcW w:w="905" w:type="dxa"/>
            <w:tcBorders>
              <w:top w:val="single" w:sz="4" w:space="0" w:color="BFBFBF"/>
              <w:bottom w:val="single" w:sz="4" w:space="0" w:color="BFBFBF"/>
            </w:tcBorders>
            <w:shd w:val="clear" w:color="auto" w:fill="auto"/>
            <w:vAlign w:val="center"/>
          </w:tcPr>
          <w:p w14:paraId="490244C0" w14:textId="77777777" w:rsidR="006D04F3" w:rsidRPr="009348F6" w:rsidRDefault="009348F6">
            <w:pPr>
              <w:widowControl w:val="0"/>
              <w:spacing w:before="60" w:after="60"/>
              <w:ind w:right="113"/>
              <w:jc w:val="right"/>
              <w:rPr>
                <w:rFonts w:cs="Arial"/>
                <w:sz w:val="18"/>
                <w:szCs w:val="18"/>
              </w:rPr>
            </w:pPr>
            <w:r w:rsidRPr="009348F6">
              <w:rPr>
                <w:rFonts w:cs="Arial"/>
                <w:color w:val="000000"/>
                <w:sz w:val="18"/>
                <w:szCs w:val="18"/>
              </w:rPr>
              <w:t>9.1</w:t>
            </w:r>
          </w:p>
        </w:tc>
      </w:tr>
      <w:tr w:rsidR="006D04F3" w:rsidRPr="009348F6" w14:paraId="1A794038" w14:textId="77777777">
        <w:trPr>
          <w:trHeight w:val="259"/>
          <w:jc w:val="center"/>
        </w:trPr>
        <w:tc>
          <w:tcPr>
            <w:tcW w:w="3916" w:type="dxa"/>
            <w:tcBorders>
              <w:top w:val="single" w:sz="4" w:space="0" w:color="BFBFBF"/>
              <w:bottom w:val="single" w:sz="4" w:space="0" w:color="BFBFBF"/>
              <w:right w:val="single" w:sz="4" w:space="0" w:color="BFBFBF"/>
            </w:tcBorders>
            <w:shd w:val="clear" w:color="auto" w:fill="auto"/>
            <w:vAlign w:val="center"/>
          </w:tcPr>
          <w:p w14:paraId="5F6AB576" w14:textId="77777777" w:rsidR="006D04F3" w:rsidRPr="009348F6" w:rsidRDefault="009348F6">
            <w:pPr>
              <w:widowControl w:val="0"/>
              <w:spacing w:before="60" w:after="60"/>
              <w:rPr>
                <w:rFonts w:cs="Arial"/>
                <w:color w:val="000000"/>
                <w:sz w:val="18"/>
                <w:szCs w:val="18"/>
              </w:rPr>
            </w:pPr>
            <w:r w:rsidRPr="009348F6">
              <w:rPr>
                <w:rFonts w:cs="Arial"/>
                <w:color w:val="000000"/>
                <w:sz w:val="18"/>
                <w:szCs w:val="18"/>
              </w:rPr>
              <w:t>Outside the labour force</w:t>
            </w:r>
          </w:p>
        </w:tc>
        <w:tc>
          <w:tcPr>
            <w:tcW w:w="141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BC05134" w14:textId="77777777" w:rsidR="006D04F3" w:rsidRPr="009348F6" w:rsidRDefault="009348F6">
            <w:pPr>
              <w:widowControl w:val="0"/>
              <w:spacing w:before="60" w:after="60"/>
              <w:ind w:right="113"/>
              <w:jc w:val="right"/>
              <w:rPr>
                <w:rFonts w:cs="Arial"/>
                <w:sz w:val="18"/>
                <w:szCs w:val="18"/>
              </w:rPr>
            </w:pPr>
            <w:r w:rsidRPr="009348F6">
              <w:rPr>
                <w:rFonts w:cs="Arial"/>
                <w:color w:val="000000"/>
                <w:sz w:val="18"/>
                <w:szCs w:val="18"/>
              </w:rPr>
              <w:t>2521.6</w:t>
            </w:r>
          </w:p>
        </w:tc>
        <w:tc>
          <w:tcPr>
            <w:tcW w:w="1424" w:type="dxa"/>
            <w:tcBorders>
              <w:top w:val="single" w:sz="4" w:space="0" w:color="BFBFBF"/>
              <w:left w:val="single" w:sz="4" w:space="0" w:color="BFBFBF"/>
              <w:bottom w:val="single" w:sz="4" w:space="0" w:color="BFBFBF"/>
            </w:tcBorders>
            <w:shd w:val="clear" w:color="auto" w:fill="auto"/>
            <w:vAlign w:val="center"/>
          </w:tcPr>
          <w:p w14:paraId="3BF7E97E" w14:textId="77777777" w:rsidR="006D04F3" w:rsidRPr="009348F6" w:rsidRDefault="009348F6">
            <w:pPr>
              <w:widowControl w:val="0"/>
              <w:spacing w:before="60" w:after="60"/>
              <w:ind w:right="113"/>
              <w:jc w:val="right"/>
              <w:rPr>
                <w:rFonts w:cs="Arial"/>
                <w:sz w:val="18"/>
                <w:szCs w:val="18"/>
              </w:rPr>
            </w:pPr>
            <w:r w:rsidRPr="009348F6">
              <w:rPr>
                <w:rFonts w:cs="Arial"/>
                <w:color w:val="000000"/>
                <w:sz w:val="18"/>
                <w:szCs w:val="18"/>
              </w:rPr>
              <w:t>-39.6</w:t>
            </w:r>
          </w:p>
        </w:tc>
        <w:tc>
          <w:tcPr>
            <w:tcW w:w="1089" w:type="dxa"/>
            <w:tcBorders>
              <w:top w:val="single" w:sz="4" w:space="0" w:color="BFBFBF"/>
              <w:bottom w:val="single" w:sz="4" w:space="0" w:color="BFBFBF"/>
            </w:tcBorders>
            <w:shd w:val="clear" w:color="auto" w:fill="auto"/>
            <w:vAlign w:val="center"/>
          </w:tcPr>
          <w:p w14:paraId="30C56A0E" w14:textId="77777777" w:rsidR="006D04F3" w:rsidRPr="009348F6" w:rsidRDefault="009348F6">
            <w:pPr>
              <w:widowControl w:val="0"/>
              <w:spacing w:before="60" w:after="60"/>
              <w:ind w:right="113"/>
              <w:jc w:val="right"/>
              <w:rPr>
                <w:rFonts w:cs="Arial"/>
                <w:sz w:val="18"/>
                <w:szCs w:val="18"/>
              </w:rPr>
            </w:pPr>
            <w:r w:rsidRPr="009348F6">
              <w:rPr>
                <w:rFonts w:cs="Arial"/>
                <w:color w:val="000000"/>
                <w:sz w:val="18"/>
                <w:szCs w:val="18"/>
              </w:rPr>
              <w:t>-1.5</w:t>
            </w:r>
          </w:p>
        </w:tc>
        <w:tc>
          <w:tcPr>
            <w:tcW w:w="1464" w:type="dxa"/>
            <w:tcBorders>
              <w:top w:val="single" w:sz="4" w:space="0" w:color="BFBFBF"/>
              <w:bottom w:val="single" w:sz="4" w:space="0" w:color="BFBFBF"/>
            </w:tcBorders>
            <w:shd w:val="clear" w:color="auto" w:fill="auto"/>
            <w:vAlign w:val="center"/>
          </w:tcPr>
          <w:p w14:paraId="2082686A" w14:textId="77777777" w:rsidR="006D04F3" w:rsidRPr="009348F6" w:rsidRDefault="009348F6">
            <w:pPr>
              <w:widowControl w:val="0"/>
              <w:spacing w:before="60" w:after="60"/>
              <w:ind w:right="113"/>
              <w:jc w:val="right"/>
              <w:rPr>
                <w:rFonts w:cs="Arial"/>
                <w:sz w:val="18"/>
                <w:szCs w:val="18"/>
              </w:rPr>
            </w:pPr>
            <w:r w:rsidRPr="009348F6">
              <w:rPr>
                <w:rFonts w:cs="Arial"/>
                <w:color w:val="000000"/>
                <w:sz w:val="18"/>
                <w:szCs w:val="18"/>
              </w:rPr>
              <w:t>-82.7</w:t>
            </w:r>
          </w:p>
        </w:tc>
        <w:tc>
          <w:tcPr>
            <w:tcW w:w="905" w:type="dxa"/>
            <w:tcBorders>
              <w:top w:val="single" w:sz="4" w:space="0" w:color="BFBFBF"/>
              <w:bottom w:val="single" w:sz="4" w:space="0" w:color="BFBFBF"/>
            </w:tcBorders>
            <w:shd w:val="clear" w:color="auto" w:fill="auto"/>
            <w:vAlign w:val="center"/>
          </w:tcPr>
          <w:p w14:paraId="45EC6F5E" w14:textId="77777777" w:rsidR="006D04F3" w:rsidRPr="009348F6" w:rsidRDefault="009348F6">
            <w:pPr>
              <w:widowControl w:val="0"/>
              <w:spacing w:before="60" w:after="60"/>
              <w:ind w:right="113"/>
              <w:jc w:val="right"/>
              <w:rPr>
                <w:rFonts w:cs="Arial"/>
                <w:sz w:val="18"/>
                <w:szCs w:val="18"/>
              </w:rPr>
            </w:pPr>
            <w:r w:rsidRPr="009348F6">
              <w:rPr>
                <w:rFonts w:cs="Arial"/>
                <w:color w:val="000000"/>
                <w:sz w:val="18"/>
                <w:szCs w:val="18"/>
              </w:rPr>
              <w:t>-3.2</w:t>
            </w:r>
          </w:p>
        </w:tc>
      </w:tr>
      <w:tr w:rsidR="006D04F3" w:rsidRPr="009348F6" w14:paraId="2828A999" w14:textId="77777777">
        <w:trPr>
          <w:trHeight w:val="273"/>
          <w:jc w:val="center"/>
        </w:trPr>
        <w:tc>
          <w:tcPr>
            <w:tcW w:w="3916" w:type="dxa"/>
            <w:tcBorders>
              <w:top w:val="single" w:sz="4" w:space="0" w:color="BFBFBF"/>
              <w:bottom w:val="single" w:sz="4" w:space="0" w:color="BFBFBF"/>
              <w:right w:val="single" w:sz="4" w:space="0" w:color="BFBFBF"/>
            </w:tcBorders>
            <w:shd w:val="clear" w:color="auto" w:fill="auto"/>
            <w:vAlign w:val="center"/>
          </w:tcPr>
          <w:p w14:paraId="38A15A5E" w14:textId="77777777" w:rsidR="006D04F3" w:rsidRPr="009348F6" w:rsidRDefault="006D04F3">
            <w:pPr>
              <w:widowControl w:val="0"/>
              <w:spacing w:before="60" w:after="60"/>
              <w:rPr>
                <w:rFonts w:cs="Arial"/>
                <w:color w:val="000000"/>
                <w:sz w:val="18"/>
                <w:szCs w:val="18"/>
              </w:rPr>
            </w:pPr>
          </w:p>
        </w:tc>
        <w:tc>
          <w:tcPr>
            <w:tcW w:w="1413" w:type="dxa"/>
            <w:tcBorders>
              <w:top w:val="single" w:sz="4" w:space="0" w:color="BFBFBF"/>
              <w:left w:val="single" w:sz="4" w:space="0" w:color="BFBFBF"/>
              <w:bottom w:val="single" w:sz="4" w:space="0" w:color="BFBFBF"/>
              <w:right w:val="single" w:sz="4" w:space="0" w:color="BFBFBF"/>
            </w:tcBorders>
            <w:shd w:val="clear" w:color="auto" w:fill="auto"/>
          </w:tcPr>
          <w:p w14:paraId="2114A091" w14:textId="77777777" w:rsidR="006D04F3" w:rsidRPr="009348F6" w:rsidRDefault="009348F6">
            <w:pPr>
              <w:widowControl w:val="0"/>
              <w:spacing w:before="60" w:after="60"/>
              <w:jc w:val="center"/>
              <w:rPr>
                <w:rFonts w:cs="Arial"/>
                <w:bCs/>
                <w:color w:val="000000"/>
                <w:sz w:val="18"/>
                <w:szCs w:val="18"/>
              </w:rPr>
            </w:pPr>
            <w:r w:rsidRPr="009348F6">
              <w:rPr>
                <w:rFonts w:cs="Arial"/>
                <w:sz w:val="18"/>
                <w:szCs w:val="18"/>
              </w:rPr>
              <w:t>%</w:t>
            </w:r>
          </w:p>
        </w:tc>
        <w:tc>
          <w:tcPr>
            <w:tcW w:w="4882" w:type="dxa"/>
            <w:gridSpan w:val="4"/>
            <w:tcBorders>
              <w:top w:val="single" w:sz="4" w:space="0" w:color="BFBFBF"/>
              <w:left w:val="single" w:sz="4" w:space="0" w:color="BFBFBF"/>
              <w:bottom w:val="single" w:sz="4" w:space="0" w:color="BFBFBF"/>
            </w:tcBorders>
            <w:shd w:val="clear" w:color="auto" w:fill="auto"/>
          </w:tcPr>
          <w:p w14:paraId="2F609B0A" w14:textId="77777777" w:rsidR="006D04F3" w:rsidRPr="009348F6" w:rsidRDefault="009348F6">
            <w:pPr>
              <w:widowControl w:val="0"/>
              <w:spacing w:before="60" w:after="60"/>
              <w:jc w:val="center"/>
              <w:rPr>
                <w:rFonts w:cs="Arial"/>
                <w:sz w:val="18"/>
                <w:szCs w:val="18"/>
              </w:rPr>
            </w:pPr>
            <w:r w:rsidRPr="009348F6">
              <w:rPr>
                <w:rFonts w:cs="Arial"/>
                <w:sz w:val="18"/>
                <w:szCs w:val="18"/>
              </w:rPr>
              <w:t>(p.p.)</w:t>
            </w:r>
          </w:p>
        </w:tc>
      </w:tr>
      <w:tr w:rsidR="006D04F3" w:rsidRPr="009348F6" w14:paraId="34AE782E" w14:textId="77777777">
        <w:trPr>
          <w:trHeight w:val="260"/>
          <w:jc w:val="center"/>
        </w:trPr>
        <w:tc>
          <w:tcPr>
            <w:tcW w:w="3916" w:type="dxa"/>
            <w:tcBorders>
              <w:top w:val="single" w:sz="4" w:space="0" w:color="BFBFBF"/>
              <w:bottom w:val="single" w:sz="4" w:space="0" w:color="BFBFBF"/>
              <w:right w:val="single" w:sz="4" w:space="0" w:color="BFBFBF"/>
            </w:tcBorders>
            <w:shd w:val="clear" w:color="auto" w:fill="auto"/>
            <w:vAlign w:val="center"/>
          </w:tcPr>
          <w:p w14:paraId="3AFF19B1" w14:textId="77777777" w:rsidR="006D04F3" w:rsidRPr="009348F6" w:rsidRDefault="009348F6">
            <w:pPr>
              <w:widowControl w:val="0"/>
              <w:spacing w:before="60" w:after="60"/>
              <w:rPr>
                <w:rFonts w:cs="Arial"/>
                <w:sz w:val="18"/>
                <w:szCs w:val="18"/>
              </w:rPr>
            </w:pPr>
            <w:r w:rsidRPr="009348F6">
              <w:rPr>
                <w:rFonts w:cs="Arial"/>
                <w:sz w:val="18"/>
                <w:szCs w:val="18"/>
              </w:rPr>
              <w:t>Activity rate</w:t>
            </w:r>
          </w:p>
        </w:tc>
        <w:tc>
          <w:tcPr>
            <w:tcW w:w="141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7895D3C" w14:textId="77777777" w:rsidR="006D04F3" w:rsidRPr="009348F6" w:rsidRDefault="009348F6">
            <w:pPr>
              <w:widowControl w:val="0"/>
              <w:spacing w:before="60" w:after="60"/>
              <w:ind w:right="113"/>
              <w:jc w:val="right"/>
              <w:rPr>
                <w:rFonts w:cs="Arial"/>
                <w:sz w:val="18"/>
                <w:szCs w:val="18"/>
              </w:rPr>
            </w:pPr>
            <w:r w:rsidRPr="009348F6">
              <w:rPr>
                <w:rFonts w:cs="Arial"/>
                <w:color w:val="000000"/>
                <w:sz w:val="18"/>
                <w:szCs w:val="18"/>
              </w:rPr>
              <w:t>55.8</w:t>
            </w:r>
          </w:p>
        </w:tc>
        <w:tc>
          <w:tcPr>
            <w:tcW w:w="1424" w:type="dxa"/>
            <w:tcBorders>
              <w:top w:val="single" w:sz="4" w:space="0" w:color="BFBFBF"/>
              <w:left w:val="single" w:sz="4" w:space="0" w:color="BFBFBF"/>
              <w:bottom w:val="single" w:sz="4" w:space="0" w:color="BFBFBF"/>
            </w:tcBorders>
            <w:shd w:val="clear" w:color="auto" w:fill="auto"/>
            <w:vAlign w:val="bottom"/>
          </w:tcPr>
          <w:p w14:paraId="1BCAC102" w14:textId="77777777" w:rsidR="006D04F3" w:rsidRPr="009348F6" w:rsidRDefault="006D04F3">
            <w:pPr>
              <w:widowControl w:val="0"/>
              <w:spacing w:before="60" w:after="60"/>
              <w:ind w:right="113"/>
              <w:jc w:val="right"/>
              <w:rPr>
                <w:rFonts w:cs="Arial"/>
                <w:sz w:val="18"/>
                <w:szCs w:val="18"/>
              </w:rPr>
            </w:pPr>
          </w:p>
        </w:tc>
        <w:tc>
          <w:tcPr>
            <w:tcW w:w="1089" w:type="dxa"/>
            <w:tcBorders>
              <w:top w:val="single" w:sz="4" w:space="0" w:color="BFBFBF"/>
              <w:bottom w:val="single" w:sz="4" w:space="0" w:color="BFBFBF"/>
            </w:tcBorders>
            <w:shd w:val="clear" w:color="auto" w:fill="auto"/>
            <w:vAlign w:val="center"/>
          </w:tcPr>
          <w:p w14:paraId="4C5B2704" w14:textId="77777777" w:rsidR="006D04F3" w:rsidRPr="009348F6" w:rsidRDefault="009348F6">
            <w:pPr>
              <w:widowControl w:val="0"/>
              <w:spacing w:before="60" w:after="60"/>
              <w:ind w:right="113"/>
              <w:jc w:val="right"/>
              <w:rPr>
                <w:rFonts w:cs="Arial"/>
                <w:sz w:val="18"/>
                <w:szCs w:val="18"/>
              </w:rPr>
            </w:pPr>
            <w:r w:rsidRPr="009348F6">
              <w:rPr>
                <w:rFonts w:cs="Arial"/>
                <w:color w:val="000000"/>
                <w:sz w:val="18"/>
                <w:szCs w:val="18"/>
              </w:rPr>
              <w:t>0.6</w:t>
            </w:r>
          </w:p>
        </w:tc>
        <w:tc>
          <w:tcPr>
            <w:tcW w:w="1464" w:type="dxa"/>
            <w:tcBorders>
              <w:top w:val="single" w:sz="4" w:space="0" w:color="BFBFBF"/>
              <w:bottom w:val="single" w:sz="4" w:space="0" w:color="BFBFBF"/>
            </w:tcBorders>
            <w:shd w:val="clear" w:color="auto" w:fill="auto"/>
            <w:vAlign w:val="bottom"/>
          </w:tcPr>
          <w:p w14:paraId="5FF4B49F" w14:textId="77777777" w:rsidR="006D04F3" w:rsidRPr="009348F6" w:rsidRDefault="006D04F3">
            <w:pPr>
              <w:widowControl w:val="0"/>
              <w:spacing w:before="60" w:after="60"/>
              <w:ind w:right="113"/>
              <w:jc w:val="right"/>
              <w:rPr>
                <w:rFonts w:cs="Arial"/>
                <w:sz w:val="18"/>
                <w:szCs w:val="18"/>
              </w:rPr>
            </w:pPr>
          </w:p>
        </w:tc>
        <w:tc>
          <w:tcPr>
            <w:tcW w:w="905" w:type="dxa"/>
            <w:tcBorders>
              <w:top w:val="single" w:sz="4" w:space="0" w:color="BFBFBF"/>
              <w:bottom w:val="single" w:sz="4" w:space="0" w:color="BFBFBF"/>
            </w:tcBorders>
            <w:shd w:val="clear" w:color="auto" w:fill="auto"/>
            <w:vAlign w:val="center"/>
          </w:tcPr>
          <w:p w14:paraId="49C20E61" w14:textId="77777777" w:rsidR="006D04F3" w:rsidRPr="009348F6" w:rsidRDefault="009348F6">
            <w:pPr>
              <w:widowControl w:val="0"/>
              <w:spacing w:before="60" w:after="60"/>
              <w:ind w:right="113"/>
              <w:jc w:val="right"/>
              <w:rPr>
                <w:rFonts w:cs="Arial"/>
                <w:sz w:val="18"/>
                <w:szCs w:val="18"/>
              </w:rPr>
            </w:pPr>
            <w:r w:rsidRPr="009348F6">
              <w:rPr>
                <w:rFonts w:cs="Arial"/>
                <w:color w:val="000000"/>
                <w:sz w:val="18"/>
                <w:szCs w:val="18"/>
              </w:rPr>
              <w:t>1.0</w:t>
            </w:r>
          </w:p>
        </w:tc>
      </w:tr>
      <w:tr w:rsidR="006D04F3" w:rsidRPr="009348F6" w14:paraId="3CE12CF8" w14:textId="77777777">
        <w:trPr>
          <w:trHeight w:val="260"/>
          <w:jc w:val="center"/>
        </w:trPr>
        <w:tc>
          <w:tcPr>
            <w:tcW w:w="3916" w:type="dxa"/>
            <w:tcBorders>
              <w:top w:val="single" w:sz="4" w:space="0" w:color="BFBFBF"/>
              <w:bottom w:val="single" w:sz="4" w:space="0" w:color="BFBFBF"/>
              <w:right w:val="single" w:sz="4" w:space="0" w:color="BFBFBF"/>
            </w:tcBorders>
            <w:shd w:val="clear" w:color="auto" w:fill="auto"/>
            <w:vAlign w:val="center"/>
          </w:tcPr>
          <w:p w14:paraId="2445477E" w14:textId="77777777" w:rsidR="006D04F3" w:rsidRPr="009348F6" w:rsidRDefault="009348F6">
            <w:pPr>
              <w:widowControl w:val="0"/>
              <w:spacing w:before="60" w:after="60"/>
              <w:rPr>
                <w:rFonts w:cs="Arial"/>
                <w:sz w:val="18"/>
                <w:szCs w:val="18"/>
              </w:rPr>
            </w:pPr>
            <w:r w:rsidRPr="009348F6">
              <w:rPr>
                <w:rFonts w:cs="Arial"/>
                <w:sz w:val="18"/>
                <w:szCs w:val="18"/>
              </w:rPr>
              <w:t>Employment rate</w:t>
            </w:r>
          </w:p>
        </w:tc>
        <w:tc>
          <w:tcPr>
            <w:tcW w:w="141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0D46AE4" w14:textId="77777777" w:rsidR="006D04F3" w:rsidRPr="009348F6" w:rsidRDefault="009348F6">
            <w:pPr>
              <w:widowControl w:val="0"/>
              <w:spacing w:before="60" w:after="60"/>
              <w:ind w:right="113"/>
              <w:jc w:val="right"/>
              <w:rPr>
                <w:rFonts w:cs="Arial"/>
                <w:sz w:val="18"/>
                <w:szCs w:val="18"/>
              </w:rPr>
            </w:pPr>
            <w:r w:rsidRPr="009348F6">
              <w:rPr>
                <w:rFonts w:cs="Arial"/>
                <w:color w:val="000000"/>
                <w:sz w:val="18"/>
                <w:szCs w:val="18"/>
              </w:rPr>
              <w:t>50.4</w:t>
            </w:r>
          </w:p>
        </w:tc>
        <w:tc>
          <w:tcPr>
            <w:tcW w:w="1424" w:type="dxa"/>
            <w:tcBorders>
              <w:top w:val="single" w:sz="4" w:space="0" w:color="BFBFBF"/>
              <w:left w:val="single" w:sz="4" w:space="0" w:color="BFBFBF"/>
              <w:bottom w:val="single" w:sz="4" w:space="0" w:color="BFBFBF"/>
            </w:tcBorders>
            <w:shd w:val="clear" w:color="auto" w:fill="auto"/>
            <w:vAlign w:val="bottom"/>
          </w:tcPr>
          <w:p w14:paraId="4015768F" w14:textId="77777777" w:rsidR="006D04F3" w:rsidRPr="009348F6" w:rsidRDefault="006D04F3">
            <w:pPr>
              <w:widowControl w:val="0"/>
              <w:spacing w:before="60" w:after="60"/>
              <w:ind w:right="113"/>
              <w:jc w:val="right"/>
              <w:rPr>
                <w:rFonts w:cs="Arial"/>
                <w:sz w:val="18"/>
                <w:szCs w:val="18"/>
              </w:rPr>
            </w:pPr>
          </w:p>
        </w:tc>
        <w:tc>
          <w:tcPr>
            <w:tcW w:w="1089" w:type="dxa"/>
            <w:tcBorders>
              <w:top w:val="single" w:sz="4" w:space="0" w:color="BFBFBF"/>
              <w:bottom w:val="single" w:sz="4" w:space="0" w:color="BFBFBF"/>
            </w:tcBorders>
            <w:shd w:val="clear" w:color="auto" w:fill="auto"/>
            <w:vAlign w:val="center"/>
          </w:tcPr>
          <w:p w14:paraId="12721B9A" w14:textId="77777777" w:rsidR="006D04F3" w:rsidRPr="009348F6" w:rsidRDefault="009348F6">
            <w:pPr>
              <w:widowControl w:val="0"/>
              <w:spacing w:before="60" w:after="60"/>
              <w:ind w:right="113"/>
              <w:jc w:val="right"/>
              <w:rPr>
                <w:rFonts w:cs="Arial"/>
                <w:sz w:val="18"/>
                <w:szCs w:val="18"/>
              </w:rPr>
            </w:pPr>
            <w:r w:rsidRPr="009348F6">
              <w:rPr>
                <w:rFonts w:cs="Arial"/>
                <w:color w:val="000000"/>
                <w:sz w:val="18"/>
                <w:szCs w:val="18"/>
              </w:rPr>
              <w:t>0.8</w:t>
            </w:r>
          </w:p>
        </w:tc>
        <w:tc>
          <w:tcPr>
            <w:tcW w:w="1464" w:type="dxa"/>
            <w:tcBorders>
              <w:top w:val="single" w:sz="4" w:space="0" w:color="BFBFBF"/>
              <w:bottom w:val="single" w:sz="4" w:space="0" w:color="BFBFBF"/>
            </w:tcBorders>
            <w:shd w:val="clear" w:color="auto" w:fill="auto"/>
            <w:vAlign w:val="bottom"/>
          </w:tcPr>
          <w:p w14:paraId="3E9999A5" w14:textId="77777777" w:rsidR="006D04F3" w:rsidRPr="009348F6" w:rsidRDefault="006D04F3">
            <w:pPr>
              <w:widowControl w:val="0"/>
              <w:spacing w:before="60" w:after="60"/>
              <w:ind w:right="113"/>
              <w:jc w:val="right"/>
              <w:rPr>
                <w:rFonts w:cs="Arial"/>
                <w:sz w:val="18"/>
                <w:szCs w:val="18"/>
              </w:rPr>
            </w:pPr>
          </w:p>
        </w:tc>
        <w:tc>
          <w:tcPr>
            <w:tcW w:w="905" w:type="dxa"/>
            <w:tcBorders>
              <w:top w:val="single" w:sz="4" w:space="0" w:color="BFBFBF"/>
              <w:bottom w:val="single" w:sz="4" w:space="0" w:color="BFBFBF"/>
            </w:tcBorders>
            <w:shd w:val="clear" w:color="auto" w:fill="auto"/>
            <w:vAlign w:val="center"/>
          </w:tcPr>
          <w:p w14:paraId="25A81959" w14:textId="77777777" w:rsidR="006D04F3" w:rsidRPr="009348F6" w:rsidRDefault="009348F6">
            <w:pPr>
              <w:widowControl w:val="0"/>
              <w:spacing w:before="60" w:after="60"/>
              <w:ind w:right="113"/>
              <w:jc w:val="right"/>
              <w:rPr>
                <w:rFonts w:cs="Arial"/>
                <w:sz w:val="18"/>
                <w:szCs w:val="18"/>
              </w:rPr>
            </w:pPr>
            <w:r w:rsidRPr="009348F6">
              <w:rPr>
                <w:rFonts w:cs="Arial"/>
                <w:color w:val="000000"/>
                <w:sz w:val="18"/>
                <w:szCs w:val="18"/>
              </w:rPr>
              <w:t>0.5</w:t>
            </w:r>
          </w:p>
        </w:tc>
      </w:tr>
      <w:tr w:rsidR="006D04F3" w:rsidRPr="009348F6" w14:paraId="49FF1FCC" w14:textId="77777777">
        <w:trPr>
          <w:trHeight w:val="260"/>
          <w:jc w:val="center"/>
        </w:trPr>
        <w:tc>
          <w:tcPr>
            <w:tcW w:w="3916" w:type="dxa"/>
            <w:tcBorders>
              <w:top w:val="single" w:sz="4" w:space="0" w:color="BFBFBF"/>
              <w:bottom w:val="single" w:sz="4" w:space="0" w:color="BFBFBF"/>
              <w:right w:val="single" w:sz="4" w:space="0" w:color="BFBFBF"/>
            </w:tcBorders>
            <w:shd w:val="clear" w:color="auto" w:fill="auto"/>
            <w:vAlign w:val="center"/>
          </w:tcPr>
          <w:p w14:paraId="2587046E" w14:textId="77777777" w:rsidR="006D04F3" w:rsidRPr="009348F6" w:rsidRDefault="009348F6">
            <w:pPr>
              <w:widowControl w:val="0"/>
              <w:spacing w:before="60" w:after="60"/>
              <w:rPr>
                <w:rFonts w:cs="Arial"/>
                <w:color w:val="000000"/>
                <w:sz w:val="18"/>
                <w:szCs w:val="18"/>
              </w:rPr>
            </w:pPr>
            <w:r w:rsidRPr="009348F6">
              <w:rPr>
                <w:rFonts w:cs="Arial"/>
                <w:color w:val="000000"/>
                <w:sz w:val="18"/>
                <w:szCs w:val="18"/>
              </w:rPr>
              <w:t xml:space="preserve">    Informal employment rate</w:t>
            </w:r>
          </w:p>
        </w:tc>
        <w:tc>
          <w:tcPr>
            <w:tcW w:w="141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C1BDBD" w14:textId="77777777" w:rsidR="006D04F3" w:rsidRPr="009348F6" w:rsidRDefault="009348F6">
            <w:pPr>
              <w:widowControl w:val="0"/>
              <w:spacing w:before="60" w:after="60"/>
              <w:ind w:right="113"/>
              <w:jc w:val="right"/>
              <w:rPr>
                <w:rFonts w:cs="Arial"/>
                <w:sz w:val="18"/>
                <w:szCs w:val="18"/>
              </w:rPr>
            </w:pPr>
            <w:r w:rsidRPr="009348F6">
              <w:rPr>
                <w:rFonts w:cs="Arial"/>
                <w:color w:val="000000"/>
                <w:sz w:val="18"/>
                <w:szCs w:val="18"/>
              </w:rPr>
              <w:t>12.3</w:t>
            </w:r>
          </w:p>
        </w:tc>
        <w:tc>
          <w:tcPr>
            <w:tcW w:w="1424" w:type="dxa"/>
            <w:tcBorders>
              <w:top w:val="single" w:sz="4" w:space="0" w:color="BFBFBF"/>
              <w:left w:val="single" w:sz="4" w:space="0" w:color="BFBFBF"/>
              <w:bottom w:val="single" w:sz="4" w:space="0" w:color="BFBFBF"/>
            </w:tcBorders>
            <w:shd w:val="clear" w:color="auto" w:fill="auto"/>
            <w:vAlign w:val="center"/>
          </w:tcPr>
          <w:p w14:paraId="6E98C3F7" w14:textId="77777777" w:rsidR="006D04F3" w:rsidRPr="009348F6" w:rsidRDefault="006D04F3">
            <w:pPr>
              <w:widowControl w:val="0"/>
              <w:spacing w:before="60" w:after="60"/>
              <w:ind w:right="113"/>
              <w:jc w:val="right"/>
              <w:rPr>
                <w:rFonts w:cs="Arial"/>
                <w:sz w:val="18"/>
                <w:szCs w:val="18"/>
              </w:rPr>
            </w:pPr>
          </w:p>
        </w:tc>
        <w:tc>
          <w:tcPr>
            <w:tcW w:w="1089" w:type="dxa"/>
            <w:tcBorders>
              <w:top w:val="single" w:sz="4" w:space="0" w:color="BFBFBF"/>
              <w:bottom w:val="single" w:sz="4" w:space="0" w:color="BFBFBF"/>
            </w:tcBorders>
            <w:shd w:val="clear" w:color="auto" w:fill="auto"/>
            <w:vAlign w:val="center"/>
          </w:tcPr>
          <w:p w14:paraId="75A2BF6E" w14:textId="77777777" w:rsidR="006D04F3" w:rsidRPr="009348F6" w:rsidRDefault="009348F6">
            <w:pPr>
              <w:widowControl w:val="0"/>
              <w:spacing w:before="60" w:after="60"/>
              <w:ind w:right="113"/>
              <w:jc w:val="right"/>
              <w:rPr>
                <w:rFonts w:cs="Arial"/>
                <w:sz w:val="18"/>
                <w:szCs w:val="18"/>
              </w:rPr>
            </w:pPr>
            <w:r w:rsidRPr="009348F6">
              <w:rPr>
                <w:rFonts w:cs="Arial"/>
                <w:color w:val="000000"/>
                <w:sz w:val="18"/>
                <w:szCs w:val="18"/>
              </w:rPr>
              <w:t>0.0</w:t>
            </w:r>
          </w:p>
        </w:tc>
        <w:tc>
          <w:tcPr>
            <w:tcW w:w="1464" w:type="dxa"/>
            <w:tcBorders>
              <w:top w:val="single" w:sz="4" w:space="0" w:color="BFBFBF"/>
              <w:bottom w:val="single" w:sz="4" w:space="0" w:color="BFBFBF"/>
            </w:tcBorders>
            <w:shd w:val="clear" w:color="auto" w:fill="auto"/>
            <w:vAlign w:val="center"/>
          </w:tcPr>
          <w:p w14:paraId="7F96E3F5" w14:textId="77777777" w:rsidR="006D04F3" w:rsidRPr="009348F6" w:rsidRDefault="006D04F3">
            <w:pPr>
              <w:widowControl w:val="0"/>
              <w:spacing w:before="60" w:after="60"/>
              <w:ind w:right="113"/>
              <w:jc w:val="right"/>
              <w:rPr>
                <w:rFonts w:cs="Arial"/>
                <w:sz w:val="18"/>
                <w:szCs w:val="18"/>
              </w:rPr>
            </w:pPr>
          </w:p>
        </w:tc>
        <w:tc>
          <w:tcPr>
            <w:tcW w:w="905" w:type="dxa"/>
            <w:tcBorders>
              <w:top w:val="single" w:sz="4" w:space="0" w:color="BFBFBF"/>
              <w:bottom w:val="single" w:sz="4" w:space="0" w:color="BFBFBF"/>
            </w:tcBorders>
            <w:shd w:val="clear" w:color="auto" w:fill="auto"/>
            <w:vAlign w:val="center"/>
          </w:tcPr>
          <w:p w14:paraId="5AB417BA" w14:textId="77777777" w:rsidR="006D04F3" w:rsidRPr="009348F6" w:rsidRDefault="009348F6">
            <w:pPr>
              <w:widowControl w:val="0"/>
              <w:spacing w:before="60" w:after="60"/>
              <w:ind w:right="113"/>
              <w:jc w:val="right"/>
              <w:rPr>
                <w:rFonts w:cs="Arial"/>
                <w:sz w:val="18"/>
                <w:szCs w:val="18"/>
              </w:rPr>
            </w:pPr>
            <w:r w:rsidRPr="009348F6">
              <w:rPr>
                <w:rFonts w:cs="Arial"/>
                <w:color w:val="000000"/>
                <w:sz w:val="18"/>
                <w:szCs w:val="18"/>
              </w:rPr>
              <w:t>-1.3</w:t>
            </w:r>
          </w:p>
        </w:tc>
      </w:tr>
      <w:tr w:rsidR="006D04F3" w:rsidRPr="009348F6" w14:paraId="7868E9C3" w14:textId="77777777">
        <w:trPr>
          <w:trHeight w:val="260"/>
          <w:jc w:val="center"/>
        </w:trPr>
        <w:tc>
          <w:tcPr>
            <w:tcW w:w="3916" w:type="dxa"/>
            <w:tcBorders>
              <w:top w:val="single" w:sz="4" w:space="0" w:color="BFBFBF"/>
              <w:bottom w:val="single" w:sz="4" w:space="0" w:color="BFBFBF"/>
              <w:right w:val="single" w:sz="4" w:space="0" w:color="BFBFBF"/>
            </w:tcBorders>
            <w:shd w:val="clear" w:color="auto" w:fill="auto"/>
            <w:vAlign w:val="center"/>
          </w:tcPr>
          <w:p w14:paraId="5B73BE28" w14:textId="77777777" w:rsidR="006D04F3" w:rsidRPr="009348F6" w:rsidRDefault="009348F6">
            <w:pPr>
              <w:widowControl w:val="0"/>
              <w:spacing w:before="60" w:after="60"/>
              <w:rPr>
                <w:rFonts w:cs="Arial"/>
                <w:color w:val="000000"/>
                <w:sz w:val="18"/>
                <w:szCs w:val="18"/>
              </w:rPr>
            </w:pPr>
            <w:r w:rsidRPr="009348F6">
              <w:rPr>
                <w:rFonts w:cs="Arial"/>
                <w:color w:val="000000"/>
                <w:sz w:val="18"/>
                <w:szCs w:val="18"/>
              </w:rPr>
              <w:t>Unemployment rate</w:t>
            </w:r>
          </w:p>
        </w:tc>
        <w:tc>
          <w:tcPr>
            <w:tcW w:w="141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252F7B3" w14:textId="77777777" w:rsidR="006D04F3" w:rsidRPr="009348F6" w:rsidRDefault="009348F6">
            <w:pPr>
              <w:widowControl w:val="0"/>
              <w:spacing w:before="60" w:after="60"/>
              <w:ind w:right="113"/>
              <w:jc w:val="right"/>
              <w:rPr>
                <w:rFonts w:cs="Arial"/>
                <w:sz w:val="18"/>
                <w:szCs w:val="18"/>
              </w:rPr>
            </w:pPr>
            <w:r w:rsidRPr="009348F6">
              <w:rPr>
                <w:rFonts w:cs="Arial"/>
                <w:color w:val="000000"/>
                <w:sz w:val="18"/>
                <w:szCs w:val="18"/>
              </w:rPr>
              <w:t>9.6</w:t>
            </w:r>
          </w:p>
        </w:tc>
        <w:tc>
          <w:tcPr>
            <w:tcW w:w="1424" w:type="dxa"/>
            <w:tcBorders>
              <w:top w:val="single" w:sz="4" w:space="0" w:color="BFBFBF"/>
              <w:left w:val="single" w:sz="4" w:space="0" w:color="BFBFBF"/>
              <w:bottom w:val="single" w:sz="4" w:space="0" w:color="BFBFBF"/>
            </w:tcBorders>
            <w:shd w:val="clear" w:color="auto" w:fill="auto"/>
            <w:vAlign w:val="bottom"/>
          </w:tcPr>
          <w:p w14:paraId="43F54879" w14:textId="77777777" w:rsidR="006D04F3" w:rsidRPr="009348F6" w:rsidRDefault="006D04F3">
            <w:pPr>
              <w:widowControl w:val="0"/>
              <w:spacing w:before="60" w:after="60"/>
              <w:ind w:right="113"/>
              <w:jc w:val="right"/>
              <w:rPr>
                <w:rFonts w:cs="Arial"/>
                <w:sz w:val="18"/>
                <w:szCs w:val="18"/>
              </w:rPr>
            </w:pPr>
          </w:p>
        </w:tc>
        <w:tc>
          <w:tcPr>
            <w:tcW w:w="1089" w:type="dxa"/>
            <w:tcBorders>
              <w:top w:val="single" w:sz="4" w:space="0" w:color="BFBFBF"/>
              <w:bottom w:val="single" w:sz="4" w:space="0" w:color="BFBFBF"/>
            </w:tcBorders>
            <w:shd w:val="clear" w:color="auto" w:fill="auto"/>
            <w:vAlign w:val="center"/>
          </w:tcPr>
          <w:p w14:paraId="33EA1783" w14:textId="77777777" w:rsidR="006D04F3" w:rsidRPr="009348F6" w:rsidRDefault="009348F6">
            <w:pPr>
              <w:widowControl w:val="0"/>
              <w:spacing w:before="60" w:after="60"/>
              <w:ind w:right="113"/>
              <w:jc w:val="right"/>
              <w:rPr>
                <w:rFonts w:cs="Arial"/>
                <w:sz w:val="18"/>
                <w:szCs w:val="18"/>
              </w:rPr>
            </w:pPr>
            <w:r w:rsidRPr="009348F6">
              <w:rPr>
                <w:rFonts w:cs="Arial"/>
                <w:color w:val="000000"/>
                <w:sz w:val="18"/>
                <w:szCs w:val="18"/>
              </w:rPr>
              <w:t>-0.4</w:t>
            </w:r>
          </w:p>
        </w:tc>
        <w:tc>
          <w:tcPr>
            <w:tcW w:w="1464" w:type="dxa"/>
            <w:tcBorders>
              <w:top w:val="single" w:sz="4" w:space="0" w:color="BFBFBF"/>
              <w:bottom w:val="single" w:sz="4" w:space="0" w:color="BFBFBF"/>
            </w:tcBorders>
            <w:shd w:val="clear" w:color="auto" w:fill="auto"/>
            <w:vAlign w:val="bottom"/>
          </w:tcPr>
          <w:p w14:paraId="3694C6FF" w14:textId="77777777" w:rsidR="006D04F3" w:rsidRPr="009348F6" w:rsidRDefault="006D04F3">
            <w:pPr>
              <w:widowControl w:val="0"/>
              <w:spacing w:before="60" w:after="60"/>
              <w:ind w:right="113"/>
              <w:jc w:val="right"/>
              <w:rPr>
                <w:rFonts w:cs="Arial"/>
                <w:sz w:val="18"/>
                <w:szCs w:val="18"/>
              </w:rPr>
            </w:pPr>
          </w:p>
        </w:tc>
        <w:tc>
          <w:tcPr>
            <w:tcW w:w="905" w:type="dxa"/>
            <w:tcBorders>
              <w:top w:val="single" w:sz="4" w:space="0" w:color="BFBFBF"/>
              <w:bottom w:val="single" w:sz="4" w:space="0" w:color="BFBFBF"/>
            </w:tcBorders>
            <w:shd w:val="clear" w:color="auto" w:fill="auto"/>
            <w:vAlign w:val="center"/>
          </w:tcPr>
          <w:p w14:paraId="04A2E647" w14:textId="77777777" w:rsidR="006D04F3" w:rsidRPr="009348F6" w:rsidRDefault="009348F6">
            <w:pPr>
              <w:widowControl w:val="0"/>
              <w:spacing w:before="60" w:after="60"/>
              <w:ind w:right="113"/>
              <w:jc w:val="right"/>
              <w:rPr>
                <w:rFonts w:cs="Arial"/>
                <w:sz w:val="18"/>
                <w:szCs w:val="18"/>
              </w:rPr>
            </w:pPr>
            <w:r w:rsidRPr="009348F6">
              <w:rPr>
                <w:rFonts w:cs="Arial"/>
                <w:color w:val="000000"/>
                <w:sz w:val="18"/>
                <w:szCs w:val="18"/>
              </w:rPr>
              <w:t>0.7</w:t>
            </w:r>
          </w:p>
        </w:tc>
      </w:tr>
      <w:tr w:rsidR="006D04F3" w:rsidRPr="009348F6" w14:paraId="77E52BA2" w14:textId="77777777">
        <w:trPr>
          <w:trHeight w:val="273"/>
          <w:jc w:val="center"/>
        </w:trPr>
        <w:tc>
          <w:tcPr>
            <w:tcW w:w="3916" w:type="dxa"/>
            <w:tcBorders>
              <w:top w:val="single" w:sz="4" w:space="0" w:color="BFBFBF"/>
              <w:bottom w:val="single" w:sz="4" w:space="0" w:color="BFBFBF"/>
              <w:right w:val="single" w:sz="4" w:space="0" w:color="BFBFBF"/>
            </w:tcBorders>
            <w:shd w:val="clear" w:color="auto" w:fill="auto"/>
            <w:vAlign w:val="center"/>
          </w:tcPr>
          <w:p w14:paraId="6BDCD1FA" w14:textId="77777777" w:rsidR="006D04F3" w:rsidRPr="009348F6" w:rsidRDefault="009348F6">
            <w:pPr>
              <w:widowControl w:val="0"/>
              <w:spacing w:before="60" w:after="60"/>
              <w:rPr>
                <w:rFonts w:cs="Arial"/>
                <w:color w:val="000000"/>
                <w:sz w:val="18"/>
                <w:szCs w:val="18"/>
              </w:rPr>
            </w:pPr>
            <w:r w:rsidRPr="009348F6">
              <w:rPr>
                <w:rFonts w:cs="Arial"/>
                <w:color w:val="000000"/>
                <w:sz w:val="18"/>
                <w:szCs w:val="18"/>
              </w:rPr>
              <w:t>Outside the labour force rate</w:t>
            </w:r>
          </w:p>
        </w:tc>
        <w:tc>
          <w:tcPr>
            <w:tcW w:w="141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17052A4" w14:textId="77777777" w:rsidR="006D04F3" w:rsidRPr="009348F6" w:rsidRDefault="009348F6">
            <w:pPr>
              <w:widowControl w:val="0"/>
              <w:spacing w:before="60" w:after="60"/>
              <w:ind w:right="113"/>
              <w:jc w:val="right"/>
              <w:rPr>
                <w:rFonts w:cs="Arial"/>
                <w:sz w:val="18"/>
                <w:szCs w:val="18"/>
              </w:rPr>
            </w:pPr>
            <w:r w:rsidRPr="009348F6">
              <w:rPr>
                <w:rFonts w:cs="Arial"/>
                <w:color w:val="000000"/>
                <w:sz w:val="18"/>
                <w:szCs w:val="18"/>
              </w:rPr>
              <w:t>44.2</w:t>
            </w:r>
          </w:p>
        </w:tc>
        <w:tc>
          <w:tcPr>
            <w:tcW w:w="1424" w:type="dxa"/>
            <w:tcBorders>
              <w:top w:val="single" w:sz="4" w:space="0" w:color="BFBFBF"/>
              <w:left w:val="single" w:sz="4" w:space="0" w:color="BFBFBF"/>
              <w:bottom w:val="single" w:sz="4" w:space="0" w:color="BFBFBF"/>
            </w:tcBorders>
            <w:shd w:val="clear" w:color="auto" w:fill="auto"/>
            <w:vAlign w:val="center"/>
          </w:tcPr>
          <w:p w14:paraId="1D1F29EF" w14:textId="77777777" w:rsidR="006D04F3" w:rsidRPr="009348F6" w:rsidRDefault="006D04F3">
            <w:pPr>
              <w:widowControl w:val="0"/>
              <w:spacing w:before="60" w:after="60"/>
              <w:ind w:right="113"/>
              <w:jc w:val="right"/>
              <w:rPr>
                <w:rFonts w:cs="Arial"/>
                <w:sz w:val="18"/>
                <w:szCs w:val="18"/>
              </w:rPr>
            </w:pPr>
          </w:p>
        </w:tc>
        <w:tc>
          <w:tcPr>
            <w:tcW w:w="1089" w:type="dxa"/>
            <w:tcBorders>
              <w:top w:val="single" w:sz="4" w:space="0" w:color="BFBFBF"/>
              <w:bottom w:val="single" w:sz="4" w:space="0" w:color="BFBFBF"/>
            </w:tcBorders>
            <w:shd w:val="clear" w:color="auto" w:fill="auto"/>
            <w:vAlign w:val="center"/>
          </w:tcPr>
          <w:p w14:paraId="4F986CD2" w14:textId="77777777" w:rsidR="006D04F3" w:rsidRPr="009348F6" w:rsidRDefault="009348F6">
            <w:pPr>
              <w:widowControl w:val="0"/>
              <w:spacing w:before="60" w:after="60"/>
              <w:ind w:right="113"/>
              <w:jc w:val="right"/>
              <w:rPr>
                <w:rFonts w:cs="Arial"/>
                <w:sz w:val="18"/>
                <w:szCs w:val="18"/>
              </w:rPr>
            </w:pPr>
            <w:r w:rsidRPr="009348F6">
              <w:rPr>
                <w:rFonts w:cs="Arial"/>
                <w:color w:val="000000"/>
                <w:sz w:val="18"/>
                <w:szCs w:val="18"/>
              </w:rPr>
              <w:t>-0.6</w:t>
            </w:r>
          </w:p>
        </w:tc>
        <w:tc>
          <w:tcPr>
            <w:tcW w:w="1464" w:type="dxa"/>
            <w:tcBorders>
              <w:top w:val="single" w:sz="4" w:space="0" w:color="BFBFBF"/>
              <w:bottom w:val="single" w:sz="4" w:space="0" w:color="BFBFBF"/>
            </w:tcBorders>
            <w:shd w:val="clear" w:color="auto" w:fill="auto"/>
            <w:vAlign w:val="center"/>
          </w:tcPr>
          <w:p w14:paraId="25939A91" w14:textId="77777777" w:rsidR="006D04F3" w:rsidRPr="009348F6" w:rsidRDefault="006D04F3">
            <w:pPr>
              <w:widowControl w:val="0"/>
              <w:spacing w:before="60" w:after="60"/>
              <w:ind w:right="113"/>
              <w:jc w:val="right"/>
              <w:rPr>
                <w:rFonts w:cs="Arial"/>
                <w:sz w:val="18"/>
                <w:szCs w:val="18"/>
              </w:rPr>
            </w:pPr>
          </w:p>
        </w:tc>
        <w:tc>
          <w:tcPr>
            <w:tcW w:w="905" w:type="dxa"/>
            <w:tcBorders>
              <w:top w:val="single" w:sz="4" w:space="0" w:color="BFBFBF"/>
              <w:bottom w:val="single" w:sz="4" w:space="0" w:color="BFBFBF"/>
            </w:tcBorders>
            <w:shd w:val="clear" w:color="auto" w:fill="auto"/>
            <w:vAlign w:val="center"/>
          </w:tcPr>
          <w:p w14:paraId="2A9D8432" w14:textId="77777777" w:rsidR="006D04F3" w:rsidRPr="009348F6" w:rsidRDefault="009348F6">
            <w:pPr>
              <w:widowControl w:val="0"/>
              <w:spacing w:before="60" w:after="60"/>
              <w:ind w:right="113"/>
              <w:jc w:val="right"/>
              <w:rPr>
                <w:rFonts w:cs="Arial"/>
                <w:sz w:val="18"/>
                <w:szCs w:val="18"/>
              </w:rPr>
            </w:pPr>
            <w:r w:rsidRPr="009348F6">
              <w:rPr>
                <w:rFonts w:cs="Arial"/>
                <w:color w:val="000000"/>
                <w:sz w:val="18"/>
                <w:szCs w:val="18"/>
              </w:rPr>
              <w:t>-1.0</w:t>
            </w:r>
          </w:p>
        </w:tc>
      </w:tr>
    </w:tbl>
    <w:p w14:paraId="64E6460A" w14:textId="77777777" w:rsidR="006D04F3" w:rsidRPr="009348F6" w:rsidRDefault="009348F6" w:rsidP="009348F6">
      <w:pPr>
        <w:spacing w:before="240" w:after="120"/>
        <w:ind w:firstLine="403"/>
        <w:jc w:val="both"/>
        <w:rPr>
          <w:rFonts w:cs="Arial"/>
        </w:rPr>
      </w:pPr>
      <w:r w:rsidRPr="009348F6">
        <w:rPr>
          <w:rFonts w:cs="Arial"/>
        </w:rPr>
        <w:t>In the second quarter 2023, 11 638 households were interviewed, i.e. 2</w:t>
      </w:r>
      <w:r w:rsidRPr="009348F6">
        <w:rPr>
          <w:rFonts w:cs="Arial"/>
          <w:lang w:val="sr-Latn-RS"/>
        </w:rPr>
        <w:t>8</w:t>
      </w:r>
      <w:r w:rsidRPr="009348F6">
        <w:rPr>
          <w:rFonts w:cs="Arial"/>
        </w:rPr>
        <w:t xml:space="preserve"> 581 persons aged 15 and over.</w:t>
      </w:r>
    </w:p>
    <w:p w14:paraId="7119E7C3" w14:textId="0977E246" w:rsidR="006D04F3" w:rsidRPr="009348F6" w:rsidRDefault="009348F6">
      <w:pPr>
        <w:spacing w:before="120" w:after="120"/>
        <w:ind w:firstLine="403"/>
        <w:jc w:val="both"/>
        <w:rPr>
          <w:rFonts w:cs="Arial"/>
        </w:rPr>
      </w:pPr>
      <w:r w:rsidRPr="009348F6">
        <w:rPr>
          <w:rFonts w:cs="Arial"/>
        </w:rPr>
        <w:t>Detailed data are available in the tables being part of the statistical release from the Labour Force Survey for the second quarter 2023 (RS10), at:</w:t>
      </w:r>
      <w:r w:rsidRPr="009348F6">
        <w:rPr>
          <w:rFonts w:cs="Arial"/>
          <w:lang w:val="sr-Latn-RS"/>
        </w:rPr>
        <w:t xml:space="preserve"> </w:t>
      </w:r>
      <w:bookmarkStart w:id="3" w:name="_GoBack"/>
      <w:bookmarkEnd w:id="3"/>
      <w:r w:rsidR="00835813">
        <w:rPr>
          <w:rFonts w:cs="Arial"/>
          <w:lang w:val="sr-Latn-RS"/>
        </w:rPr>
        <w:fldChar w:fldCharType="begin"/>
      </w:r>
      <w:r w:rsidR="00835813">
        <w:rPr>
          <w:rFonts w:cs="Arial"/>
          <w:lang w:val="sr-Latn-RS"/>
        </w:rPr>
        <w:instrText xml:space="preserve"> HYPERLINK "</w:instrText>
      </w:r>
      <w:r w:rsidR="00835813" w:rsidRPr="00835813">
        <w:rPr>
          <w:rFonts w:cs="Arial"/>
          <w:lang w:val="sr-Latn-RS"/>
        </w:rPr>
        <w:instrText>http://publikacije.stat.gov.rs/G2023/XlsE/G202231236.xlsx</w:instrText>
      </w:r>
      <w:r w:rsidR="00835813">
        <w:rPr>
          <w:rFonts w:cs="Arial"/>
          <w:lang w:val="sr-Latn-RS"/>
        </w:rPr>
        <w:instrText xml:space="preserve">" </w:instrText>
      </w:r>
      <w:r w:rsidR="00835813">
        <w:rPr>
          <w:rFonts w:cs="Arial"/>
          <w:lang w:val="sr-Latn-RS"/>
        </w:rPr>
        <w:fldChar w:fldCharType="separate"/>
      </w:r>
      <w:r w:rsidR="00835813" w:rsidRPr="00283373">
        <w:rPr>
          <w:rStyle w:val="Hyperlink"/>
          <w:rFonts w:cs="Arial"/>
          <w:lang w:val="sr-Latn-RS"/>
        </w:rPr>
        <w:t>http://publikacije.stat.gov.rs/G2023/XlsE/G202231236.xlsx</w:t>
      </w:r>
      <w:r w:rsidR="00835813">
        <w:rPr>
          <w:rFonts w:cs="Arial"/>
          <w:lang w:val="sr-Latn-RS"/>
        </w:rPr>
        <w:fldChar w:fldCharType="end"/>
      </w:r>
      <w:r w:rsidRPr="009348F6">
        <w:rPr>
          <w:rFonts w:cs="Arial"/>
        </w:rPr>
        <w:t>.</w:t>
      </w:r>
    </w:p>
    <w:p w14:paraId="09DD26E5" w14:textId="77777777" w:rsidR="006D04F3" w:rsidRPr="009348F6" w:rsidRDefault="006D04F3">
      <w:pPr>
        <w:spacing w:before="120" w:after="120"/>
        <w:ind w:firstLine="403"/>
        <w:jc w:val="both"/>
        <w:rPr>
          <w:rFonts w:cs="Arial"/>
        </w:rPr>
      </w:pPr>
    </w:p>
    <w:p w14:paraId="0429C6D5" w14:textId="77777777" w:rsidR="006D04F3" w:rsidRPr="009348F6" w:rsidRDefault="009348F6">
      <w:pPr>
        <w:spacing w:before="120" w:after="120"/>
        <w:ind w:firstLine="403"/>
        <w:jc w:val="both"/>
        <w:rPr>
          <w:rFonts w:cs="Arial"/>
          <w:b/>
        </w:rPr>
      </w:pPr>
      <w:r w:rsidRPr="009348F6">
        <w:rPr>
          <w:rFonts w:cs="Arial"/>
        </w:rPr>
        <w:br w:type="page"/>
      </w:r>
    </w:p>
    <w:p w14:paraId="51BD903A" w14:textId="77777777" w:rsidR="006D04F3" w:rsidRPr="009348F6" w:rsidRDefault="009348F6">
      <w:pPr>
        <w:spacing w:after="160" w:line="259" w:lineRule="auto"/>
        <w:rPr>
          <w:rFonts w:cs="Arial"/>
          <w:color w:val="2E71AC"/>
          <w:sz w:val="22"/>
          <w:szCs w:val="22"/>
        </w:rPr>
      </w:pPr>
      <w:r w:rsidRPr="009348F6">
        <w:rPr>
          <w:rFonts w:cs="Arial"/>
          <w:color w:val="2E71AC"/>
          <w:sz w:val="22"/>
          <w:szCs w:val="22"/>
        </w:rPr>
        <w:lastRenderedPageBreak/>
        <w:t>Methodological notes</w:t>
      </w:r>
    </w:p>
    <w:p w14:paraId="7052D968" w14:textId="77777777" w:rsidR="006D04F3" w:rsidRPr="009348F6" w:rsidRDefault="009348F6">
      <w:pPr>
        <w:spacing w:before="120" w:after="120"/>
        <w:ind w:firstLine="403"/>
        <w:jc w:val="both"/>
        <w:rPr>
          <w:rFonts w:eastAsia="Calibri" w:cs="Arial"/>
        </w:rPr>
      </w:pPr>
      <w:r w:rsidRPr="009348F6">
        <w:rPr>
          <w:rFonts w:eastAsia="Calibri" w:cs="Arial"/>
        </w:rPr>
        <w:t xml:space="preserve">Labour Force Survey (LFS) is the most complex and the only internationally comparable instrument for labour trends monitoring, registering demographic and socio–economic characteristics of population aged 15 and over.  </w:t>
      </w:r>
    </w:p>
    <w:p w14:paraId="356B70E7" w14:textId="77777777" w:rsidR="006D04F3" w:rsidRPr="009348F6" w:rsidRDefault="009348F6">
      <w:pPr>
        <w:spacing w:before="120" w:after="120"/>
        <w:ind w:firstLine="403"/>
        <w:jc w:val="both"/>
        <w:rPr>
          <w:rFonts w:eastAsia="Calibri" w:cs="Arial"/>
        </w:rPr>
      </w:pPr>
      <w:r w:rsidRPr="009348F6">
        <w:rPr>
          <w:rFonts w:eastAsia="Calibri" w:cs="Arial"/>
        </w:rPr>
        <w:t xml:space="preserve">The main aim of the survey is estimating the labour force volume, i.e. employed and unemployed population, where employment relates to work in both formal and informal sector. </w:t>
      </w:r>
    </w:p>
    <w:p w14:paraId="75D72D26" w14:textId="77777777" w:rsidR="006D04F3" w:rsidRPr="009348F6" w:rsidRDefault="009348F6">
      <w:pPr>
        <w:spacing w:before="120" w:after="120"/>
        <w:ind w:firstLine="403"/>
        <w:jc w:val="both"/>
        <w:rPr>
          <w:rFonts w:eastAsia="Calibri" w:cs="Arial"/>
        </w:rPr>
      </w:pPr>
      <w:r w:rsidRPr="009348F6">
        <w:rPr>
          <w:rFonts w:eastAsia="Calibri" w:cs="Arial"/>
        </w:rPr>
        <w:t>Additionally, LFS deals with characteristics of employment (professional status of the employed persons, their activity, occupation, rights realized at work…) and unemployment (acquired education, duration of job seeking, previous working experience…), as well as characteristics of outside the labor force population – their education, age, income source and readiness for involvement in labour market.</w:t>
      </w:r>
    </w:p>
    <w:p w14:paraId="5AEC05D6" w14:textId="77777777" w:rsidR="006D04F3" w:rsidRPr="009348F6" w:rsidRDefault="009348F6">
      <w:pPr>
        <w:spacing w:before="120" w:after="120"/>
        <w:ind w:firstLine="403"/>
        <w:jc w:val="both"/>
        <w:rPr>
          <w:rFonts w:eastAsia="Calibri" w:cs="Arial"/>
        </w:rPr>
      </w:pPr>
      <w:r w:rsidRPr="009348F6">
        <w:rPr>
          <w:rFonts w:eastAsia="Calibri" w:cs="Arial"/>
        </w:rPr>
        <w:t xml:space="preserve">Persons (aged 15-89) who performed at least for one hour paid work (for cash or in kind) in the reference week, as well as persons who had an employment, but were temporarily absent from work in that week, are counted as </w:t>
      </w:r>
      <w:r w:rsidRPr="009348F6">
        <w:rPr>
          <w:rFonts w:eastAsia="Calibri" w:cs="Arial"/>
          <w:b/>
          <w:bCs/>
        </w:rPr>
        <w:t>employed persons</w:t>
      </w:r>
      <w:r w:rsidRPr="009348F6">
        <w:rPr>
          <w:rFonts w:eastAsia="Calibri" w:cs="Arial"/>
        </w:rPr>
        <w:t>.</w:t>
      </w:r>
    </w:p>
    <w:p w14:paraId="2BA8C679" w14:textId="77777777" w:rsidR="006D04F3" w:rsidRPr="009348F6" w:rsidRDefault="009348F6">
      <w:pPr>
        <w:spacing w:before="120" w:after="120"/>
        <w:ind w:firstLine="403"/>
        <w:jc w:val="both"/>
        <w:rPr>
          <w:rFonts w:cs="Arial"/>
        </w:rPr>
      </w:pPr>
      <w:r w:rsidRPr="009348F6">
        <w:rPr>
          <w:rFonts w:cs="Arial"/>
          <w:b/>
          <w:bCs/>
        </w:rPr>
        <w:t xml:space="preserve">Employment rate </w:t>
      </w:r>
      <w:r w:rsidRPr="009348F6">
        <w:rPr>
          <w:rFonts w:cs="Arial"/>
        </w:rPr>
        <w:t>is the percentage share of employed in the total population aged 15 and over.</w:t>
      </w:r>
    </w:p>
    <w:p w14:paraId="04D2E0BC" w14:textId="77777777" w:rsidR="006D04F3" w:rsidRPr="009348F6" w:rsidRDefault="009348F6">
      <w:pPr>
        <w:spacing w:before="120" w:after="120"/>
        <w:ind w:firstLine="403"/>
        <w:jc w:val="both"/>
        <w:rPr>
          <w:rFonts w:cs="Arial"/>
        </w:rPr>
      </w:pPr>
      <w:r w:rsidRPr="009348F6">
        <w:rPr>
          <w:rFonts w:cs="Arial"/>
          <w:b/>
        </w:rPr>
        <w:t>Informal employment</w:t>
      </w:r>
      <w:r w:rsidRPr="009348F6">
        <w:rPr>
          <w:rFonts w:cs="Arial"/>
        </w:rPr>
        <w:t xml:space="preserve"> is considered to be work in unregistered companies, work in registered companies without an employment contract, as well as the work of unpaid family workers.</w:t>
      </w:r>
    </w:p>
    <w:p w14:paraId="2904386E" w14:textId="77777777" w:rsidR="006D04F3" w:rsidRPr="009348F6" w:rsidRDefault="009348F6">
      <w:pPr>
        <w:spacing w:before="120" w:after="120"/>
        <w:ind w:firstLine="403"/>
        <w:jc w:val="both"/>
        <w:rPr>
          <w:rFonts w:cs="Arial"/>
          <w:b/>
          <w:bCs/>
          <w:spacing w:val="-4"/>
        </w:rPr>
      </w:pPr>
      <w:r w:rsidRPr="009348F6">
        <w:rPr>
          <w:rFonts w:cs="Arial"/>
          <w:b/>
          <w:bCs/>
        </w:rPr>
        <w:t>Informal employment rate</w:t>
      </w:r>
      <w:r w:rsidRPr="009348F6">
        <w:rPr>
          <w:rFonts w:cs="Arial"/>
        </w:rPr>
        <w:t xml:space="preserve"> is the percentage share of informally employed in total employment.</w:t>
      </w:r>
    </w:p>
    <w:p w14:paraId="21F5AD47" w14:textId="77777777" w:rsidR="006D04F3" w:rsidRPr="009348F6" w:rsidRDefault="009348F6">
      <w:pPr>
        <w:spacing w:before="120" w:after="120"/>
        <w:ind w:firstLine="403"/>
        <w:jc w:val="both"/>
        <w:rPr>
          <w:rFonts w:cs="Arial"/>
        </w:rPr>
      </w:pPr>
      <w:r w:rsidRPr="009348F6">
        <w:rPr>
          <w:rFonts w:cs="Arial"/>
          <w:b/>
          <w:bCs/>
        </w:rPr>
        <w:t>Unemployed persons</w:t>
      </w:r>
      <w:r w:rsidRPr="009348F6">
        <w:rPr>
          <w:rFonts w:cs="Arial"/>
        </w:rPr>
        <w:t xml:space="preserve"> are the persons who, in the respective week, did no work for remuneration, who undertook active steps to find a job during four-week period preceding the respective week and who were able to start working in two-week time after the referent week.</w:t>
      </w:r>
    </w:p>
    <w:p w14:paraId="6905440C" w14:textId="77777777" w:rsidR="006D04F3" w:rsidRPr="009348F6" w:rsidRDefault="009348F6">
      <w:pPr>
        <w:keepNext/>
        <w:keepLines/>
        <w:spacing w:before="120" w:after="120"/>
        <w:ind w:firstLine="403"/>
        <w:jc w:val="both"/>
        <w:outlineLvl w:val="3"/>
        <w:rPr>
          <w:rFonts w:eastAsiaTheme="majorEastAsia" w:cs="Arial"/>
          <w:iCs/>
        </w:rPr>
      </w:pPr>
      <w:r w:rsidRPr="009348F6">
        <w:rPr>
          <w:rFonts w:eastAsiaTheme="majorEastAsia" w:cs="Arial"/>
          <w:b/>
          <w:bCs/>
          <w:iCs/>
        </w:rPr>
        <w:t xml:space="preserve">Unemployment rate </w:t>
      </w:r>
      <w:r w:rsidRPr="009348F6">
        <w:rPr>
          <w:rFonts w:eastAsiaTheme="majorEastAsia" w:cs="Arial"/>
          <w:iCs/>
        </w:rPr>
        <w:t>presents the percentage share of unemployed population in labour force (employed and unemployed).</w:t>
      </w:r>
    </w:p>
    <w:p w14:paraId="0A10769A" w14:textId="77777777" w:rsidR="006D04F3" w:rsidRPr="009348F6" w:rsidRDefault="009348F6">
      <w:pPr>
        <w:spacing w:before="120" w:after="120"/>
        <w:ind w:firstLine="403"/>
        <w:jc w:val="both"/>
        <w:rPr>
          <w:rFonts w:cs="Arial"/>
        </w:rPr>
      </w:pPr>
      <w:r w:rsidRPr="009348F6">
        <w:rPr>
          <w:rFonts w:cs="Arial"/>
          <w:b/>
          <w:bCs/>
        </w:rPr>
        <w:t>Long-term unemployment rate</w:t>
      </w:r>
      <w:r w:rsidRPr="009348F6">
        <w:rPr>
          <w:rFonts w:cs="Arial"/>
        </w:rPr>
        <w:t xml:space="preserve"> presents the percentage share of the unemployed for one year and more, in labour force (employed and unemployed).</w:t>
      </w:r>
    </w:p>
    <w:p w14:paraId="34A29730" w14:textId="77777777" w:rsidR="006D04F3" w:rsidRPr="009348F6" w:rsidRDefault="009348F6">
      <w:pPr>
        <w:spacing w:before="120" w:after="120"/>
        <w:ind w:firstLine="403"/>
        <w:jc w:val="both"/>
        <w:rPr>
          <w:rFonts w:eastAsia="Calibri" w:cs="Arial"/>
        </w:rPr>
      </w:pPr>
      <w:r w:rsidRPr="009348F6">
        <w:rPr>
          <w:rFonts w:eastAsia="Calibri" w:cs="Arial"/>
          <w:b/>
          <w:bCs/>
        </w:rPr>
        <w:t xml:space="preserve">NEET rate – </w:t>
      </w:r>
      <w:r w:rsidRPr="009348F6">
        <w:rPr>
          <w:rFonts w:eastAsia="Calibri" w:cs="Arial"/>
        </w:rPr>
        <w:t>refers to share of persons aged 15 to 24 (or 15 - 29) neither employed, nor in education, training, in total population of that age.</w:t>
      </w:r>
    </w:p>
    <w:p w14:paraId="5C8ECA7A" w14:textId="77777777" w:rsidR="006D04F3" w:rsidRPr="009348F6" w:rsidRDefault="009348F6">
      <w:pPr>
        <w:spacing w:before="120" w:after="120"/>
        <w:ind w:firstLine="403"/>
        <w:jc w:val="both"/>
        <w:rPr>
          <w:rFonts w:cs="Arial"/>
        </w:rPr>
      </w:pPr>
      <w:r w:rsidRPr="009348F6">
        <w:rPr>
          <w:rFonts w:cs="Arial"/>
          <w:b/>
          <w:bCs/>
        </w:rPr>
        <w:t>Active population</w:t>
      </w:r>
      <w:r w:rsidRPr="009348F6">
        <w:rPr>
          <w:rFonts w:cs="Arial"/>
        </w:rPr>
        <w:t xml:space="preserve"> (</w:t>
      </w:r>
      <w:r w:rsidRPr="009348F6">
        <w:rPr>
          <w:rFonts w:cs="Arial"/>
          <w:b/>
          <w:bCs/>
        </w:rPr>
        <w:t>labour force</w:t>
      </w:r>
      <w:r w:rsidRPr="009348F6">
        <w:rPr>
          <w:rFonts w:cs="Arial"/>
        </w:rPr>
        <w:t>) includes all employed and unemployed persons.</w:t>
      </w:r>
    </w:p>
    <w:p w14:paraId="6CFA9371" w14:textId="77777777" w:rsidR="006D04F3" w:rsidRPr="009348F6" w:rsidRDefault="009348F6">
      <w:pPr>
        <w:keepNext/>
        <w:keepLines/>
        <w:spacing w:before="120" w:after="120"/>
        <w:ind w:firstLine="403"/>
        <w:jc w:val="both"/>
        <w:outlineLvl w:val="3"/>
        <w:rPr>
          <w:rFonts w:eastAsiaTheme="majorEastAsia" w:cs="Arial"/>
          <w:iCs/>
          <w:spacing w:val="-4"/>
        </w:rPr>
      </w:pPr>
      <w:r w:rsidRPr="009348F6">
        <w:rPr>
          <w:rFonts w:eastAsiaTheme="majorEastAsia" w:cs="Arial"/>
          <w:b/>
          <w:bCs/>
          <w:iCs/>
          <w:spacing w:val="-4"/>
        </w:rPr>
        <w:t>Activity rate (share of labour force)</w:t>
      </w:r>
      <w:r w:rsidRPr="009348F6">
        <w:rPr>
          <w:rFonts w:eastAsiaTheme="majorEastAsia" w:cs="Arial"/>
          <w:iCs/>
          <w:spacing w:val="-4"/>
        </w:rPr>
        <w:t xml:space="preserve"> presents the percentage share of active population in the referent population aged 15 and over.</w:t>
      </w:r>
    </w:p>
    <w:p w14:paraId="63F7502F" w14:textId="77777777" w:rsidR="006D04F3" w:rsidRPr="009348F6" w:rsidRDefault="009348F6">
      <w:pPr>
        <w:spacing w:before="120" w:after="120"/>
        <w:ind w:firstLine="403"/>
        <w:jc w:val="both"/>
        <w:rPr>
          <w:rFonts w:cs="Arial"/>
        </w:rPr>
      </w:pPr>
      <w:r w:rsidRPr="009348F6">
        <w:rPr>
          <w:rFonts w:cs="Arial"/>
          <w:b/>
          <w:bCs/>
        </w:rPr>
        <w:t>Outside the labour force population</w:t>
      </w:r>
      <w:r w:rsidRPr="009348F6">
        <w:rPr>
          <w:rFonts w:cs="Arial"/>
        </w:rPr>
        <w:t xml:space="preserve"> includes all persons in the observed population (aged 15 and over) who are not classified in employed and unemployed population. Out of the labour force population comprises students, pensioners, persons performing household tasks, as well as all other persons who performed no paid job in the observed week, did not actively seek a job and who were not able to start working in two-week time after the observed week.</w:t>
      </w:r>
    </w:p>
    <w:p w14:paraId="21CBF7EA" w14:textId="77777777" w:rsidR="006D04F3" w:rsidRPr="009348F6" w:rsidRDefault="009348F6">
      <w:pPr>
        <w:keepNext/>
        <w:keepLines/>
        <w:spacing w:before="120" w:after="120"/>
        <w:ind w:firstLine="403"/>
        <w:jc w:val="both"/>
        <w:outlineLvl w:val="0"/>
        <w:rPr>
          <w:rFonts w:cs="Arial"/>
          <w:i/>
          <w:iCs/>
        </w:rPr>
      </w:pPr>
      <w:r w:rsidRPr="009348F6">
        <w:rPr>
          <w:rFonts w:cs="Arial"/>
          <w:b/>
          <w:bCs/>
        </w:rPr>
        <w:t xml:space="preserve">Outside the labour force rate </w:t>
      </w:r>
      <w:r w:rsidRPr="009348F6">
        <w:rPr>
          <w:rFonts w:cs="Arial"/>
        </w:rPr>
        <w:t>presents the percentage share of outside the labor force  population in total referent population aged 15 and over.</w:t>
      </w:r>
    </w:p>
    <w:p w14:paraId="28F28182" w14:textId="77777777" w:rsidR="006D04F3" w:rsidRPr="009348F6" w:rsidRDefault="009348F6">
      <w:pPr>
        <w:spacing w:before="120" w:after="120"/>
        <w:ind w:firstLine="403"/>
        <w:rPr>
          <w:rFonts w:cs="Arial"/>
          <w:color w:val="2E71AC"/>
        </w:rPr>
      </w:pPr>
      <w:r w:rsidRPr="009348F6">
        <w:rPr>
          <w:rFonts w:cs="Arial"/>
        </w:rPr>
        <w:t xml:space="preserve">More detailed description of the Survey methodology can be found at the link </w:t>
      </w:r>
      <w:r w:rsidRPr="009348F6">
        <w:rPr>
          <w:rFonts w:cs="Arial"/>
          <w:color w:val="2E71AC"/>
        </w:rPr>
        <w:t>https://data.stat.gov.rs/Metadata/24_Zarade/Html/240003_ESMS_G0_2021_3.html</w:t>
      </w:r>
    </w:p>
    <w:p w14:paraId="7A5F2639" w14:textId="77777777" w:rsidR="006D04F3" w:rsidRPr="009348F6" w:rsidRDefault="006D04F3">
      <w:pPr>
        <w:spacing w:before="120" w:after="120" w:line="264" w:lineRule="auto"/>
        <w:ind w:firstLine="403"/>
        <w:jc w:val="both"/>
        <w:rPr>
          <w:rFonts w:cs="Arial"/>
        </w:rPr>
      </w:pPr>
    </w:p>
    <w:p w14:paraId="2F4A5C48" w14:textId="77777777" w:rsidR="006D04F3" w:rsidRPr="009348F6" w:rsidRDefault="009348F6">
      <w:pPr>
        <w:spacing w:before="120" w:after="120" w:line="264" w:lineRule="auto"/>
        <w:ind w:firstLine="403"/>
        <w:jc w:val="both"/>
        <w:rPr>
          <w:rFonts w:cs="Arial"/>
          <w:sz w:val="18"/>
          <w:szCs w:val="18"/>
        </w:rPr>
      </w:pPr>
      <w:r w:rsidRPr="009348F6">
        <w:rPr>
          <w:rFonts w:cs="Arial"/>
        </w:rPr>
        <w:t xml:space="preserve">Starting from 1999 the Statistical Office of the Republic of Serbia has not at disposal and may not provide available certain data relative to AP Kosovo and Metohija and therefore these data are not included in the coverage for the Republic of Serbia (total). </w:t>
      </w:r>
    </w:p>
    <w:p w14:paraId="52C30E7F" w14:textId="77777777" w:rsidR="006D04F3" w:rsidRPr="009348F6" w:rsidRDefault="006D04F3">
      <w:pPr>
        <w:ind w:left="1416" w:firstLine="708"/>
        <w:rPr>
          <w:rFonts w:cs="Arial"/>
          <w:sz w:val="18"/>
          <w:szCs w:val="18"/>
        </w:rPr>
      </w:pPr>
    </w:p>
    <w:p w14:paraId="200FFDE6" w14:textId="77777777" w:rsidR="006D04F3" w:rsidRPr="009348F6" w:rsidRDefault="006D04F3">
      <w:pPr>
        <w:ind w:left="1416" w:firstLine="708"/>
        <w:rPr>
          <w:rFonts w:cs="Arial"/>
          <w:sz w:val="18"/>
          <w:szCs w:val="18"/>
        </w:rPr>
      </w:pPr>
    </w:p>
    <w:p w14:paraId="208C1947" w14:textId="77777777" w:rsidR="006D04F3" w:rsidRPr="009348F6" w:rsidRDefault="006D04F3">
      <w:pPr>
        <w:ind w:left="1416" w:firstLine="708"/>
        <w:rPr>
          <w:rFonts w:cs="Arial"/>
          <w:sz w:val="18"/>
          <w:szCs w:val="18"/>
        </w:rPr>
      </w:pPr>
    </w:p>
    <w:p w14:paraId="39B27F87" w14:textId="77777777" w:rsidR="006D04F3" w:rsidRPr="009348F6" w:rsidRDefault="006D04F3">
      <w:pPr>
        <w:ind w:left="1416" w:firstLine="708"/>
        <w:rPr>
          <w:rFonts w:cs="Arial"/>
          <w:sz w:val="18"/>
          <w:szCs w:val="18"/>
        </w:rPr>
      </w:pPr>
    </w:p>
    <w:p w14:paraId="0FD32381" w14:textId="77777777" w:rsidR="006D04F3" w:rsidRPr="009348F6" w:rsidRDefault="006D04F3">
      <w:pPr>
        <w:ind w:left="1416" w:firstLine="708"/>
        <w:rPr>
          <w:rFonts w:cs="Arial"/>
          <w:sz w:val="18"/>
          <w:szCs w:val="18"/>
        </w:rPr>
      </w:pPr>
    </w:p>
    <w:p w14:paraId="3205CDF4" w14:textId="78233BDA" w:rsidR="006D04F3" w:rsidRPr="009348F6" w:rsidRDefault="00DD751B">
      <w:pPr>
        <w:ind w:left="1416" w:firstLine="708"/>
        <w:rPr>
          <w:rFonts w:cs="Arial"/>
          <w:sz w:val="18"/>
          <w:szCs w:val="18"/>
        </w:rPr>
      </w:pPr>
      <w:r>
        <w:rPr>
          <w:rFonts w:cs="Arial"/>
          <w:noProof/>
        </w:rPr>
        <w:pict w14:anchorId="61B652A1">
          <v:line id="Straight Connector 8" o:spid="_x0000_s1026" style="position:absolute;left:0;text-align:left;z-index:3;visibility:visible;mso-wrap-style:square;mso-wrap-distance-left:.5pt;mso-wrap-distance-top:.55pt;mso-wrap-distance-right:.5pt;mso-wrap-distance-bottom:.55pt;mso-position-horizontal:absolute;mso-position-horizontal-relative:text;mso-position-vertical:absolute;mso-position-vertical-relative:text" from="1.7pt,5.45pt" to="508.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" strokecolor="#7f7f7f" strokeweight=".35mm"/>
        </w:pict>
      </w:r>
    </w:p>
    <w:p w14:paraId="23BAC510" w14:textId="77777777" w:rsidR="006D04F3" w:rsidRPr="009348F6" w:rsidRDefault="009348F6">
      <w:pPr>
        <w:ind w:left="1416" w:firstLine="708"/>
        <w:rPr>
          <w:rFonts w:cs="Arial"/>
          <w:sz w:val="18"/>
          <w:szCs w:val="18"/>
        </w:rPr>
      </w:pPr>
      <w:r w:rsidRPr="009348F6">
        <w:rPr>
          <w:rFonts w:cs="Arial"/>
          <w:sz w:val="18"/>
          <w:szCs w:val="18"/>
        </w:rPr>
        <w:t xml:space="preserve">Contact: </w:t>
      </w:r>
      <w:hyperlink r:id="rId10">
        <w:r w:rsidRPr="009348F6">
          <w:rPr>
            <w:rFonts w:cs="Arial"/>
            <w:sz w:val="18"/>
            <w:szCs w:val="18"/>
          </w:rPr>
          <w:t>ars@stat.gov.rs</w:t>
        </w:r>
      </w:hyperlink>
      <w:r w:rsidRPr="009348F6">
        <w:rPr>
          <w:rStyle w:val="Hyperlink"/>
          <w:rFonts w:eastAsia="Calibri" w:cs="Arial"/>
          <w:sz w:val="18"/>
          <w:szCs w:val="18"/>
        </w:rPr>
        <w:t>,</w:t>
      </w:r>
      <w:r w:rsidRPr="009348F6">
        <w:rPr>
          <w:rFonts w:cs="Arial"/>
          <w:sz w:val="18"/>
          <w:szCs w:val="18"/>
        </w:rPr>
        <w:t xml:space="preserve"> Phone: +381 11 2412 922, ext. 372</w:t>
      </w:r>
    </w:p>
    <w:p w14:paraId="4F26ABDC" w14:textId="77777777" w:rsidR="006D04F3" w:rsidRPr="009348F6" w:rsidRDefault="009348F6">
      <w:pPr>
        <w:jc w:val="center"/>
        <w:rPr>
          <w:rFonts w:cs="Arial"/>
          <w:iCs/>
          <w:sz w:val="18"/>
          <w:szCs w:val="18"/>
        </w:rPr>
      </w:pPr>
      <w:r w:rsidRPr="009348F6">
        <w:rPr>
          <w:rFonts w:cs="Arial"/>
          <w:iCs/>
          <w:sz w:val="18"/>
          <w:szCs w:val="18"/>
        </w:rPr>
        <w:t>Published and printed by: Statistical Office of the Republic of Serbia, 11 050 Belgrade, MilanaRakica 5</w:t>
      </w:r>
    </w:p>
    <w:p w14:paraId="199C07D7" w14:textId="77777777" w:rsidR="006D04F3" w:rsidRPr="009348F6" w:rsidRDefault="009348F6">
      <w:pPr>
        <w:jc w:val="center"/>
        <w:rPr>
          <w:rFonts w:cs="Arial"/>
          <w:iCs/>
          <w:sz w:val="18"/>
          <w:szCs w:val="18"/>
        </w:rPr>
      </w:pPr>
      <w:r w:rsidRPr="009348F6">
        <w:rPr>
          <w:rFonts w:cs="Arial"/>
          <w:iCs/>
          <w:sz w:val="18"/>
          <w:szCs w:val="18"/>
        </w:rPr>
        <w:t xml:space="preserve">Phone: +381 11 2412922 </w:t>
      </w:r>
      <w:r w:rsidRPr="009348F6">
        <w:rPr>
          <w:rFonts w:cs="Arial"/>
          <w:sz w:val="18"/>
          <w:szCs w:val="18"/>
        </w:rPr>
        <w:t xml:space="preserve">(telephone exchange) </w:t>
      </w:r>
      <w:r w:rsidRPr="009348F6">
        <w:rPr>
          <w:rFonts w:cs="Arial"/>
          <w:iCs/>
          <w:sz w:val="18"/>
          <w:szCs w:val="18"/>
        </w:rPr>
        <w:t xml:space="preserve">● Fax: +381 11 2411260 ● stat.gov.rs  </w:t>
      </w:r>
    </w:p>
    <w:p w14:paraId="11E592AF" w14:textId="77777777" w:rsidR="006D04F3" w:rsidRPr="009348F6" w:rsidRDefault="009348F6">
      <w:pPr>
        <w:jc w:val="center"/>
        <w:rPr>
          <w:rFonts w:cs="Arial"/>
          <w:iCs/>
          <w:sz w:val="18"/>
          <w:szCs w:val="18"/>
        </w:rPr>
      </w:pPr>
      <w:r w:rsidRPr="009348F6">
        <w:rPr>
          <w:rFonts w:cs="Arial"/>
          <w:iCs/>
          <w:sz w:val="18"/>
          <w:szCs w:val="18"/>
        </w:rPr>
        <w:t>Responsible: Dr Miladin Kovačević, Director</w:t>
      </w:r>
    </w:p>
    <w:p w14:paraId="2F38F34E" w14:textId="77777777" w:rsidR="006D04F3" w:rsidRPr="009348F6" w:rsidRDefault="009348F6">
      <w:pPr>
        <w:spacing w:after="60"/>
        <w:jc w:val="center"/>
        <w:rPr>
          <w:rFonts w:cs="Arial"/>
          <w:sz w:val="18"/>
          <w:szCs w:val="18"/>
        </w:rPr>
      </w:pPr>
      <w:r w:rsidRPr="009348F6">
        <w:rPr>
          <w:rFonts w:cs="Arial"/>
          <w:sz w:val="18"/>
          <w:szCs w:val="18"/>
        </w:rPr>
        <w:t>Circulation: 20 • Periodicity: quarterly</w:t>
      </w:r>
    </w:p>
    <w:p w14:paraId="36DAC5DD" w14:textId="77777777" w:rsidR="006D04F3" w:rsidRPr="009348F6" w:rsidRDefault="006D04F3">
      <w:pPr>
        <w:spacing w:before="120" w:after="120" w:line="264" w:lineRule="auto"/>
        <w:ind w:firstLine="397"/>
        <w:jc w:val="both"/>
        <w:rPr>
          <w:rFonts w:cs="Arial"/>
        </w:rPr>
      </w:pPr>
    </w:p>
    <w:sectPr w:rsidR="006D04F3" w:rsidRPr="009348F6">
      <w:footerReference w:type="even" r:id="rId11"/>
      <w:footerReference w:type="default" r:id="rId12"/>
      <w:pgSz w:w="11906" w:h="16838"/>
      <w:pgMar w:top="907" w:right="851" w:bottom="907" w:left="851" w:header="0"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1FFB4" w14:textId="77777777" w:rsidR="00DD751B" w:rsidRDefault="00DD751B">
      <w:r>
        <w:separator/>
      </w:r>
    </w:p>
  </w:endnote>
  <w:endnote w:type="continuationSeparator" w:id="0">
    <w:p w14:paraId="475F61EF" w14:textId="77777777" w:rsidR="00DD751B" w:rsidRDefault="00DD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Times">
    <w:panose1 w:val="02020603050405020304"/>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C3605" w14:textId="10000B67" w:rsidR="006D04F3" w:rsidRDefault="009348F6">
    <w:pPr>
      <w:pStyle w:val="Footer"/>
      <w:pBdr>
        <w:top w:val="single" w:sz="4" w:space="1" w:color="000000"/>
      </w:pBdr>
      <w:spacing w:before="120"/>
      <w:rPr>
        <w:rFonts w:ascii="Arial" w:hAnsi="Arial" w:cs="Arial"/>
        <w:sz w:val="16"/>
        <w:szCs w:val="16"/>
        <w:lang w:val="sr-Latn-RS"/>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835813">
      <w:rPr>
        <w:rFonts w:ascii="Arial" w:hAnsi="Arial" w:cs="Arial"/>
        <w:noProof/>
        <w:sz w:val="16"/>
        <w:szCs w:val="16"/>
      </w:rPr>
      <w:t>4</w:t>
    </w:r>
    <w:r>
      <w:rPr>
        <w:rFonts w:ascii="Arial" w:hAnsi="Arial" w:cs="Arial"/>
        <w:sz w:val="16"/>
        <w:szCs w:val="16"/>
      </w:rPr>
      <w:fldChar w:fldCharType="end"/>
    </w:r>
    <w:r>
      <w:rPr>
        <w:rFonts w:ascii="Arial" w:eastAsia="Times New Roman" w:hAnsi="Arial" w:cs="Arial"/>
        <w:sz w:val="16"/>
        <w:szCs w:val="16"/>
      </w:rPr>
      <w:t xml:space="preserve">                                                                                                                                                                                               СРБ</w:t>
    </w:r>
    <w:r>
      <w:rPr>
        <w:rFonts w:ascii="Arial" w:eastAsia="Times New Roman" w:hAnsi="Arial" w:cs="Arial"/>
        <w:sz w:val="16"/>
        <w:szCs w:val="16"/>
        <w:lang w:val="sr-Latn-RS"/>
      </w:rPr>
      <w:t>236</w:t>
    </w:r>
    <w:r>
      <w:rPr>
        <w:rFonts w:ascii="Arial" w:eastAsia="Times New Roman" w:hAnsi="Arial" w:cs="Arial"/>
        <w:sz w:val="16"/>
        <w:szCs w:val="16"/>
      </w:rPr>
      <w:t xml:space="preserve"> РС10 </w:t>
    </w:r>
    <w:r>
      <w:rPr>
        <w:rFonts w:ascii="Arial" w:eastAsia="Times New Roman" w:hAnsi="Arial" w:cs="Arial"/>
        <w:sz w:val="16"/>
        <w:szCs w:val="16"/>
        <w:lang w:val="sr-Latn-RS"/>
      </w:rPr>
      <w:t>310823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69A3D" w14:textId="78B99016" w:rsidR="006D04F3" w:rsidRDefault="009348F6">
    <w:pPr>
      <w:pStyle w:val="Footer"/>
      <w:pBdr>
        <w:top w:val="single" w:sz="4" w:space="1" w:color="000000"/>
      </w:pBdr>
      <w:spacing w:before="120"/>
      <w:rPr>
        <w:rFonts w:ascii="Arial" w:hAnsi="Arial" w:cs="Arial"/>
        <w:sz w:val="16"/>
        <w:szCs w:val="16"/>
      </w:rPr>
    </w:pPr>
    <w:r>
      <w:rPr>
        <w:rFonts w:ascii="Arial" w:eastAsia="Times New Roman" w:hAnsi="Arial" w:cs="Arial"/>
        <w:sz w:val="16"/>
        <w:szCs w:val="16"/>
      </w:rPr>
      <w:t>СРБ</w:t>
    </w:r>
    <w:r>
      <w:rPr>
        <w:rFonts w:ascii="Arial" w:eastAsia="Times New Roman" w:hAnsi="Arial" w:cs="Arial"/>
        <w:sz w:val="16"/>
        <w:szCs w:val="16"/>
        <w:lang w:val="sr-Latn-RS"/>
      </w:rPr>
      <w:t>236</w:t>
    </w:r>
    <w:r>
      <w:rPr>
        <w:rFonts w:ascii="Arial" w:eastAsia="Times New Roman" w:hAnsi="Arial" w:cs="Arial"/>
        <w:sz w:val="16"/>
        <w:szCs w:val="16"/>
      </w:rPr>
      <w:t xml:space="preserve"> РС10 310</w:t>
    </w:r>
    <w:r>
      <w:rPr>
        <w:rFonts w:ascii="Arial" w:eastAsia="Times New Roman" w:hAnsi="Arial" w:cs="Arial"/>
        <w:sz w:val="16"/>
        <w:szCs w:val="16"/>
        <w:lang w:val="sr-Latn-RS"/>
      </w:rPr>
      <w:t>8</w:t>
    </w:r>
    <w:r>
      <w:rPr>
        <w:rFonts w:ascii="Arial" w:eastAsia="Times New Roman" w:hAnsi="Arial" w:cs="Arial"/>
        <w:sz w:val="16"/>
        <w:szCs w:val="16"/>
      </w:rPr>
      <w:t>2</w:t>
    </w:r>
    <w:r>
      <w:rPr>
        <w:rFonts w:ascii="Arial" w:eastAsia="Times New Roman" w:hAnsi="Arial" w:cs="Arial"/>
        <w:sz w:val="16"/>
        <w:szCs w:val="16"/>
        <w:lang w:val="sr-Latn-RS"/>
      </w:rPr>
      <w:t>3</w:t>
    </w:r>
    <w:r>
      <w:rPr>
        <w:rFonts w:ascii="Arial" w:eastAsia="Times New Roman" w:hAnsi="Arial" w:cs="Arial"/>
        <w:sz w:val="16"/>
        <w:szCs w:val="16"/>
      </w:rPr>
      <w:t xml:space="preserve">                                                                                                                                                                              </w:t>
    </w:r>
    <w:r>
      <w:rPr>
        <w:rFonts w:ascii="Arial" w:eastAsia="Times New Roman" w:hAnsi="Arial" w:cs="Arial"/>
        <w:sz w:val="16"/>
        <w:szCs w:val="16"/>
        <w:lang w:val="sr-Latn-RS"/>
      </w:rPr>
      <w:t xml:space="preserve">    </w:t>
    </w:r>
    <w:r>
      <w:rPr>
        <w:rFonts w:ascii="Arial" w:eastAsia="Times New Roman"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835813">
      <w:rPr>
        <w:rFonts w:ascii="Arial" w:hAnsi="Arial" w:cs="Arial"/>
        <w:noProof/>
        <w:sz w:val="16"/>
        <w:szCs w:val="16"/>
      </w:rPr>
      <w:t>3</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1BF61" w14:textId="77777777" w:rsidR="00DD751B" w:rsidRDefault="00DD751B">
      <w:r>
        <w:separator/>
      </w:r>
    </w:p>
  </w:footnote>
  <w:footnote w:type="continuationSeparator" w:id="0">
    <w:p w14:paraId="19CD66E3" w14:textId="77777777" w:rsidR="00DD751B" w:rsidRDefault="00DD75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6D04F3"/>
    <w:rsid w:val="00036BF6"/>
    <w:rsid w:val="000816EF"/>
    <w:rsid w:val="000874AD"/>
    <w:rsid w:val="00316006"/>
    <w:rsid w:val="003369EB"/>
    <w:rsid w:val="006D04F3"/>
    <w:rsid w:val="00835813"/>
    <w:rsid w:val="00837B42"/>
    <w:rsid w:val="009348F6"/>
    <w:rsid w:val="009718A8"/>
    <w:rsid w:val="00B166E2"/>
    <w:rsid w:val="00BB2BAE"/>
    <w:rsid w:val="00DD751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C1D64C3"/>
  <w15:docId w15:val="{2C1F3F88-388F-4105-B51D-84539A80D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F7"/>
    <w:rPr>
      <w:rFonts w:ascii="Arial" w:eastAsia="Times New Roman" w:hAnsi="Arial" w:cs="Times New Roman"/>
      <w:sz w:val="20"/>
      <w:szCs w:val="20"/>
    </w:rPr>
  </w:style>
  <w:style w:type="paragraph" w:styleId="Heading1">
    <w:name w:val="heading 1"/>
    <w:basedOn w:val="Normal"/>
    <w:next w:val="Normal"/>
    <w:link w:val="Heading1Char"/>
    <w:uiPriority w:val="9"/>
    <w:qFormat/>
    <w:rsid w:val="008F1FDB"/>
    <w:pPr>
      <w:keepNext/>
      <w:keepLines/>
      <w:spacing w:before="480" w:line="276" w:lineRule="auto"/>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F1FDB"/>
    <w:rPr>
      <w:rFonts w:ascii="Cambria" w:eastAsia="Times New Roman" w:hAnsi="Cambria" w:cs="Times New Roman"/>
      <w:b/>
      <w:bCs/>
      <w:color w:val="365F91"/>
      <w:sz w:val="28"/>
      <w:szCs w:val="28"/>
    </w:rPr>
  </w:style>
  <w:style w:type="character" w:customStyle="1" w:styleId="PlainTextChar">
    <w:name w:val="Plain Text Char"/>
    <w:basedOn w:val="DefaultParagraphFont"/>
    <w:link w:val="PlainText"/>
    <w:uiPriority w:val="99"/>
    <w:qFormat/>
    <w:rsid w:val="008F1FDB"/>
    <w:rPr>
      <w:rFonts w:ascii="Calibri" w:eastAsia="Calibri" w:hAnsi="Calibri" w:cs="Times New Roman"/>
      <w:lang w:val="x-none" w:eastAsia="x-none"/>
    </w:rPr>
  </w:style>
  <w:style w:type="character" w:customStyle="1" w:styleId="FootnoteTextChar">
    <w:name w:val="Footnote Text Char"/>
    <w:basedOn w:val="DefaultParagraphFont"/>
    <w:link w:val="FootnoteText"/>
    <w:uiPriority w:val="99"/>
    <w:qFormat/>
    <w:rsid w:val="008F1FDB"/>
    <w:rPr>
      <w:rFonts w:ascii="Calibri" w:eastAsia="Calibri" w:hAnsi="Calibri" w:cs="Times New Roman"/>
      <w:sz w:val="20"/>
      <w:szCs w:val="20"/>
    </w:rPr>
  </w:style>
  <w:style w:type="character" w:customStyle="1" w:styleId="a">
    <w:name w:val="Знакови фусноте"/>
    <w:uiPriority w:val="99"/>
    <w:unhideWhenUsed/>
    <w:qFormat/>
    <w:rsid w:val="008F1FDB"/>
    <w:rPr>
      <w:vertAlign w:val="superscript"/>
    </w:rPr>
  </w:style>
  <w:style w:type="character" w:styleId="FootnoteReference">
    <w:name w:val="footnote reference"/>
    <w:rPr>
      <w:vertAlign w:val="superscript"/>
    </w:rPr>
  </w:style>
  <w:style w:type="character" w:customStyle="1" w:styleId="BalloonTextChar">
    <w:name w:val="Balloon Text Char"/>
    <w:basedOn w:val="DefaultParagraphFont"/>
    <w:link w:val="BalloonText"/>
    <w:uiPriority w:val="99"/>
    <w:semiHidden/>
    <w:qFormat/>
    <w:rsid w:val="008F1FDB"/>
    <w:rPr>
      <w:rFonts w:ascii="Tahoma" w:eastAsia="Calibri" w:hAnsi="Tahoma" w:cs="Tahoma"/>
      <w:sz w:val="16"/>
      <w:szCs w:val="16"/>
    </w:rPr>
  </w:style>
  <w:style w:type="character" w:customStyle="1" w:styleId="HeaderChar">
    <w:name w:val="Header Char"/>
    <w:basedOn w:val="DefaultParagraphFont"/>
    <w:link w:val="Header"/>
    <w:uiPriority w:val="99"/>
    <w:qFormat/>
    <w:rsid w:val="008F1FDB"/>
    <w:rPr>
      <w:rFonts w:ascii="Calibri" w:eastAsia="Calibri" w:hAnsi="Calibri" w:cs="Times New Roman"/>
    </w:rPr>
  </w:style>
  <w:style w:type="character" w:customStyle="1" w:styleId="FooterChar">
    <w:name w:val="Footer Char"/>
    <w:basedOn w:val="DefaultParagraphFont"/>
    <w:link w:val="Footer"/>
    <w:uiPriority w:val="99"/>
    <w:qFormat/>
    <w:rsid w:val="008F1FDB"/>
    <w:rPr>
      <w:rFonts w:ascii="Calibri" w:eastAsia="Calibri" w:hAnsi="Calibri" w:cs="Times New Roman"/>
    </w:rPr>
  </w:style>
  <w:style w:type="character" w:styleId="Hyperlink">
    <w:name w:val="Hyperlink"/>
    <w:qFormat/>
    <w:rsid w:val="008F1FDB"/>
    <w:rPr>
      <w:color w:val="0000FF"/>
      <w:u w:val="single"/>
    </w:rPr>
  </w:style>
  <w:style w:type="character" w:customStyle="1" w:styleId="EndnoteTextChar">
    <w:name w:val="Endnote Text Char"/>
    <w:basedOn w:val="DefaultParagraphFont"/>
    <w:link w:val="EndnoteText"/>
    <w:uiPriority w:val="99"/>
    <w:semiHidden/>
    <w:qFormat/>
    <w:rsid w:val="008F1FDB"/>
    <w:rPr>
      <w:rFonts w:ascii="Calibri" w:eastAsia="Calibri" w:hAnsi="Calibri" w:cs="Times New Roman"/>
      <w:sz w:val="20"/>
      <w:szCs w:val="20"/>
    </w:rPr>
  </w:style>
  <w:style w:type="character" w:customStyle="1" w:styleId="a0">
    <w:name w:val="Знаци ендноте"/>
    <w:uiPriority w:val="99"/>
    <w:semiHidden/>
    <w:unhideWhenUsed/>
    <w:qFormat/>
    <w:rsid w:val="008F1FDB"/>
    <w:rPr>
      <w:vertAlign w:val="superscript"/>
    </w:rPr>
  </w:style>
  <w:style w:type="character" w:styleId="EndnoteReference">
    <w:name w:val="endnote reference"/>
    <w:rPr>
      <w:vertAlign w:val="superscript"/>
    </w:rPr>
  </w:style>
  <w:style w:type="character" w:styleId="CommentReference">
    <w:name w:val="annotation reference"/>
    <w:unhideWhenUsed/>
    <w:qFormat/>
    <w:rsid w:val="008F1FDB"/>
    <w:rPr>
      <w:sz w:val="16"/>
      <w:szCs w:val="16"/>
    </w:rPr>
  </w:style>
  <w:style w:type="character" w:customStyle="1" w:styleId="CommentTextChar">
    <w:name w:val="Comment Text Char"/>
    <w:basedOn w:val="DefaultParagraphFont"/>
    <w:link w:val="CommentText"/>
    <w:qFormat/>
    <w:rsid w:val="008F1FDB"/>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qFormat/>
    <w:rsid w:val="008F1FDB"/>
    <w:rPr>
      <w:rFonts w:ascii="Calibri" w:eastAsia="Calibri" w:hAnsi="Calibri" w:cs="Times New Roman"/>
      <w:b/>
      <w:bCs/>
      <w:sz w:val="20"/>
      <w:szCs w:val="20"/>
    </w:rPr>
  </w:style>
  <w:style w:type="character" w:styleId="IntenseEmphasis">
    <w:name w:val="Intense Emphasis"/>
    <w:uiPriority w:val="21"/>
    <w:qFormat/>
    <w:rsid w:val="00DD30B9"/>
    <w:rPr>
      <w:i/>
      <w:iCs/>
      <w:color w:val="5B9BD5"/>
    </w:rPr>
  </w:style>
  <w:style w:type="character" w:styleId="IntenseReference">
    <w:name w:val="Intense Reference"/>
    <w:uiPriority w:val="32"/>
    <w:qFormat/>
    <w:rsid w:val="00E263C3"/>
    <w:rPr>
      <w:b/>
      <w:bCs/>
      <w:smallCaps/>
      <w:color w:val="5B9BD5"/>
      <w:spacing w:val="5"/>
    </w:rPr>
  </w:style>
  <w:style w:type="character" w:styleId="FollowedHyperlink">
    <w:name w:val="FollowedHyperlink"/>
    <w:basedOn w:val="DefaultParagraphFont"/>
    <w:uiPriority w:val="99"/>
    <w:semiHidden/>
    <w:unhideWhenUsed/>
    <w:rsid w:val="00227336"/>
    <w:rPr>
      <w:color w:val="954F72" w:themeColor="followedHyperlink"/>
      <w:u w:val="single"/>
    </w:rPr>
  </w:style>
  <w:style w:type="character" w:customStyle="1" w:styleId="IntenseEmphasis1">
    <w:name w:val="Intense Emphasis1"/>
    <w:uiPriority w:val="21"/>
    <w:qFormat/>
    <w:rsid w:val="00D019F6"/>
    <w:rPr>
      <w:i/>
      <w:iCs/>
      <w:color w:val="5B9BD5"/>
    </w:rPr>
  </w:style>
  <w:style w:type="paragraph" w:customStyle="1" w:styleId="a1">
    <w:name w:val="Насловљавање"/>
    <w:basedOn w:val="Normal"/>
    <w:next w:val="BodyText"/>
    <w:qFormat/>
    <w:pPr>
      <w:keepNext/>
      <w:spacing w:before="240" w:after="120"/>
    </w:pPr>
    <w:rPr>
      <w:rFonts w:ascii="Liberation Sans" w:eastAsia="Noto Sans CJK SC"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a2">
    <w:name w:val="Попис"/>
    <w:basedOn w:val="Normal"/>
    <w:qFormat/>
    <w:pPr>
      <w:suppressLineNumbers/>
    </w:pPr>
    <w:rPr>
      <w:rFonts w:cs="FreeSans"/>
    </w:rPr>
  </w:style>
  <w:style w:type="paragraph" w:customStyle="1" w:styleId="caption1">
    <w:name w:val="caption1"/>
    <w:basedOn w:val="Normal"/>
    <w:qFormat/>
    <w:pPr>
      <w:suppressLineNumbers/>
      <w:spacing w:before="120" w:after="120"/>
    </w:pPr>
    <w:rPr>
      <w:rFonts w:cs="FreeSans"/>
      <w:i/>
      <w:iCs/>
      <w:sz w:val="24"/>
      <w:szCs w:val="24"/>
    </w:rPr>
  </w:style>
  <w:style w:type="paragraph" w:styleId="PlainText">
    <w:name w:val="Plain Text"/>
    <w:basedOn w:val="Normal"/>
    <w:link w:val="PlainTextChar"/>
    <w:uiPriority w:val="99"/>
    <w:unhideWhenUsed/>
    <w:qFormat/>
    <w:rsid w:val="008F1FDB"/>
    <w:rPr>
      <w:rFonts w:ascii="Calibri" w:eastAsia="Calibri" w:hAnsi="Calibri"/>
      <w:sz w:val="22"/>
      <w:szCs w:val="22"/>
      <w:lang w:val="x-none" w:eastAsia="x-none"/>
    </w:rPr>
  </w:style>
  <w:style w:type="paragraph" w:styleId="ListParagraph">
    <w:name w:val="List Paragraph"/>
    <w:basedOn w:val="Normal"/>
    <w:uiPriority w:val="34"/>
    <w:qFormat/>
    <w:rsid w:val="008F1FDB"/>
    <w:pPr>
      <w:ind w:left="720"/>
      <w:contextualSpacing/>
    </w:pPr>
    <w:rPr>
      <w:rFonts w:ascii="Calibri" w:eastAsia="Calibri" w:hAnsi="Calibri"/>
      <w:sz w:val="24"/>
      <w:szCs w:val="24"/>
    </w:rPr>
  </w:style>
  <w:style w:type="paragraph" w:customStyle="1" w:styleId="Default">
    <w:name w:val="Default"/>
    <w:qFormat/>
    <w:rsid w:val="008F1FDB"/>
    <w:pPr>
      <w:widowControl w:val="0"/>
    </w:pPr>
    <w:rPr>
      <w:rFonts w:ascii="Times New Roman" w:eastAsia="Calibri" w:hAnsi="Times New Roman" w:cs="Times New Roman"/>
      <w:color w:val="000000"/>
      <w:sz w:val="24"/>
      <w:szCs w:val="24"/>
    </w:rPr>
  </w:style>
  <w:style w:type="paragraph" w:styleId="NormalWeb">
    <w:name w:val="Normal (Web)"/>
    <w:basedOn w:val="Normal"/>
    <w:uiPriority w:val="99"/>
    <w:qFormat/>
    <w:rsid w:val="008F1FDB"/>
    <w:rPr>
      <w:rFonts w:ascii="Times" w:eastAsia="Calibri" w:hAnsi="Times"/>
    </w:rPr>
  </w:style>
  <w:style w:type="paragraph" w:styleId="FootnoteText">
    <w:name w:val="footnote text"/>
    <w:basedOn w:val="Normal"/>
    <w:link w:val="FootnoteTextChar"/>
    <w:uiPriority w:val="99"/>
    <w:unhideWhenUsed/>
    <w:rsid w:val="008F1FDB"/>
    <w:rPr>
      <w:rFonts w:ascii="Calibri" w:eastAsia="Calibri" w:hAnsi="Calibri"/>
    </w:rPr>
  </w:style>
  <w:style w:type="paragraph" w:styleId="BalloonText">
    <w:name w:val="Balloon Text"/>
    <w:basedOn w:val="Normal"/>
    <w:link w:val="BalloonTextChar"/>
    <w:uiPriority w:val="99"/>
    <w:semiHidden/>
    <w:unhideWhenUsed/>
    <w:qFormat/>
    <w:rsid w:val="008F1FDB"/>
    <w:rPr>
      <w:rFonts w:ascii="Tahoma" w:eastAsia="Calibri" w:hAnsi="Tahoma" w:cs="Tahoma"/>
      <w:sz w:val="16"/>
      <w:szCs w:val="16"/>
    </w:rPr>
  </w:style>
  <w:style w:type="paragraph" w:customStyle="1" w:styleId="a3">
    <w:name w:val="Заглавље и подножје"/>
    <w:basedOn w:val="Normal"/>
    <w:qFormat/>
  </w:style>
  <w:style w:type="paragraph" w:styleId="Header">
    <w:name w:val="header"/>
    <w:basedOn w:val="Normal"/>
    <w:link w:val="HeaderChar"/>
    <w:uiPriority w:val="99"/>
    <w:unhideWhenUsed/>
    <w:rsid w:val="008F1FDB"/>
    <w:pPr>
      <w:tabs>
        <w:tab w:val="center" w:pos="4680"/>
        <w:tab w:val="right" w:pos="9360"/>
      </w:tabs>
    </w:pPr>
    <w:rPr>
      <w:rFonts w:ascii="Calibri" w:eastAsia="Calibri" w:hAnsi="Calibri"/>
      <w:sz w:val="22"/>
      <w:szCs w:val="22"/>
    </w:rPr>
  </w:style>
  <w:style w:type="paragraph" w:styleId="Footer">
    <w:name w:val="footer"/>
    <w:basedOn w:val="Normal"/>
    <w:link w:val="FooterChar"/>
    <w:uiPriority w:val="99"/>
    <w:unhideWhenUsed/>
    <w:rsid w:val="008F1FDB"/>
    <w:pPr>
      <w:tabs>
        <w:tab w:val="center" w:pos="4680"/>
        <w:tab w:val="right" w:pos="9360"/>
      </w:tabs>
    </w:pPr>
    <w:rPr>
      <w:rFonts w:ascii="Calibri" w:eastAsia="Calibri" w:hAnsi="Calibri"/>
      <w:sz w:val="22"/>
      <w:szCs w:val="22"/>
    </w:rPr>
  </w:style>
  <w:style w:type="paragraph" w:styleId="EndnoteText">
    <w:name w:val="endnote text"/>
    <w:basedOn w:val="Normal"/>
    <w:link w:val="EndnoteTextChar"/>
    <w:uiPriority w:val="99"/>
    <w:semiHidden/>
    <w:unhideWhenUsed/>
    <w:rsid w:val="008F1FDB"/>
    <w:rPr>
      <w:rFonts w:ascii="Calibri" w:eastAsia="Calibri" w:hAnsi="Calibri"/>
    </w:rPr>
  </w:style>
  <w:style w:type="paragraph" w:customStyle="1" w:styleId="CharCharCharChar">
    <w:name w:val="Char Char Char Char"/>
    <w:basedOn w:val="Normal"/>
    <w:qFormat/>
    <w:rsid w:val="008C52F9"/>
    <w:pPr>
      <w:spacing w:after="160" w:line="240" w:lineRule="exact"/>
    </w:pPr>
    <w:rPr>
      <w:rFonts w:ascii="Verdana" w:hAnsi="Verdana"/>
      <w:i/>
    </w:rPr>
  </w:style>
  <w:style w:type="paragraph" w:styleId="CommentText">
    <w:name w:val="annotation text"/>
    <w:basedOn w:val="Normal"/>
    <w:link w:val="CommentTextChar"/>
    <w:unhideWhenUsed/>
    <w:qFormat/>
    <w:rsid w:val="008F1FDB"/>
    <w:pPr>
      <w:spacing w:after="200"/>
    </w:pPr>
    <w:rPr>
      <w:rFonts w:ascii="Calibri" w:eastAsia="Calibri" w:hAnsi="Calibri"/>
    </w:rPr>
  </w:style>
  <w:style w:type="paragraph" w:styleId="CommentSubject">
    <w:name w:val="annotation subject"/>
    <w:basedOn w:val="CommentText"/>
    <w:next w:val="CommentText"/>
    <w:link w:val="CommentSubjectChar"/>
    <w:uiPriority w:val="99"/>
    <w:semiHidden/>
    <w:unhideWhenUsed/>
    <w:qFormat/>
    <w:rsid w:val="008F1FDB"/>
    <w:rPr>
      <w:b/>
      <w:bCs/>
    </w:rPr>
  </w:style>
  <w:style w:type="paragraph" w:styleId="Revision">
    <w:name w:val="Revision"/>
    <w:uiPriority w:val="99"/>
    <w:semiHidden/>
    <w:qFormat/>
    <w:rsid w:val="0028259F"/>
    <w:rPr>
      <w:rFonts w:ascii="Arial" w:eastAsia="Times New Roman" w:hAnsi="Arial" w:cs="Times New Roman"/>
      <w:sz w:val="20"/>
      <w:szCs w:val="20"/>
    </w:rPr>
  </w:style>
  <w:style w:type="paragraph" w:customStyle="1" w:styleId="a4">
    <w:name w:val="Садржај оквира"/>
    <w:basedOn w:val="Normal"/>
    <w:qFormat/>
  </w:style>
  <w:style w:type="table" w:styleId="TableGrid">
    <w:name w:val="Table Grid"/>
    <w:basedOn w:val="TableNormal"/>
    <w:uiPriority w:val="59"/>
    <w:rsid w:val="008F1FD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rs@stat.gov.rs"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autoTitleDeleted val="1"/>
    <c:plotArea>
      <c:layout>
        <c:manualLayout>
          <c:layoutTarget val="inner"/>
          <c:xMode val="edge"/>
          <c:yMode val="edge"/>
          <c:x val="5.9812499999999998E-2"/>
          <c:y val="5.1222222222222197E-2"/>
          <c:w val="0.88924999999999998"/>
          <c:h val="0.54055555555555601"/>
        </c:manualLayout>
      </c:layout>
      <c:barChart>
        <c:barDir val="col"/>
        <c:grouping val="clustered"/>
        <c:varyColors val="0"/>
        <c:ser>
          <c:idx val="0"/>
          <c:order val="0"/>
          <c:tx>
            <c:strRef>
              <c:f>label 0</c:f>
              <c:strCache>
                <c:ptCount val="1"/>
                <c:pt idx="0">
                  <c:v>Unemployment rate - revised data</c:v>
                </c:pt>
              </c:strCache>
            </c:strRef>
          </c:tx>
          <c:spPr>
            <a:solidFill>
              <a:srgbClr val="00B050"/>
            </a:solidFill>
            <a:ln w="0">
              <a:noFill/>
            </a:ln>
          </c:spPr>
          <c:invertIfNegative val="0"/>
          <c:dLbls>
            <c:numFmt formatCode="0.0" sourceLinked="0"/>
            <c:spPr>
              <a:noFill/>
              <a:ln>
                <a:noFill/>
              </a:ln>
              <a:effectLst/>
            </c:spPr>
            <c:txPr>
              <a:bodyPr wrap="square"/>
              <a:lstStyle/>
              <a:p>
                <a:pPr>
                  <a:defRPr sz="800" b="0" strike="noStrike" spc="-1">
                    <a:solidFill>
                      <a:srgbClr val="000000"/>
                    </a:solidFill>
                    <a:latin typeface="Calibri"/>
                  </a:defRPr>
                </a:pPr>
                <a:endParaRPr lang="en-US"/>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IQ 2022</c:v>
                </c:pt>
                <c:pt idx="1">
                  <c:v>II Q2022</c:v>
                </c:pt>
                <c:pt idx="2">
                  <c:v>III Q 2022</c:v>
                </c:pt>
                <c:pt idx="3">
                  <c:v>IV Q 2022</c:v>
                </c:pt>
              </c:strCache>
            </c:strRef>
          </c:cat>
          <c:val>
            <c:numRef>
              <c:f>0</c:f>
              <c:numCache>
                <c:formatCode>General</c:formatCode>
                <c:ptCount val="4"/>
                <c:pt idx="0">
                  <c:v>10.8887864279588</c:v>
                </c:pt>
                <c:pt idx="1">
                  <c:v>8.8862476779558897</c:v>
                </c:pt>
                <c:pt idx="2">
                  <c:v>9.0102135397704703</c:v>
                </c:pt>
                <c:pt idx="3">
                  <c:v>9.4125747555530399</c:v>
                </c:pt>
              </c:numCache>
            </c:numRef>
          </c:val>
          <c:extLst>
            <c:ext xmlns:c16="http://schemas.microsoft.com/office/drawing/2014/chart" uri="{C3380CC4-5D6E-409C-BE32-E72D297353CC}">
              <c16:uniqueId val="{00000000-3418-4609-940D-C0B41D3D95E9}"/>
            </c:ext>
          </c:extLst>
        </c:ser>
        <c:ser>
          <c:idx val="1"/>
          <c:order val="1"/>
          <c:tx>
            <c:strRef>
              <c:f>label 1</c:f>
              <c:strCache>
                <c:ptCount val="1"/>
                <c:pt idx="0">
                  <c:v>Unemployment rate - previous  data</c:v>
                </c:pt>
              </c:strCache>
            </c:strRef>
          </c:tx>
          <c:spPr>
            <a:solidFill>
              <a:srgbClr val="C5E0B4"/>
            </a:solidFill>
            <a:ln w="0">
              <a:noFill/>
            </a:ln>
          </c:spPr>
          <c:invertIfNegative val="0"/>
          <c:dLbls>
            <c:numFmt formatCode="0.0" sourceLinked="0"/>
            <c:spPr>
              <a:noFill/>
              <a:ln>
                <a:noFill/>
              </a:ln>
              <a:effectLst/>
            </c:spPr>
            <c:txPr>
              <a:bodyPr wrap="square"/>
              <a:lstStyle/>
              <a:p>
                <a:pPr>
                  <a:defRPr sz="800" b="0" strike="noStrike" spc="-1">
                    <a:solidFill>
                      <a:srgbClr val="000000"/>
                    </a:solidFill>
                    <a:latin typeface="Calibri"/>
                  </a:defRPr>
                </a:pPr>
                <a:endParaRPr lang="en-US"/>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IQ 2022</c:v>
                </c:pt>
                <c:pt idx="1">
                  <c:v>II Q2022</c:v>
                </c:pt>
                <c:pt idx="2">
                  <c:v>III Q 2022</c:v>
                </c:pt>
                <c:pt idx="3">
                  <c:v>IV Q 2022</c:v>
                </c:pt>
              </c:strCache>
            </c:strRef>
          </c:cat>
          <c:val>
            <c:numRef>
              <c:f>1</c:f>
              <c:numCache>
                <c:formatCode>General</c:formatCode>
                <c:ptCount val="4"/>
                <c:pt idx="0">
                  <c:v>10.6329269238327</c:v>
                </c:pt>
                <c:pt idx="1">
                  <c:v>8.9</c:v>
                </c:pt>
                <c:pt idx="2">
                  <c:v>8.9419797334521807</c:v>
                </c:pt>
                <c:pt idx="3">
                  <c:v>9.1544560707879103</c:v>
                </c:pt>
              </c:numCache>
            </c:numRef>
          </c:val>
          <c:extLst>
            <c:ext xmlns:c16="http://schemas.microsoft.com/office/drawing/2014/chart" uri="{C3380CC4-5D6E-409C-BE32-E72D297353CC}">
              <c16:uniqueId val="{00000001-3418-4609-940D-C0B41D3D95E9}"/>
            </c:ext>
          </c:extLst>
        </c:ser>
        <c:dLbls>
          <c:showLegendKey val="0"/>
          <c:showVal val="0"/>
          <c:showCatName val="0"/>
          <c:showSerName val="0"/>
          <c:showPercent val="0"/>
          <c:showBubbleSize val="0"/>
        </c:dLbls>
        <c:gapWidth val="100"/>
        <c:axId val="64736705"/>
        <c:axId val="79977249"/>
      </c:barChart>
      <c:lineChart>
        <c:grouping val="standard"/>
        <c:varyColors val="0"/>
        <c:ser>
          <c:idx val="2"/>
          <c:order val="2"/>
          <c:tx>
            <c:strRef>
              <c:f>label 2</c:f>
              <c:strCache>
                <c:ptCount val="1"/>
                <c:pt idx="0">
                  <c:v>Employment rate - revised data</c:v>
                </c:pt>
              </c:strCache>
            </c:strRef>
          </c:tx>
          <c:spPr>
            <a:ln w="28440" cap="rnd">
              <a:solidFill>
                <a:srgbClr val="C00000"/>
              </a:solidFill>
              <a:round/>
            </a:ln>
          </c:spPr>
          <c:marker>
            <c:symbol val="circle"/>
            <c:size val="5"/>
            <c:spPr>
              <a:solidFill>
                <a:srgbClr val="C00000"/>
              </a:solidFill>
            </c:spPr>
          </c:marker>
          <c:dPt>
            <c:idx val="0"/>
            <c:bubble3D val="0"/>
            <c:extLst>
              <c:ext xmlns:c16="http://schemas.microsoft.com/office/drawing/2014/chart" uri="{C3380CC4-5D6E-409C-BE32-E72D297353CC}">
                <c16:uniqueId val="{00000002-3418-4609-940D-C0B41D3D95E9}"/>
              </c:ext>
            </c:extLst>
          </c:dPt>
          <c:dPt>
            <c:idx val="3"/>
            <c:bubble3D val="0"/>
            <c:extLst>
              <c:ext xmlns:c16="http://schemas.microsoft.com/office/drawing/2014/chart" uri="{C3380CC4-5D6E-409C-BE32-E72D297353CC}">
                <c16:uniqueId val="{00000003-3418-4609-940D-C0B41D3D95E9}"/>
              </c:ext>
            </c:extLst>
          </c:dPt>
          <c:dLbls>
            <c:dLbl>
              <c:idx val="0"/>
              <c:layout>
                <c:manualLayout>
                  <c:x val="-4.0959132685733902E-2"/>
                  <c:y val="3.1170831906881202E-2"/>
                </c:manualLayout>
              </c:layout>
              <c:numFmt formatCode="0.0" sourceLinked="0"/>
              <c:spPr/>
              <c:txPr>
                <a:bodyPr wrap="square"/>
                <a:lstStyle/>
                <a:p>
                  <a:pPr>
                    <a:defRPr sz="800" b="0" strike="noStrike" spc="-1">
                      <a:solidFill>
                        <a:srgbClr val="000000"/>
                      </a:solidFill>
                      <a:latin typeface="Calibri"/>
                    </a:defRPr>
                  </a:pPr>
                  <a:endParaRPr lang="en-US"/>
                </a:p>
              </c:txPr>
              <c:dLblPos val="r"/>
              <c:showLegendKey val="0"/>
              <c:showVal val="1"/>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2-3418-4609-940D-C0B41D3D95E9}"/>
                </c:ext>
              </c:extLst>
            </c:dLbl>
            <c:dLbl>
              <c:idx val="3"/>
              <c:layout>
                <c:manualLayout>
                  <c:x val="-3.56930126002293E-2"/>
                  <c:y val="3.1170831906881202E-2"/>
                </c:manualLayout>
              </c:layout>
              <c:numFmt formatCode="0.0" sourceLinked="0"/>
              <c:spPr/>
              <c:txPr>
                <a:bodyPr wrap="square"/>
                <a:lstStyle/>
                <a:p>
                  <a:pPr>
                    <a:defRPr sz="800" b="0" strike="noStrike" spc="-1">
                      <a:solidFill>
                        <a:srgbClr val="000000"/>
                      </a:solidFill>
                      <a:latin typeface="Calibri"/>
                    </a:defRPr>
                  </a:pPr>
                  <a:endParaRPr lang="en-US"/>
                </a:p>
              </c:txPr>
              <c:dLblPos val="r"/>
              <c:showLegendKey val="0"/>
              <c:showVal val="1"/>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3-3418-4609-940D-C0B41D3D95E9}"/>
                </c:ext>
              </c:extLst>
            </c:dLbl>
            <c:numFmt formatCode="0.0" sourceLinked="0"/>
            <c:spPr>
              <a:noFill/>
              <a:ln>
                <a:noFill/>
              </a:ln>
              <a:effectLst/>
            </c:spPr>
            <c:txPr>
              <a:bodyPr wrap="square"/>
              <a:lstStyle/>
              <a:p>
                <a:pPr>
                  <a:defRPr sz="800" b="0" strike="noStrike" spc="-1">
                    <a:solidFill>
                      <a:srgbClr val="000000"/>
                    </a:solidFill>
                    <a:latin typeface="Calibri"/>
                  </a:defRPr>
                </a:pPr>
                <a:endParaRPr lang="en-US"/>
              </a:p>
            </c:txPr>
            <c:dLblPos val="b"/>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IQ 2022</c:v>
                </c:pt>
                <c:pt idx="1">
                  <c:v>II Q2022</c:v>
                </c:pt>
                <c:pt idx="2">
                  <c:v>III Q 2022</c:v>
                </c:pt>
                <c:pt idx="3">
                  <c:v>IV Q 2022</c:v>
                </c:pt>
              </c:strCache>
            </c:strRef>
          </c:cat>
          <c:val>
            <c:numRef>
              <c:f>2</c:f>
              <c:numCache>
                <c:formatCode>General</c:formatCode>
                <c:ptCount val="4"/>
                <c:pt idx="0">
                  <c:v>48.4785083371005</c:v>
                </c:pt>
                <c:pt idx="1">
                  <c:v>49.936723269243998</c:v>
                </c:pt>
                <c:pt idx="2">
                  <c:v>50.155390244195097</c:v>
                </c:pt>
                <c:pt idx="3">
                  <c:v>49.1312940821879</c:v>
                </c:pt>
              </c:numCache>
            </c:numRef>
          </c:val>
          <c:smooth val="0"/>
          <c:extLst>
            <c:ext xmlns:c16="http://schemas.microsoft.com/office/drawing/2014/chart" uri="{C3380CC4-5D6E-409C-BE32-E72D297353CC}">
              <c16:uniqueId val="{00000004-3418-4609-940D-C0B41D3D95E9}"/>
            </c:ext>
          </c:extLst>
        </c:ser>
        <c:ser>
          <c:idx val="3"/>
          <c:order val="3"/>
          <c:tx>
            <c:strRef>
              <c:f>label 3</c:f>
              <c:strCache>
                <c:ptCount val="1"/>
                <c:pt idx="0">
                  <c:v>Employment rate - previous  data</c:v>
                </c:pt>
              </c:strCache>
            </c:strRef>
          </c:tx>
          <c:spPr>
            <a:ln w="28440" cap="rnd">
              <a:solidFill>
                <a:srgbClr val="FF9F9F"/>
              </a:solidFill>
              <a:round/>
            </a:ln>
          </c:spPr>
          <c:marker>
            <c:symbol val="circle"/>
            <c:size val="5"/>
            <c:spPr>
              <a:solidFill>
                <a:srgbClr val="FF9F9F"/>
              </a:solidFill>
            </c:spPr>
          </c:marker>
          <c:dLbls>
            <c:numFmt formatCode="0.0" sourceLinked="0"/>
            <c:spPr>
              <a:noFill/>
              <a:ln>
                <a:noFill/>
              </a:ln>
              <a:effectLst/>
            </c:spPr>
            <c:txPr>
              <a:bodyPr wrap="square"/>
              <a:lstStyle/>
              <a:p>
                <a:pPr>
                  <a:defRPr sz="800" b="0" strike="noStrike" spc="-1">
                    <a:solidFill>
                      <a:srgbClr val="000000"/>
                    </a:solidFill>
                    <a:latin typeface="Calibri"/>
                  </a:defRPr>
                </a:pPr>
                <a:endParaRPr lang="en-US"/>
              </a:p>
            </c:txPr>
            <c:dLblPos val="t"/>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IQ 2022</c:v>
                </c:pt>
                <c:pt idx="1">
                  <c:v>II Q2022</c:v>
                </c:pt>
                <c:pt idx="2">
                  <c:v>III Q 2022</c:v>
                </c:pt>
                <c:pt idx="3">
                  <c:v>IV Q 2022</c:v>
                </c:pt>
              </c:strCache>
            </c:strRef>
          </c:cat>
          <c:val>
            <c:numRef>
              <c:f>3</c:f>
              <c:numCache>
                <c:formatCode>General</c:formatCode>
                <c:ptCount val="4"/>
                <c:pt idx="0">
                  <c:v>49.297359920346203</c:v>
                </c:pt>
                <c:pt idx="1">
                  <c:v>50.9</c:v>
                </c:pt>
                <c:pt idx="2">
                  <c:v>50.8399563976797</c:v>
                </c:pt>
                <c:pt idx="3">
                  <c:v>50.065522621986403</c:v>
                </c:pt>
              </c:numCache>
            </c:numRef>
          </c:val>
          <c:smooth val="0"/>
          <c:extLst>
            <c:ext xmlns:c16="http://schemas.microsoft.com/office/drawing/2014/chart" uri="{C3380CC4-5D6E-409C-BE32-E72D297353CC}">
              <c16:uniqueId val="{00000005-3418-4609-940D-C0B41D3D95E9}"/>
            </c:ext>
          </c:extLst>
        </c:ser>
        <c:ser>
          <c:idx val="4"/>
          <c:order val="4"/>
          <c:tx>
            <c:strRef>
              <c:f>label 4</c:f>
              <c:strCache>
                <c:ptCount val="1"/>
                <c:pt idx="0">
                  <c:v>Outside labour force rate - revised data</c:v>
                </c:pt>
              </c:strCache>
            </c:strRef>
          </c:tx>
          <c:spPr>
            <a:ln w="28440" cap="rnd">
              <a:solidFill>
                <a:srgbClr val="2E75B6"/>
              </a:solidFill>
              <a:round/>
            </a:ln>
          </c:spPr>
          <c:marker>
            <c:symbol val="circle"/>
            <c:size val="5"/>
            <c:spPr>
              <a:solidFill>
                <a:srgbClr val="2E75B6"/>
              </a:solidFill>
            </c:spPr>
          </c:marker>
          <c:dPt>
            <c:idx val="0"/>
            <c:bubble3D val="0"/>
            <c:extLst>
              <c:ext xmlns:c16="http://schemas.microsoft.com/office/drawing/2014/chart" uri="{C3380CC4-5D6E-409C-BE32-E72D297353CC}">
                <c16:uniqueId val="{00000006-3418-4609-940D-C0B41D3D95E9}"/>
              </c:ext>
            </c:extLst>
          </c:dPt>
          <c:dPt>
            <c:idx val="3"/>
            <c:bubble3D val="0"/>
            <c:extLst>
              <c:ext xmlns:c16="http://schemas.microsoft.com/office/drawing/2014/chart" uri="{C3380CC4-5D6E-409C-BE32-E72D297353CC}">
                <c16:uniqueId val="{00000007-3418-4609-940D-C0B41D3D95E9}"/>
              </c:ext>
            </c:extLst>
          </c:dPt>
          <c:dLbls>
            <c:dLbl>
              <c:idx val="0"/>
              <c:layout>
                <c:manualLayout>
                  <c:x val="-4.0781448710663797E-2"/>
                  <c:y val="-3.5699817414127602E-2"/>
                </c:manualLayout>
              </c:layout>
              <c:numFmt formatCode="0.0" sourceLinked="0"/>
              <c:spPr/>
              <c:txPr>
                <a:bodyPr wrap="square"/>
                <a:lstStyle/>
                <a:p>
                  <a:pPr>
                    <a:defRPr sz="800" b="0" strike="noStrike" spc="-1">
                      <a:solidFill>
                        <a:srgbClr val="000000"/>
                      </a:solidFill>
                      <a:latin typeface="Calibri"/>
                    </a:defRPr>
                  </a:pPr>
                  <a:endParaRPr lang="en-US"/>
                </a:p>
              </c:txPr>
              <c:dLblPos val="r"/>
              <c:showLegendKey val="0"/>
              <c:showVal val="1"/>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6-3418-4609-940D-C0B41D3D95E9}"/>
                </c:ext>
              </c:extLst>
            </c:dLbl>
            <c:dLbl>
              <c:idx val="3"/>
              <c:layout>
                <c:manualLayout>
                  <c:x val="-3.8490497966104903E-2"/>
                  <c:y val="-3.1170831906881202E-2"/>
                </c:manualLayout>
              </c:layout>
              <c:numFmt formatCode="0.0" sourceLinked="0"/>
              <c:spPr/>
              <c:txPr>
                <a:bodyPr wrap="square"/>
                <a:lstStyle/>
                <a:p>
                  <a:pPr>
                    <a:defRPr sz="800" b="0" strike="noStrike" spc="-1">
                      <a:solidFill>
                        <a:srgbClr val="000000"/>
                      </a:solidFill>
                      <a:latin typeface="Calibri"/>
                    </a:defRPr>
                  </a:pPr>
                  <a:endParaRPr lang="en-US"/>
                </a:p>
              </c:txPr>
              <c:dLblPos val="r"/>
              <c:showLegendKey val="0"/>
              <c:showVal val="1"/>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7-3418-4609-940D-C0B41D3D95E9}"/>
                </c:ext>
              </c:extLst>
            </c:dLbl>
            <c:numFmt formatCode="0.0" sourceLinked="0"/>
            <c:spPr>
              <a:noFill/>
              <a:ln>
                <a:noFill/>
              </a:ln>
              <a:effectLst/>
            </c:spPr>
            <c:txPr>
              <a:bodyPr wrap="square"/>
              <a:lstStyle/>
              <a:p>
                <a:pPr>
                  <a:defRPr sz="800" b="0" strike="noStrike" spc="-1">
                    <a:solidFill>
                      <a:srgbClr val="000000"/>
                    </a:solidFill>
                    <a:latin typeface="Calibri"/>
                  </a:defRPr>
                </a:pPr>
                <a:endParaRPr lang="en-US"/>
              </a:p>
            </c:txPr>
            <c:dLblPos val="t"/>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IQ 2022</c:v>
                </c:pt>
                <c:pt idx="1">
                  <c:v>II Q2022</c:v>
                </c:pt>
                <c:pt idx="2">
                  <c:v>III Q 2022</c:v>
                </c:pt>
                <c:pt idx="3">
                  <c:v>IV Q 2022</c:v>
                </c:pt>
              </c:strCache>
            </c:strRef>
          </c:cat>
          <c:val>
            <c:numRef>
              <c:f>4</c:f>
              <c:numCache>
                <c:formatCode>General</c:formatCode>
                <c:ptCount val="4"/>
                <c:pt idx="0">
                  <c:v>45.597746463290598</c:v>
                </c:pt>
                <c:pt idx="1">
                  <c:v>45.192971055338703</c:v>
                </c:pt>
                <c:pt idx="2">
                  <c:v>44.877999833401802</c:v>
                </c:pt>
                <c:pt idx="3">
                  <c:v>45.763670896254297</c:v>
                </c:pt>
              </c:numCache>
            </c:numRef>
          </c:val>
          <c:smooth val="0"/>
          <c:extLst>
            <c:ext xmlns:c16="http://schemas.microsoft.com/office/drawing/2014/chart" uri="{C3380CC4-5D6E-409C-BE32-E72D297353CC}">
              <c16:uniqueId val="{00000008-3418-4609-940D-C0B41D3D95E9}"/>
            </c:ext>
          </c:extLst>
        </c:ser>
        <c:ser>
          <c:idx val="5"/>
          <c:order val="5"/>
          <c:tx>
            <c:strRef>
              <c:f>label 5</c:f>
              <c:strCache>
                <c:ptCount val="1"/>
                <c:pt idx="0">
                  <c:v>Outside labour force rate - previous  data</c:v>
                </c:pt>
              </c:strCache>
            </c:strRef>
          </c:tx>
          <c:spPr>
            <a:ln w="28440" cap="rnd">
              <a:solidFill>
                <a:srgbClr val="9DC3E6"/>
              </a:solidFill>
              <a:round/>
            </a:ln>
          </c:spPr>
          <c:marker>
            <c:symbol val="circle"/>
            <c:size val="5"/>
            <c:spPr>
              <a:solidFill>
                <a:srgbClr val="9DC3E6"/>
              </a:solidFill>
            </c:spPr>
          </c:marker>
          <c:dLbls>
            <c:numFmt formatCode="0.0" sourceLinked="0"/>
            <c:spPr>
              <a:noFill/>
              <a:ln>
                <a:noFill/>
              </a:ln>
              <a:effectLst/>
            </c:spPr>
            <c:txPr>
              <a:bodyPr wrap="square"/>
              <a:lstStyle/>
              <a:p>
                <a:pPr>
                  <a:defRPr sz="800" b="0" strike="noStrike" spc="-1">
                    <a:solidFill>
                      <a:srgbClr val="000000"/>
                    </a:solidFill>
                    <a:latin typeface="Calibri"/>
                  </a:defRPr>
                </a:pPr>
                <a:endParaRPr lang="en-US"/>
              </a:p>
            </c:txPr>
            <c:dLblPos val="b"/>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IQ 2022</c:v>
                </c:pt>
                <c:pt idx="1">
                  <c:v>II Q2022</c:v>
                </c:pt>
                <c:pt idx="2">
                  <c:v>III Q 2022</c:v>
                </c:pt>
                <c:pt idx="3">
                  <c:v>IV Q 2022</c:v>
                </c:pt>
              </c:strCache>
            </c:strRef>
          </c:cat>
          <c:val>
            <c:numRef>
              <c:f>5</c:f>
              <c:numCache>
                <c:formatCode>General</c:formatCode>
                <c:ptCount val="4"/>
                <c:pt idx="0">
                  <c:v>44.837222230238901</c:v>
                </c:pt>
                <c:pt idx="1">
                  <c:v>44.2</c:v>
                </c:pt>
                <c:pt idx="2">
                  <c:v>44.167532998965903</c:v>
                </c:pt>
                <c:pt idx="3">
                  <c:v>44.889382804805003</c:v>
                </c:pt>
              </c:numCache>
            </c:numRef>
          </c:val>
          <c:smooth val="0"/>
          <c:extLst>
            <c:ext xmlns:c16="http://schemas.microsoft.com/office/drawing/2014/chart" uri="{C3380CC4-5D6E-409C-BE32-E72D297353CC}">
              <c16:uniqueId val="{00000009-3418-4609-940D-C0B41D3D95E9}"/>
            </c:ext>
          </c:extLst>
        </c:ser>
        <c:dLbls>
          <c:showLegendKey val="0"/>
          <c:showVal val="0"/>
          <c:showCatName val="0"/>
          <c:showSerName val="0"/>
          <c:showPercent val="0"/>
          <c:showBubbleSize val="0"/>
        </c:dLbls>
        <c:hiLowLines>
          <c:spPr>
            <a:ln w="0">
              <a:noFill/>
            </a:ln>
          </c:spPr>
        </c:hiLowLines>
        <c:marker val="1"/>
        <c:smooth val="0"/>
        <c:axId val="23147732"/>
        <c:axId val="21230704"/>
      </c:lineChart>
      <c:catAx>
        <c:axId val="64736705"/>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sz="800" b="0" strike="noStrike" spc="-1">
                <a:solidFill>
                  <a:srgbClr val="000000"/>
                </a:solidFill>
                <a:latin typeface="Calibri"/>
              </a:defRPr>
            </a:pPr>
            <a:endParaRPr lang="en-US"/>
          </a:p>
        </c:txPr>
        <c:crossAx val="79977249"/>
        <c:crosses val="autoZero"/>
        <c:auto val="1"/>
        <c:lblAlgn val="ctr"/>
        <c:lblOffset val="100"/>
        <c:noMultiLvlLbl val="0"/>
      </c:catAx>
      <c:valAx>
        <c:axId val="79977249"/>
        <c:scaling>
          <c:orientation val="minMax"/>
          <c:max val="120"/>
          <c:min val="0"/>
        </c:scaling>
        <c:delete val="0"/>
        <c:axPos val="l"/>
        <c:majorGridlines>
          <c:spPr>
            <a:ln w="9360">
              <a:solidFill>
                <a:srgbClr val="D9D9D9"/>
              </a:solidFill>
              <a:round/>
            </a:ln>
          </c:spPr>
        </c:majorGridlines>
        <c:numFmt formatCode="0.0" sourceLinked="0"/>
        <c:majorTickMark val="none"/>
        <c:minorTickMark val="none"/>
        <c:tickLblPos val="nextTo"/>
        <c:spPr>
          <a:ln w="6480">
            <a:noFill/>
          </a:ln>
        </c:spPr>
        <c:txPr>
          <a:bodyPr/>
          <a:lstStyle/>
          <a:p>
            <a:pPr>
              <a:defRPr sz="800" b="0" strike="noStrike" spc="-1">
                <a:solidFill>
                  <a:srgbClr val="FFFFFF"/>
                </a:solidFill>
                <a:latin typeface="Calibri"/>
              </a:defRPr>
            </a:pPr>
            <a:endParaRPr lang="en-US"/>
          </a:p>
        </c:txPr>
        <c:crossAx val="64736705"/>
        <c:crosses val="autoZero"/>
        <c:crossBetween val="between"/>
      </c:valAx>
      <c:catAx>
        <c:axId val="23147732"/>
        <c:scaling>
          <c:orientation val="minMax"/>
        </c:scaling>
        <c:delete val="1"/>
        <c:axPos val="b"/>
        <c:numFmt formatCode="General" sourceLinked="1"/>
        <c:majorTickMark val="out"/>
        <c:minorTickMark val="none"/>
        <c:tickLblPos val="nextTo"/>
        <c:crossAx val="21230704"/>
        <c:crosses val="autoZero"/>
        <c:auto val="1"/>
        <c:lblAlgn val="ctr"/>
        <c:lblOffset val="100"/>
        <c:noMultiLvlLbl val="0"/>
      </c:catAx>
      <c:valAx>
        <c:axId val="21230704"/>
        <c:scaling>
          <c:orientation val="minMax"/>
        </c:scaling>
        <c:delete val="0"/>
        <c:axPos val="r"/>
        <c:numFmt formatCode="0.0" sourceLinked="0"/>
        <c:majorTickMark val="out"/>
        <c:minorTickMark val="none"/>
        <c:tickLblPos val="nextTo"/>
        <c:spPr>
          <a:ln w="6480">
            <a:noFill/>
          </a:ln>
        </c:spPr>
        <c:txPr>
          <a:bodyPr/>
          <a:lstStyle/>
          <a:p>
            <a:pPr>
              <a:defRPr sz="800" b="0" strike="noStrike" spc="-1">
                <a:solidFill>
                  <a:srgbClr val="FFFFFF"/>
                </a:solidFill>
                <a:latin typeface="Calibri"/>
              </a:defRPr>
            </a:pPr>
            <a:endParaRPr lang="en-US"/>
          </a:p>
        </c:txPr>
        <c:crossAx val="23147732"/>
        <c:crosses val="max"/>
        <c:crossBetween val="between"/>
      </c:valAx>
      <c:spPr>
        <a:noFill/>
        <a:ln w="0">
          <a:noFill/>
        </a:ln>
      </c:spPr>
    </c:plotArea>
    <c:legend>
      <c:legendPos val="b"/>
      <c:layout>
        <c:manualLayout>
          <c:xMode val="edge"/>
          <c:yMode val="edge"/>
          <c:x val="0.20856250000000001"/>
          <c:y val="0.753"/>
          <c:w val="0.54528408025501596"/>
          <c:h val="0.22880320035559501"/>
        </c:manualLayout>
      </c:layout>
      <c:overlay val="0"/>
      <c:spPr>
        <a:noFill/>
        <a:ln w="0">
          <a:noFill/>
        </a:ln>
      </c:spPr>
      <c:txPr>
        <a:bodyPr/>
        <a:lstStyle/>
        <a:p>
          <a:pPr>
            <a:defRPr sz="700" b="0" strike="noStrike" spc="-1">
              <a:solidFill>
                <a:srgbClr val="000000"/>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ABC5E-6D08-41B8-A8B5-EC78BB481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1915</Words>
  <Characters>10920</Characters>
  <Application>Microsoft Office Word</Application>
  <DocSecurity>0</DocSecurity>
  <Lines>91</Lines>
  <Paragraphs>25</Paragraphs>
  <ScaleCrop>false</ScaleCrop>
  <Company/>
  <LinksUpToDate>false</LinksUpToDate>
  <CharactersWithSpaces>12810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Savkovic</dc:creator>
  <dc:description/>
  <cp:lastModifiedBy>Irena Dimic</cp:lastModifiedBy>
  <cp:revision>32</cp:revision>
  <cp:lastPrinted>2019-11-19T07:39:00Z</cp:lastPrinted>
  <dcterms:created xsi:type="dcterms:W3CDTF">2023-08-25T09:38:00Z</dcterms:created>
  <dcterms:modified xsi:type="dcterms:W3CDTF">2023-08-31T09:05:00Z</dcterms:modified>
  <dc:language>sr-RS</dc:language>
</cp:coreProperties>
</file>