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2577D1" w:rsidRPr="00D10ADF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2577D1" w:rsidRPr="00D10ADF" w:rsidRDefault="00C149A4" w:rsidP="00C149A4">
            <w:pPr>
              <w:rPr>
                <w:rFonts w:cs="Arial"/>
                <w:color w:val="808080"/>
                <w:szCs w:val="20"/>
                <w:lang w:val="sr-Latn-RS"/>
              </w:rPr>
            </w:pPr>
            <w:r w:rsidRPr="00D10ADF">
              <w:rPr>
                <w:color w:val="808080"/>
                <w:sz w:val="8"/>
                <w:szCs w:val="8"/>
                <w:lang w:val="sr-Latn-RS"/>
              </w:rPr>
              <w:t xml:space="preserve">  </w:t>
            </w:r>
            <w:r w:rsidR="0041739D" w:rsidRPr="00D10ADF">
              <w:rPr>
                <w:color w:val="808080"/>
                <w:sz w:val="8"/>
                <w:szCs w:val="8"/>
                <w:lang w:val="sr-Latn-RS"/>
              </w:rPr>
              <w:t xml:space="preserve">   </w:t>
            </w:r>
            <w:r w:rsidRPr="00D10ADF">
              <w:rPr>
                <w:color w:val="808080"/>
                <w:sz w:val="8"/>
                <w:szCs w:val="8"/>
                <w:lang w:val="sr-Latn-RS"/>
              </w:rPr>
              <w:t xml:space="preserve">               </w:t>
            </w:r>
            <w:r w:rsidR="00FB5F5D" w:rsidRPr="00D10ADF">
              <w:rPr>
                <w:noProof/>
                <w:color w:val="80808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9525" b="9525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F5D" w:rsidRPr="00D10ADF">
              <w:rPr>
                <w:noProof/>
                <w:color w:val="808080"/>
              </w:rPr>
              <mc:AlternateContent>
                <mc:Choice Requires="wps">
                  <w:drawing>
                    <wp:inline distT="0" distB="0" distL="0" distR="0">
                      <wp:extent cx="904875" cy="2190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89FB59" id="AutoShape 1" o:spid="_x0000_s1026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ylsQIAALc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2577D1" w:rsidRPr="00D10ADF" w:rsidRDefault="002577D1" w:rsidP="002338F2">
            <w:pPr>
              <w:rPr>
                <w:rFonts w:cs="Arial"/>
                <w:szCs w:val="20"/>
                <w:lang w:val="sr-Latn-RS"/>
              </w:rPr>
            </w:pPr>
            <w:r w:rsidRPr="00D10ADF">
              <w:rPr>
                <w:rFonts w:cs="Arial"/>
                <w:szCs w:val="20"/>
                <w:lang w:val="sr-Latn-RS"/>
              </w:rPr>
              <w:t>Република Србија</w:t>
            </w:r>
          </w:p>
          <w:p w:rsidR="002577D1" w:rsidRPr="00D10ADF" w:rsidRDefault="002577D1" w:rsidP="002338F2">
            <w:pPr>
              <w:rPr>
                <w:rFonts w:cs="Arial"/>
                <w:szCs w:val="20"/>
                <w:lang w:val="sr-Latn-RS"/>
              </w:rPr>
            </w:pPr>
            <w:r w:rsidRPr="00D10ADF">
              <w:rPr>
                <w:rFonts w:cs="Arial"/>
                <w:szCs w:val="20"/>
                <w:lang w:val="sr-Latn-R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:rsidR="002577D1" w:rsidRPr="00D10ADF" w:rsidRDefault="002577D1" w:rsidP="006E7AF4">
            <w:pPr>
              <w:jc w:val="right"/>
              <w:rPr>
                <w:rFonts w:cs="Arial"/>
                <w:b/>
                <w:szCs w:val="20"/>
                <w:lang w:val="sr-Latn-RS"/>
              </w:rPr>
            </w:pPr>
            <w:r w:rsidRPr="00D10ADF">
              <w:rPr>
                <w:rFonts w:cs="Arial"/>
                <w:szCs w:val="20"/>
                <w:lang w:val="sr-Latn-RS"/>
              </w:rPr>
              <w:t>ISSN 0353-9555</w:t>
            </w:r>
          </w:p>
        </w:tc>
      </w:tr>
      <w:tr w:rsidR="002577D1" w:rsidRPr="00D10ADF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77D1" w:rsidRPr="00D10ADF" w:rsidRDefault="002577D1" w:rsidP="002338F2">
            <w:pPr>
              <w:rPr>
                <w:color w:val="808080"/>
                <w:szCs w:val="20"/>
                <w:lang w:val="sr-Latn-RS"/>
              </w:rPr>
            </w:pPr>
            <w:r w:rsidRPr="00D10ADF">
              <w:rPr>
                <w:rFonts w:cs="Arial"/>
                <w:b/>
                <w:color w:val="808080"/>
                <w:sz w:val="48"/>
                <w:szCs w:val="48"/>
                <w:lang w:val="sr-Latn-R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77D1" w:rsidRPr="00D10ADF" w:rsidRDefault="003864C7" w:rsidP="002338F2">
            <w:pPr>
              <w:jc w:val="right"/>
              <w:rPr>
                <w:b/>
                <w:color w:val="808080"/>
                <w:sz w:val="12"/>
                <w:lang w:val="sr-Latn-RS"/>
              </w:rPr>
            </w:pPr>
            <w:r w:rsidRPr="00D10ADF">
              <w:rPr>
                <w:rFonts w:cs="Arial"/>
                <w:b/>
                <w:bCs/>
                <w:noProof/>
                <w:color w:val="808080"/>
                <w:sz w:val="48"/>
                <w:szCs w:val="48"/>
                <w:lang w:val="sr-Latn-RS"/>
              </w:rPr>
              <w:t>ИА01</w:t>
            </w:r>
          </w:p>
        </w:tc>
      </w:tr>
      <w:tr w:rsidR="002577D1" w:rsidRPr="00D10ADF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D1" w:rsidRPr="00D10ADF" w:rsidRDefault="002577D1" w:rsidP="007D3E2C">
            <w:pPr>
              <w:rPr>
                <w:rFonts w:cs="Arial"/>
                <w:szCs w:val="20"/>
                <w:lang w:val="sr-Latn-RS"/>
              </w:rPr>
            </w:pPr>
            <w:r w:rsidRPr="0020469C">
              <w:rPr>
                <w:rFonts w:cs="Arial"/>
                <w:szCs w:val="20"/>
                <w:lang w:val="sr-Latn-RS"/>
              </w:rPr>
              <w:t xml:space="preserve">број </w:t>
            </w:r>
            <w:r w:rsidR="007D3E2C">
              <w:rPr>
                <w:rFonts w:cs="Arial"/>
                <w:szCs w:val="20"/>
                <w:lang w:val="sr-Latn-RS"/>
              </w:rPr>
              <w:t>332</w:t>
            </w:r>
            <w:r w:rsidRPr="0020469C">
              <w:rPr>
                <w:rFonts w:cs="Arial"/>
                <w:szCs w:val="20"/>
                <w:lang w:val="sr-Latn-RS"/>
              </w:rPr>
              <w:t xml:space="preserve"> - год. LX</w:t>
            </w:r>
            <w:r w:rsidR="0068299E" w:rsidRPr="0020469C">
              <w:rPr>
                <w:rFonts w:cs="Arial"/>
                <w:szCs w:val="20"/>
                <w:lang w:val="sr-Latn-RS"/>
              </w:rPr>
              <w:t>X</w:t>
            </w:r>
            <w:r w:rsidR="006731AC">
              <w:rPr>
                <w:rFonts w:cs="Arial"/>
                <w:szCs w:val="20"/>
                <w:lang w:val="sr-Latn-RS"/>
              </w:rPr>
              <w:t>II</w:t>
            </w:r>
            <w:r w:rsidR="00880915" w:rsidRPr="0020469C">
              <w:rPr>
                <w:rFonts w:cs="Arial"/>
                <w:szCs w:val="20"/>
                <w:lang w:val="sr-Latn-RS"/>
              </w:rPr>
              <w:t>I</w:t>
            </w:r>
            <w:r w:rsidRPr="0020469C">
              <w:rPr>
                <w:rFonts w:cs="Arial"/>
                <w:szCs w:val="20"/>
                <w:lang w:val="sr-Latn-RS"/>
              </w:rPr>
              <w:t xml:space="preserve">, </w:t>
            </w:r>
            <w:r w:rsidR="008E6A03">
              <w:rPr>
                <w:rFonts w:cs="Arial"/>
                <w:szCs w:val="20"/>
                <w:lang w:val="sr-Latn-RS"/>
              </w:rPr>
              <w:t>1</w:t>
            </w:r>
            <w:r w:rsidR="006F6779" w:rsidRPr="0020469C">
              <w:rPr>
                <w:rFonts w:cs="Arial"/>
                <w:szCs w:val="20"/>
                <w:lang w:val="sr-Latn-RS"/>
              </w:rPr>
              <w:t>.</w:t>
            </w:r>
            <w:r w:rsidR="00880915" w:rsidRPr="0020469C">
              <w:rPr>
                <w:rFonts w:cs="Arial"/>
                <w:szCs w:val="20"/>
                <w:lang w:val="sr-Latn-RS"/>
              </w:rPr>
              <w:t>12</w:t>
            </w:r>
            <w:r w:rsidR="006F6779" w:rsidRPr="0020469C">
              <w:rPr>
                <w:rFonts w:cs="Arial"/>
                <w:szCs w:val="20"/>
                <w:lang w:val="sr-Latn-RS"/>
              </w:rPr>
              <w:t>.20</w:t>
            </w:r>
            <w:r w:rsidR="008E6A03">
              <w:rPr>
                <w:rFonts w:cs="Arial"/>
                <w:szCs w:val="20"/>
                <w:lang w:val="sr-Latn-RS"/>
              </w:rPr>
              <w:t>23</w:t>
            </w:r>
            <w:r w:rsidR="003864C7" w:rsidRPr="0020469C">
              <w:rPr>
                <w:rFonts w:cs="Arial"/>
                <w:szCs w:val="20"/>
                <w:lang w:val="sr-Latn-R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D1" w:rsidRPr="00D10ADF" w:rsidRDefault="002577D1" w:rsidP="002338F2">
            <w:pPr>
              <w:jc w:val="right"/>
              <w:rPr>
                <w:rFonts w:cs="Arial"/>
                <w:b/>
                <w:color w:val="808080"/>
                <w:sz w:val="48"/>
                <w:szCs w:val="48"/>
                <w:lang w:val="sr-Latn-RS"/>
              </w:rPr>
            </w:pPr>
          </w:p>
        </w:tc>
      </w:tr>
      <w:tr w:rsidR="002577D1" w:rsidRPr="006731AC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577D1" w:rsidRPr="00D10ADF" w:rsidRDefault="003864C7" w:rsidP="002338F2">
            <w:pPr>
              <w:rPr>
                <w:b/>
                <w:bCs/>
                <w:sz w:val="24"/>
                <w:lang w:val="sr-Latn-RS"/>
              </w:rPr>
            </w:pPr>
            <w:r w:rsidRPr="00D10ADF">
              <w:rPr>
                <w:b/>
                <w:sz w:val="24"/>
                <w:lang w:val="sr-Latn-RS"/>
              </w:rPr>
              <w:t xml:space="preserve">Статистика </w:t>
            </w:r>
            <w:r w:rsidR="00E00ABD" w:rsidRPr="00D10ADF">
              <w:rPr>
                <w:b/>
                <w:sz w:val="24"/>
                <w:lang w:val="sr-Latn-RS"/>
              </w:rPr>
              <w:t>науке, технологије и иновација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577D1" w:rsidRPr="00A462A1" w:rsidRDefault="002577D1" w:rsidP="007D3E2C">
            <w:pPr>
              <w:jc w:val="right"/>
              <w:rPr>
                <w:b/>
                <w:szCs w:val="20"/>
                <w:lang w:val="sr-Cyrl-RS"/>
              </w:rPr>
            </w:pPr>
            <w:r w:rsidRPr="0020469C">
              <w:rPr>
                <w:rFonts w:cs="Arial"/>
                <w:szCs w:val="20"/>
                <w:lang w:val="sr-Latn-RS"/>
              </w:rPr>
              <w:t>СРБ</w:t>
            </w:r>
            <w:r w:rsidR="007D3E2C">
              <w:rPr>
                <w:rFonts w:cs="Arial"/>
                <w:szCs w:val="20"/>
                <w:lang w:val="sr-Latn-RS"/>
              </w:rPr>
              <w:t>332</w:t>
            </w:r>
            <w:r w:rsidRPr="0020469C">
              <w:rPr>
                <w:rFonts w:cs="Arial"/>
                <w:szCs w:val="20"/>
                <w:lang w:val="sr-Latn-RS"/>
              </w:rPr>
              <w:t xml:space="preserve"> </w:t>
            </w:r>
            <w:r w:rsidR="003864C7" w:rsidRPr="0020469C">
              <w:rPr>
                <w:rFonts w:cs="Arial"/>
                <w:szCs w:val="20"/>
                <w:lang w:val="sr-Latn-RS"/>
              </w:rPr>
              <w:t xml:space="preserve">ИА01 </w:t>
            </w:r>
            <w:r w:rsidR="008E6A03">
              <w:rPr>
                <w:rFonts w:cs="Arial"/>
                <w:szCs w:val="20"/>
                <w:lang w:val="sr-Cyrl-RS"/>
              </w:rPr>
              <w:t>011223</w:t>
            </w:r>
          </w:p>
        </w:tc>
      </w:tr>
    </w:tbl>
    <w:p w:rsidR="007F650B" w:rsidRDefault="007F650B" w:rsidP="00FD14A7">
      <w:pPr>
        <w:pStyle w:val="Naslovsaopstenja"/>
        <w:spacing w:before="360" w:after="240" w:line="264" w:lineRule="auto"/>
        <w:rPr>
          <w:lang w:val="sr-Latn-RS"/>
        </w:rPr>
      </w:pPr>
    </w:p>
    <w:p w:rsidR="00E00ABD" w:rsidRPr="00D10ADF" w:rsidRDefault="003864C7" w:rsidP="00FD14A7">
      <w:pPr>
        <w:pStyle w:val="Naslovsaopstenja"/>
        <w:spacing w:before="360" w:after="240" w:line="264" w:lineRule="auto"/>
        <w:rPr>
          <w:lang w:val="sr-Latn-RS"/>
        </w:rPr>
      </w:pPr>
      <w:r w:rsidRPr="00D10ADF">
        <w:rPr>
          <w:lang w:val="sr-Latn-RS"/>
        </w:rPr>
        <w:t>Индикатори иновативних активности</w:t>
      </w:r>
      <w:r w:rsidR="00FC0311" w:rsidRPr="00D10ADF">
        <w:rPr>
          <w:lang w:val="sr-Latn-RS"/>
        </w:rPr>
        <w:t xml:space="preserve">, </w:t>
      </w:r>
      <w:r w:rsidR="0068299E" w:rsidRPr="00D10ADF">
        <w:rPr>
          <w:lang w:val="sr-Latn-RS"/>
        </w:rPr>
        <w:t>20</w:t>
      </w:r>
      <w:r w:rsidR="008E6A03">
        <w:rPr>
          <w:lang w:val="sr-Latn-RS"/>
        </w:rPr>
        <w:t>20</w:t>
      </w:r>
      <w:r w:rsidR="007B5F5C" w:rsidRPr="00D10ADF">
        <w:rPr>
          <w:szCs w:val="20"/>
          <w:lang w:val="sr-Latn-RS"/>
        </w:rPr>
        <w:t>–</w:t>
      </w:r>
      <w:r w:rsidR="0068299E" w:rsidRPr="00D10ADF">
        <w:rPr>
          <w:lang w:val="sr-Latn-RS"/>
        </w:rPr>
        <w:t>20</w:t>
      </w:r>
      <w:r w:rsidR="008E6A03">
        <w:rPr>
          <w:lang w:val="sr-Latn-RS"/>
        </w:rPr>
        <w:t>22</w:t>
      </w:r>
      <w:r w:rsidR="00E3405B" w:rsidRPr="00D10ADF">
        <w:rPr>
          <w:lang w:val="sr-Latn-RS"/>
        </w:rPr>
        <w:t>.</w:t>
      </w:r>
    </w:p>
    <w:p w:rsidR="004707EC" w:rsidRDefault="00890741" w:rsidP="00301A43">
      <w:pPr>
        <w:pStyle w:val="Podnaslovsopstenja"/>
        <w:spacing w:before="120" w:line="264" w:lineRule="auto"/>
        <w:ind w:firstLine="397"/>
        <w:jc w:val="both"/>
        <w:rPr>
          <w:b w:val="0"/>
          <w:sz w:val="20"/>
          <w:szCs w:val="20"/>
          <w:lang w:val="sr-Latn-RS"/>
        </w:rPr>
      </w:pPr>
      <w:r>
        <w:rPr>
          <w:b w:val="0"/>
          <w:sz w:val="20"/>
          <w:szCs w:val="20"/>
          <w:lang w:val="sr-Cyrl-RS"/>
        </w:rPr>
        <w:t>У</w:t>
      </w:r>
      <w:r w:rsidR="00EF0A21">
        <w:rPr>
          <w:b w:val="0"/>
          <w:sz w:val="20"/>
          <w:szCs w:val="20"/>
          <w:lang w:val="sr-Latn-RS"/>
        </w:rPr>
        <w:t xml:space="preserve">чешће пословних субјеката </w:t>
      </w:r>
      <w:r w:rsidR="003E677A">
        <w:rPr>
          <w:b w:val="0"/>
          <w:sz w:val="20"/>
          <w:szCs w:val="20"/>
          <w:lang w:val="sr-Cyrl-RS"/>
        </w:rPr>
        <w:t>са најмање једном врстом иновације</w:t>
      </w:r>
      <w:r w:rsidR="004707EC" w:rsidRPr="00D10ADF">
        <w:rPr>
          <w:b w:val="0"/>
          <w:sz w:val="20"/>
          <w:szCs w:val="20"/>
          <w:lang w:val="sr-Latn-RS"/>
        </w:rPr>
        <w:t xml:space="preserve"> износи </w:t>
      </w:r>
      <w:r w:rsidR="00DB520F" w:rsidRPr="00D10ADF">
        <w:rPr>
          <w:b w:val="0"/>
          <w:sz w:val="20"/>
          <w:szCs w:val="20"/>
          <w:lang w:val="sr-Latn-RS"/>
        </w:rPr>
        <w:t>5</w:t>
      </w:r>
      <w:r w:rsidR="008E6A03">
        <w:rPr>
          <w:b w:val="0"/>
          <w:sz w:val="20"/>
          <w:szCs w:val="20"/>
          <w:lang w:val="sr-Latn-RS"/>
        </w:rPr>
        <w:t>1</w:t>
      </w:r>
      <w:r w:rsidR="004707EC" w:rsidRPr="00D10ADF">
        <w:rPr>
          <w:b w:val="0"/>
          <w:sz w:val="20"/>
          <w:szCs w:val="20"/>
          <w:lang w:val="sr-Latn-RS"/>
        </w:rPr>
        <w:t>,</w:t>
      </w:r>
      <w:r w:rsidR="008E6A03">
        <w:rPr>
          <w:b w:val="0"/>
          <w:sz w:val="20"/>
          <w:szCs w:val="20"/>
          <w:lang w:val="sr-Latn-RS"/>
        </w:rPr>
        <w:t>14</w:t>
      </w:r>
      <w:r w:rsidR="004707EC" w:rsidRPr="00D10ADF">
        <w:rPr>
          <w:b w:val="0"/>
          <w:sz w:val="20"/>
          <w:szCs w:val="20"/>
          <w:lang w:val="sr-Latn-RS"/>
        </w:rPr>
        <w:t xml:space="preserve">%. </w:t>
      </w:r>
      <w:r w:rsidR="008E6A03">
        <w:rPr>
          <w:b w:val="0"/>
          <w:sz w:val="20"/>
          <w:szCs w:val="20"/>
          <w:lang w:val="sr-Latn-RS"/>
        </w:rPr>
        <w:t>Иновативнo је више од  67</w:t>
      </w:r>
      <w:r w:rsidR="00894A36" w:rsidRPr="00D10ADF">
        <w:rPr>
          <w:b w:val="0"/>
          <w:sz w:val="20"/>
          <w:szCs w:val="20"/>
          <w:lang w:val="sr-Latn-RS"/>
        </w:rPr>
        <w:t>% великих пословних</w:t>
      </w:r>
      <w:r w:rsidR="004707EC" w:rsidRPr="00D10ADF">
        <w:rPr>
          <w:b w:val="0"/>
          <w:sz w:val="20"/>
          <w:szCs w:val="20"/>
          <w:lang w:val="sr-Latn-RS"/>
        </w:rPr>
        <w:t xml:space="preserve"> субјек</w:t>
      </w:r>
      <w:r w:rsidR="00894A36" w:rsidRPr="00D10ADF">
        <w:rPr>
          <w:b w:val="0"/>
          <w:sz w:val="20"/>
          <w:szCs w:val="20"/>
          <w:lang w:val="sr-Latn-RS"/>
        </w:rPr>
        <w:t>a</w:t>
      </w:r>
      <w:r w:rsidR="004707EC" w:rsidRPr="00D10ADF">
        <w:rPr>
          <w:b w:val="0"/>
          <w:sz w:val="20"/>
          <w:szCs w:val="20"/>
          <w:lang w:val="sr-Latn-RS"/>
        </w:rPr>
        <w:t xml:space="preserve">та, </w:t>
      </w:r>
      <w:r w:rsidR="00894A36" w:rsidRPr="00D10ADF">
        <w:rPr>
          <w:b w:val="0"/>
          <w:sz w:val="20"/>
          <w:szCs w:val="20"/>
          <w:lang w:val="sr-Latn-RS"/>
        </w:rPr>
        <w:t xml:space="preserve">око </w:t>
      </w:r>
      <w:r w:rsidR="008E6A03">
        <w:rPr>
          <w:b w:val="0"/>
          <w:sz w:val="20"/>
          <w:szCs w:val="20"/>
          <w:lang w:val="sr-Latn-RS"/>
        </w:rPr>
        <w:t>56</w:t>
      </w:r>
      <w:r w:rsidR="00894A36" w:rsidRPr="00D10ADF">
        <w:rPr>
          <w:b w:val="0"/>
          <w:sz w:val="20"/>
          <w:szCs w:val="20"/>
          <w:lang w:val="sr-Latn-RS"/>
        </w:rPr>
        <w:t>%</w:t>
      </w:r>
      <w:r w:rsidR="004707EC" w:rsidRPr="00D10ADF">
        <w:rPr>
          <w:sz w:val="20"/>
          <w:szCs w:val="20"/>
          <w:lang w:val="sr-Latn-RS"/>
        </w:rPr>
        <w:t xml:space="preserve"> </w:t>
      </w:r>
      <w:r w:rsidR="004707EC" w:rsidRPr="003274A4">
        <w:rPr>
          <w:b w:val="0"/>
          <w:sz w:val="20"/>
          <w:szCs w:val="20"/>
          <w:lang w:val="sr-Latn-RS"/>
        </w:rPr>
        <w:t>с</w:t>
      </w:r>
      <w:r w:rsidR="004707EC" w:rsidRPr="00D10ADF">
        <w:rPr>
          <w:b w:val="0"/>
          <w:sz w:val="20"/>
          <w:szCs w:val="20"/>
          <w:lang w:val="sr-Latn-RS"/>
        </w:rPr>
        <w:t xml:space="preserve">редњих пословних субјеката, док је </w:t>
      </w:r>
      <w:r w:rsidR="00672FE0">
        <w:rPr>
          <w:b w:val="0"/>
          <w:sz w:val="20"/>
          <w:szCs w:val="20"/>
          <w:lang w:val="sr-Cyrl-RS"/>
        </w:rPr>
        <w:t>међу малим</w:t>
      </w:r>
      <w:r w:rsidR="004707EC" w:rsidRPr="00D10ADF">
        <w:rPr>
          <w:b w:val="0"/>
          <w:sz w:val="20"/>
          <w:szCs w:val="20"/>
          <w:lang w:val="sr-Latn-RS"/>
        </w:rPr>
        <w:t xml:space="preserve"> </w:t>
      </w:r>
      <w:r w:rsidR="00672FE0">
        <w:rPr>
          <w:b w:val="0"/>
          <w:sz w:val="20"/>
          <w:szCs w:val="20"/>
          <w:lang w:val="sr-Latn-RS"/>
        </w:rPr>
        <w:t>пословним субјектима</w:t>
      </w:r>
      <w:r w:rsidR="00D1546E">
        <w:rPr>
          <w:b w:val="0"/>
          <w:sz w:val="20"/>
          <w:szCs w:val="20"/>
          <w:lang w:val="sr-Cyrl-RS"/>
        </w:rPr>
        <w:t xml:space="preserve"> </w:t>
      </w:r>
      <w:r w:rsidR="00672FE0">
        <w:rPr>
          <w:b w:val="0"/>
          <w:sz w:val="20"/>
          <w:szCs w:val="20"/>
          <w:lang w:val="sr-Cyrl-RS"/>
        </w:rPr>
        <w:t>око</w:t>
      </w:r>
      <w:r w:rsidR="004707EC" w:rsidRPr="00D10ADF">
        <w:rPr>
          <w:b w:val="0"/>
          <w:sz w:val="20"/>
          <w:szCs w:val="20"/>
          <w:lang w:val="sr-Latn-RS"/>
        </w:rPr>
        <w:t xml:space="preserve"> </w:t>
      </w:r>
      <w:r w:rsidR="00323911">
        <w:rPr>
          <w:b w:val="0"/>
          <w:sz w:val="20"/>
          <w:szCs w:val="20"/>
          <w:lang w:val="sr-Cyrl-RS"/>
        </w:rPr>
        <w:t>50</w:t>
      </w:r>
      <w:r w:rsidR="004707EC" w:rsidRPr="00D10ADF">
        <w:rPr>
          <w:b w:val="0"/>
          <w:sz w:val="20"/>
          <w:szCs w:val="20"/>
          <w:lang w:val="sr-Latn-RS"/>
        </w:rPr>
        <w:t>%</w:t>
      </w:r>
      <w:r w:rsidR="00E70DF1" w:rsidRPr="00E70DF1">
        <w:rPr>
          <w:b w:val="0"/>
          <w:sz w:val="20"/>
          <w:szCs w:val="20"/>
          <w:lang w:val="sr-Cyrl-RS"/>
        </w:rPr>
        <w:t xml:space="preserve"> </w:t>
      </w:r>
      <w:r w:rsidR="00E70DF1">
        <w:rPr>
          <w:b w:val="0"/>
          <w:sz w:val="20"/>
          <w:szCs w:val="20"/>
          <w:lang w:val="sr-Cyrl-RS"/>
        </w:rPr>
        <w:t>иновативно</w:t>
      </w:r>
      <w:r w:rsidR="004707EC" w:rsidRPr="00D10ADF">
        <w:rPr>
          <w:b w:val="0"/>
          <w:sz w:val="20"/>
          <w:szCs w:val="20"/>
          <w:lang w:val="sr-Latn-RS"/>
        </w:rPr>
        <w:t xml:space="preserve">. Иновативне активности су </w:t>
      </w:r>
      <w:r w:rsidR="00EF0A21">
        <w:rPr>
          <w:b w:val="0"/>
          <w:sz w:val="20"/>
          <w:szCs w:val="20"/>
          <w:lang w:val="sr-Cyrl-RS"/>
        </w:rPr>
        <w:t>скоро једнако</w:t>
      </w:r>
      <w:r w:rsidR="00672FE0">
        <w:rPr>
          <w:b w:val="0"/>
          <w:sz w:val="20"/>
          <w:szCs w:val="20"/>
          <w:lang w:val="sr-Cyrl-RS"/>
        </w:rPr>
        <w:t xml:space="preserve"> </w:t>
      </w:r>
      <w:r w:rsidR="004707EC" w:rsidRPr="00D10ADF">
        <w:rPr>
          <w:b w:val="0"/>
          <w:sz w:val="20"/>
          <w:szCs w:val="20"/>
          <w:lang w:val="sr-Latn-RS"/>
        </w:rPr>
        <w:t>за</w:t>
      </w:r>
      <w:r w:rsidR="000B716B">
        <w:rPr>
          <w:b w:val="0"/>
          <w:sz w:val="20"/>
          <w:szCs w:val="20"/>
          <w:lang w:val="sr-Latn-RS"/>
        </w:rPr>
        <w:t>ступљене</w:t>
      </w:r>
      <w:r w:rsidR="004707EC" w:rsidRPr="00D10ADF">
        <w:rPr>
          <w:b w:val="0"/>
          <w:sz w:val="20"/>
          <w:szCs w:val="20"/>
          <w:lang w:val="sr-Latn-RS"/>
        </w:rPr>
        <w:t xml:space="preserve"> код пословних суб</w:t>
      </w:r>
      <w:r w:rsidR="00672FE0">
        <w:rPr>
          <w:b w:val="0"/>
          <w:sz w:val="20"/>
          <w:szCs w:val="20"/>
          <w:lang w:val="sr-Latn-RS"/>
        </w:rPr>
        <w:t>јеката који се баве производним</w:t>
      </w:r>
      <w:r w:rsidR="004707EC" w:rsidRPr="00D10ADF">
        <w:rPr>
          <w:b w:val="0"/>
          <w:sz w:val="20"/>
          <w:szCs w:val="20"/>
          <w:lang w:val="sr-Latn-RS"/>
        </w:rPr>
        <w:t xml:space="preserve"> </w:t>
      </w:r>
      <w:r w:rsidR="00672FE0">
        <w:rPr>
          <w:b w:val="0"/>
          <w:sz w:val="20"/>
          <w:szCs w:val="20"/>
          <w:lang w:val="sr-Cyrl-RS"/>
        </w:rPr>
        <w:t xml:space="preserve">и </w:t>
      </w:r>
      <w:r w:rsidR="00672FE0">
        <w:rPr>
          <w:b w:val="0"/>
          <w:sz w:val="20"/>
          <w:szCs w:val="20"/>
          <w:lang w:val="sr-Latn-RS"/>
        </w:rPr>
        <w:t>услужним</w:t>
      </w:r>
      <w:r w:rsidR="004707EC" w:rsidRPr="00D10ADF">
        <w:rPr>
          <w:b w:val="0"/>
          <w:sz w:val="20"/>
          <w:szCs w:val="20"/>
          <w:lang w:val="sr-Latn-RS"/>
        </w:rPr>
        <w:t xml:space="preserve"> делатности</w:t>
      </w:r>
      <w:r w:rsidR="00672FE0">
        <w:rPr>
          <w:b w:val="0"/>
          <w:sz w:val="20"/>
          <w:szCs w:val="20"/>
          <w:lang w:val="sr-Cyrl-RS"/>
        </w:rPr>
        <w:t>ма</w:t>
      </w:r>
      <w:r w:rsidR="00FA14E4" w:rsidRPr="00FA14E4">
        <w:rPr>
          <w:rFonts w:cs="Arial"/>
          <w:b w:val="0"/>
          <w:sz w:val="20"/>
          <w:szCs w:val="20"/>
          <w:lang w:val="sr-Latn-RS"/>
        </w:rPr>
        <w:t xml:space="preserve"> –</w:t>
      </w:r>
      <w:r w:rsidR="004707EC" w:rsidRPr="00FA14E4">
        <w:rPr>
          <w:b w:val="0"/>
          <w:sz w:val="20"/>
          <w:szCs w:val="20"/>
          <w:lang w:val="sr-Latn-RS"/>
        </w:rPr>
        <w:t xml:space="preserve"> </w:t>
      </w:r>
      <w:r w:rsidR="004707EC" w:rsidRPr="00D10ADF">
        <w:rPr>
          <w:b w:val="0"/>
          <w:sz w:val="20"/>
          <w:szCs w:val="20"/>
          <w:lang w:val="sr-Latn-RS"/>
        </w:rPr>
        <w:t xml:space="preserve">иновације </w:t>
      </w:r>
      <w:r w:rsidR="00672FE0">
        <w:rPr>
          <w:b w:val="0"/>
          <w:sz w:val="20"/>
          <w:szCs w:val="20"/>
          <w:lang w:val="sr-Cyrl-RS"/>
        </w:rPr>
        <w:t xml:space="preserve">је </w:t>
      </w:r>
      <w:r w:rsidR="004707EC" w:rsidRPr="00D10ADF">
        <w:rPr>
          <w:b w:val="0"/>
          <w:sz w:val="20"/>
          <w:szCs w:val="20"/>
          <w:lang w:val="sr-Latn-RS"/>
        </w:rPr>
        <w:t xml:space="preserve">увело </w:t>
      </w:r>
      <w:r w:rsidR="00323911">
        <w:rPr>
          <w:b w:val="0"/>
          <w:sz w:val="20"/>
          <w:szCs w:val="20"/>
          <w:lang w:val="sr-Cyrl-RS"/>
        </w:rPr>
        <w:t>око 50</w:t>
      </w:r>
      <w:r w:rsidR="00672FE0">
        <w:rPr>
          <w:b w:val="0"/>
          <w:sz w:val="20"/>
          <w:szCs w:val="20"/>
          <w:lang w:val="sr-Cyrl-RS"/>
        </w:rPr>
        <w:t>%</w:t>
      </w:r>
      <w:r w:rsidR="004707EC" w:rsidRPr="00D10ADF">
        <w:rPr>
          <w:b w:val="0"/>
          <w:sz w:val="20"/>
          <w:szCs w:val="20"/>
          <w:lang w:val="sr-Latn-RS"/>
        </w:rPr>
        <w:t xml:space="preserve"> пословних субјеката.</w:t>
      </w:r>
    </w:p>
    <w:tbl>
      <w:tblPr>
        <w:tblW w:w="1020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8"/>
        <w:gridCol w:w="1883"/>
        <w:gridCol w:w="1703"/>
        <w:gridCol w:w="1793"/>
        <w:gridCol w:w="1778"/>
      </w:tblGrid>
      <w:tr w:rsidR="006944C1" w:rsidRPr="007D3E2C" w:rsidTr="0020469C">
        <w:trPr>
          <w:trHeight w:val="20"/>
          <w:jc w:val="center"/>
        </w:trPr>
        <w:tc>
          <w:tcPr>
            <w:tcW w:w="10205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6944C1" w:rsidRPr="00D10ADF" w:rsidRDefault="006944C1" w:rsidP="00FD14A7">
            <w:pPr>
              <w:spacing w:before="360" w:after="40" w:line="264" w:lineRule="auto"/>
              <w:rPr>
                <w:rFonts w:cs="Arial"/>
                <w:b/>
                <w:bCs/>
                <w:szCs w:val="20"/>
                <w:lang w:val="sr-Latn-RS"/>
              </w:rPr>
            </w:pPr>
            <w:r w:rsidRPr="00D10ADF">
              <w:rPr>
                <w:rFonts w:cs="Arial"/>
                <w:b/>
                <w:bCs/>
                <w:szCs w:val="20"/>
                <w:lang w:val="sr-Latn-RS"/>
              </w:rPr>
              <w:t>1. Пословни субјекти према иновативности, делатности и величини</w:t>
            </w:r>
          </w:p>
        </w:tc>
      </w:tr>
      <w:tr w:rsidR="00894A36" w:rsidRPr="00D10ADF" w:rsidTr="00672FE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94A36" w:rsidRPr="00D10ADF" w:rsidRDefault="00894A36" w:rsidP="00FD14A7">
            <w:pPr>
              <w:spacing w:before="120" w:after="120" w:line="264" w:lineRule="auto"/>
              <w:jc w:val="center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94A36" w:rsidRPr="00D10ADF" w:rsidRDefault="00894A36" w:rsidP="00FD14A7">
            <w:pPr>
              <w:spacing w:before="120" w:after="120"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94A36" w:rsidRPr="00D10ADF" w:rsidRDefault="00894A36" w:rsidP="00FD14A7">
            <w:pPr>
              <w:spacing w:before="120" w:after="120"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Иноватори</w:t>
            </w:r>
          </w:p>
        </w:tc>
        <w:tc>
          <w:tcPr>
            <w:tcW w:w="1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94A36" w:rsidRPr="00EF0A21" w:rsidRDefault="00EF0A21" w:rsidP="00FD14A7">
            <w:pPr>
              <w:spacing w:before="120" w:after="120"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val="sr-Cyrl-RS"/>
              </w:rPr>
              <w:t>Неиноватори</w:t>
            </w:r>
          </w:p>
        </w:tc>
        <w:tc>
          <w:tcPr>
            <w:tcW w:w="17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:rsidR="00894A36" w:rsidRPr="00D10ADF" w:rsidRDefault="00894A36" w:rsidP="00FD14A7">
            <w:pPr>
              <w:spacing w:before="120" w:after="120"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Учешће</w:t>
            </w:r>
            <w:r w:rsidR="00D10ADF"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                          </w:t>
            </w: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 иноватора у %</w:t>
            </w:r>
          </w:p>
        </w:tc>
      </w:tr>
      <w:tr w:rsidR="00D10ADF" w:rsidRPr="00D10ADF" w:rsidTr="00672FE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contextualSpacing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ind w:right="567"/>
              <w:contextualSpacing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ind w:right="567"/>
              <w:contextualSpacing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9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ind w:right="567"/>
              <w:contextualSpacing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78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ind w:right="567"/>
              <w:contextualSpacing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2FE0" w:rsidRPr="00EA7379" w:rsidRDefault="008E6A03" w:rsidP="00FD14A7">
            <w:pPr>
              <w:spacing w:line="264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19367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EA7379" w:rsidRDefault="008E6A03" w:rsidP="00FD14A7">
            <w:pPr>
              <w:spacing w:line="264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9905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2FE0" w:rsidRPr="00EA7379" w:rsidRDefault="00672FE0" w:rsidP="008E6A03">
            <w:pPr>
              <w:spacing w:line="264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EA7379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9</w:t>
            </w:r>
            <w:r w:rsidR="008E6A03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462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EA7379" w:rsidRDefault="00672FE0" w:rsidP="008E6A03">
            <w:pPr>
              <w:spacing w:line="264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EA7379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5</w:t>
            </w:r>
            <w:r w:rsidR="008E6A03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</w:t>
            </w:r>
            <w:r w:rsidR="0020469C" w:rsidRPr="00EA7379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="008E6A03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14</w:t>
            </w: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Мали пословни субјекти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8E6A03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5849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4F25EE" w:rsidP="008E6A03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  <w:r w:rsidR="00672FE0"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55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8E6A03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7994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8E6A03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49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56</w:t>
            </w: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Средњи пословни субјекти</w:t>
            </w:r>
          </w:p>
        </w:tc>
        <w:tc>
          <w:tcPr>
            <w:tcW w:w="1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8E6A03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287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8E6A03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16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18</w:t>
            </w: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8E6A03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12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61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1B3515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  <w:r w:rsidR="001B3515">
              <w:rPr>
                <w:rFonts w:cs="Arial"/>
                <w:color w:val="000000"/>
                <w:sz w:val="16"/>
                <w:szCs w:val="16"/>
                <w:lang w:val="sr-Cyrl-RS"/>
              </w:rPr>
              <w:t>0</w:t>
            </w: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Велики пословни субјекти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8E6A03">
            <w:pPr>
              <w:spacing w:after="40"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8E6A03">
            <w:pPr>
              <w:spacing w:after="40"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8E6A03">
            <w:pPr>
              <w:spacing w:after="40"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20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:rsidR="00672FE0" w:rsidRPr="00D10ADF" w:rsidRDefault="00672FE0" w:rsidP="00FD14A7">
            <w:pPr>
              <w:spacing w:after="40"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61</w:t>
            </w: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3048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672FE0" w:rsidRPr="00880915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672FE0" w:rsidRPr="00880915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93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672FE0" w:rsidRPr="00880915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78" w:type="dxa"/>
            <w:tcBorders>
              <w:top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672FE0" w:rsidRPr="00880915" w:rsidRDefault="00672FE0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Производни пословни субјекти</w:t>
            </w:r>
          </w:p>
        </w:tc>
        <w:tc>
          <w:tcPr>
            <w:tcW w:w="18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8E6A03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4951</w:t>
            </w:r>
          </w:p>
        </w:tc>
        <w:tc>
          <w:tcPr>
            <w:tcW w:w="170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8E6A03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470</w:t>
            </w:r>
          </w:p>
        </w:tc>
        <w:tc>
          <w:tcPr>
            <w:tcW w:w="17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8E6A03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481</w:t>
            </w:r>
          </w:p>
        </w:tc>
        <w:tc>
          <w:tcPr>
            <w:tcW w:w="1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8E6A03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49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89</w:t>
            </w:r>
          </w:p>
        </w:tc>
      </w:tr>
      <w:tr w:rsidR="00672FE0" w:rsidRPr="00D10ADF" w:rsidTr="0020469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048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before="40" w:after="40"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Услужни пословни субјекти</w:t>
            </w:r>
          </w:p>
        </w:tc>
        <w:tc>
          <w:tcPr>
            <w:tcW w:w="1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8E6A03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4416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8E6A03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7435</w:t>
            </w: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4F25EE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69</w:t>
            </w:r>
            <w:r w:rsidR="008E6A03">
              <w:rPr>
                <w:rFonts w:cs="Arial"/>
                <w:color w:val="000000"/>
                <w:sz w:val="16"/>
                <w:szCs w:val="16"/>
                <w:lang w:val="sr-Latn-RS"/>
              </w:rPr>
              <w:t>81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10ADF" w:rsidRDefault="008E6A03" w:rsidP="00FD14A7">
            <w:pPr>
              <w:spacing w:line="264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51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57</w:t>
            </w:r>
          </w:p>
        </w:tc>
      </w:tr>
    </w:tbl>
    <w:p w:rsidR="004707EC" w:rsidRPr="00D10ADF" w:rsidRDefault="004707EC" w:rsidP="00301A43">
      <w:pPr>
        <w:pStyle w:val="Podnaslovsopstenja"/>
        <w:spacing w:before="240" w:after="0" w:line="264" w:lineRule="auto"/>
        <w:ind w:firstLine="397"/>
        <w:jc w:val="both"/>
        <w:rPr>
          <w:b w:val="0"/>
          <w:sz w:val="20"/>
          <w:szCs w:val="20"/>
          <w:lang w:val="sr-Latn-RS"/>
        </w:rPr>
      </w:pPr>
      <w:r w:rsidRPr="00EB36A2">
        <w:rPr>
          <w:b w:val="0"/>
          <w:sz w:val="20"/>
          <w:szCs w:val="20"/>
          <w:lang w:val="sr-Latn-RS"/>
        </w:rPr>
        <w:t>У погледу регионалне заступљености, иновације производа</w:t>
      </w:r>
      <w:r w:rsidR="00894A36" w:rsidRPr="00EB36A2">
        <w:rPr>
          <w:b w:val="0"/>
          <w:sz w:val="20"/>
          <w:szCs w:val="20"/>
          <w:lang w:val="sr-Latn-RS"/>
        </w:rPr>
        <w:t xml:space="preserve"> и процеса</w:t>
      </w:r>
      <w:r w:rsidRPr="00EB36A2">
        <w:rPr>
          <w:b w:val="0"/>
          <w:sz w:val="20"/>
          <w:szCs w:val="20"/>
          <w:lang w:val="sr-Latn-RS"/>
        </w:rPr>
        <w:t xml:space="preserve"> имају </w:t>
      </w:r>
      <w:r w:rsidR="00894A36" w:rsidRPr="00EB36A2">
        <w:rPr>
          <w:b w:val="0"/>
          <w:sz w:val="20"/>
          <w:szCs w:val="20"/>
          <w:lang w:val="sr-Latn-RS"/>
        </w:rPr>
        <w:t xml:space="preserve">учешће </w:t>
      </w:r>
      <w:r w:rsidR="007F650B" w:rsidRPr="00EB36A2">
        <w:rPr>
          <w:b w:val="0"/>
          <w:sz w:val="20"/>
          <w:szCs w:val="20"/>
          <w:lang w:val="sr-Cyrl-RS"/>
        </w:rPr>
        <w:t>преко</w:t>
      </w:r>
      <w:r w:rsidR="001D028E" w:rsidRPr="00EB36A2">
        <w:rPr>
          <w:b w:val="0"/>
          <w:sz w:val="20"/>
          <w:szCs w:val="20"/>
          <w:lang w:val="sr-Latn-RS"/>
        </w:rPr>
        <w:t xml:space="preserve"> 4</w:t>
      </w:r>
      <w:r w:rsidR="009561C0" w:rsidRPr="00EB36A2">
        <w:rPr>
          <w:b w:val="0"/>
          <w:sz w:val="20"/>
          <w:szCs w:val="20"/>
          <w:lang w:val="sr-Cyrl-RS"/>
        </w:rPr>
        <w:t>7</w:t>
      </w:r>
      <w:r w:rsidR="007F650B" w:rsidRPr="00EB36A2">
        <w:rPr>
          <w:b w:val="0"/>
          <w:sz w:val="20"/>
          <w:szCs w:val="20"/>
          <w:lang w:val="sr-Latn-RS"/>
        </w:rPr>
        <w:t>%</w:t>
      </w:r>
      <w:r w:rsidR="001D028E" w:rsidRPr="00EB36A2">
        <w:rPr>
          <w:b w:val="0"/>
          <w:sz w:val="20"/>
          <w:szCs w:val="20"/>
          <w:lang w:val="sr-Latn-RS"/>
        </w:rPr>
        <w:t xml:space="preserve">, </w:t>
      </w:r>
      <w:r w:rsidR="00894A36" w:rsidRPr="00EB36A2">
        <w:rPr>
          <w:b w:val="0"/>
          <w:sz w:val="20"/>
          <w:szCs w:val="20"/>
          <w:lang w:val="sr-Latn-RS"/>
        </w:rPr>
        <w:t>али су неравномерно</w:t>
      </w:r>
      <w:r w:rsidR="001D028E" w:rsidRPr="00EB36A2">
        <w:rPr>
          <w:b w:val="0"/>
          <w:sz w:val="20"/>
          <w:szCs w:val="20"/>
          <w:lang w:val="sr-Latn-RS"/>
        </w:rPr>
        <w:t xml:space="preserve"> заступљене по регионима.</w:t>
      </w:r>
      <w:r w:rsidRPr="00EB36A2">
        <w:rPr>
          <w:b w:val="0"/>
          <w:sz w:val="20"/>
          <w:szCs w:val="20"/>
          <w:lang w:val="sr-Latn-RS"/>
        </w:rPr>
        <w:t xml:space="preserve"> Регионална заступљеност иновација </w:t>
      </w:r>
      <w:r w:rsidR="001D028E" w:rsidRPr="00EB36A2">
        <w:rPr>
          <w:b w:val="0"/>
          <w:sz w:val="20"/>
          <w:szCs w:val="20"/>
          <w:lang w:val="sr-Latn-RS"/>
        </w:rPr>
        <w:t>производа и процеса</w:t>
      </w:r>
      <w:r w:rsidRPr="00EB36A2">
        <w:rPr>
          <w:b w:val="0"/>
          <w:sz w:val="20"/>
          <w:szCs w:val="20"/>
          <w:lang w:val="sr-Latn-RS"/>
        </w:rPr>
        <w:t xml:space="preserve"> </w:t>
      </w:r>
      <w:r w:rsidR="00124128" w:rsidRPr="00EB36A2">
        <w:rPr>
          <w:b w:val="0"/>
          <w:sz w:val="20"/>
          <w:szCs w:val="20"/>
          <w:lang w:val="sr-Cyrl-RS"/>
        </w:rPr>
        <w:t>креће се</w:t>
      </w:r>
      <w:r w:rsidRPr="00EB36A2">
        <w:rPr>
          <w:b w:val="0"/>
          <w:sz w:val="20"/>
          <w:szCs w:val="20"/>
          <w:lang w:val="sr-Latn-RS"/>
        </w:rPr>
        <w:t xml:space="preserve"> у распону од </w:t>
      </w:r>
      <w:r w:rsidR="00CA48FF" w:rsidRPr="00EB36A2">
        <w:rPr>
          <w:b w:val="0"/>
          <w:sz w:val="20"/>
          <w:szCs w:val="20"/>
          <w:lang w:val="sr-Cyrl-RS"/>
        </w:rPr>
        <w:t>4</w:t>
      </w:r>
      <w:r w:rsidR="00EB36A2" w:rsidRPr="00EB36A2">
        <w:rPr>
          <w:b w:val="0"/>
          <w:sz w:val="20"/>
          <w:szCs w:val="20"/>
          <w:lang w:val="sr-Cyrl-RS"/>
        </w:rPr>
        <w:t>8</w:t>
      </w:r>
      <w:r w:rsidR="00CA48FF" w:rsidRPr="00EB36A2">
        <w:rPr>
          <w:b w:val="0"/>
          <w:sz w:val="20"/>
          <w:szCs w:val="20"/>
          <w:lang w:val="sr-Latn-RS"/>
        </w:rPr>
        <w:t>,</w:t>
      </w:r>
      <w:r w:rsidR="00EB36A2" w:rsidRPr="00EB36A2">
        <w:rPr>
          <w:b w:val="0"/>
          <w:sz w:val="20"/>
          <w:szCs w:val="20"/>
          <w:lang w:val="sr-Cyrl-RS"/>
        </w:rPr>
        <w:t>2</w:t>
      </w:r>
      <w:r w:rsidR="003274A4" w:rsidRPr="00EB36A2">
        <w:rPr>
          <w:b w:val="0"/>
          <w:sz w:val="20"/>
          <w:szCs w:val="20"/>
          <w:lang w:val="sr-Latn-RS"/>
        </w:rPr>
        <w:t>% (Београдски регион)</w:t>
      </w:r>
      <w:r w:rsidRPr="00EB36A2">
        <w:rPr>
          <w:b w:val="0"/>
          <w:sz w:val="20"/>
          <w:szCs w:val="20"/>
          <w:lang w:val="sr-Latn-RS"/>
        </w:rPr>
        <w:t xml:space="preserve"> до </w:t>
      </w:r>
      <w:r w:rsidR="00EB36A2" w:rsidRPr="00EB36A2">
        <w:rPr>
          <w:b w:val="0"/>
          <w:sz w:val="20"/>
          <w:szCs w:val="20"/>
          <w:lang w:val="sr-Cyrl-RS"/>
        </w:rPr>
        <w:t>8</w:t>
      </w:r>
      <w:r w:rsidR="00D1277C" w:rsidRPr="00EB36A2">
        <w:rPr>
          <w:b w:val="0"/>
          <w:sz w:val="20"/>
          <w:szCs w:val="20"/>
          <w:lang w:val="sr-Latn-RS"/>
        </w:rPr>
        <w:t>% (Регион Јужне и Источне Србије)</w:t>
      </w:r>
      <w:r w:rsidRPr="00EB36A2">
        <w:rPr>
          <w:b w:val="0"/>
          <w:sz w:val="20"/>
          <w:szCs w:val="20"/>
          <w:lang w:val="sr-Latn-RS"/>
        </w:rPr>
        <w:t>.</w:t>
      </w:r>
      <w:r w:rsidRPr="00D10ADF">
        <w:rPr>
          <w:b w:val="0"/>
          <w:sz w:val="20"/>
          <w:szCs w:val="20"/>
          <w:lang w:val="sr-Latn-RS"/>
        </w:rPr>
        <w:t xml:space="preserve"> </w:t>
      </w:r>
    </w:p>
    <w:p w:rsidR="00FC0311" w:rsidRPr="00D10ADF" w:rsidRDefault="004707EC" w:rsidP="00FD14A7">
      <w:pPr>
        <w:pBdr>
          <w:between w:val="single" w:sz="4" w:space="1" w:color="808080" w:themeColor="background1" w:themeShade="80"/>
        </w:pBdr>
        <w:spacing w:before="360" w:after="40" w:line="264" w:lineRule="auto"/>
        <w:rPr>
          <w:rFonts w:cs="Arial"/>
          <w:b/>
          <w:bCs/>
          <w:szCs w:val="20"/>
          <w:lang w:val="sr-Latn-RS"/>
        </w:rPr>
      </w:pPr>
      <w:r w:rsidRPr="00D10ADF">
        <w:rPr>
          <w:rFonts w:cs="Arial"/>
          <w:b/>
          <w:bCs/>
          <w:szCs w:val="20"/>
          <w:lang w:val="sr-Latn-RS"/>
        </w:rPr>
        <w:t>2. Заступљеност врста иновација према територији и величини пословног субјекта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264"/>
        <w:gridCol w:w="965"/>
        <w:gridCol w:w="1583"/>
        <w:gridCol w:w="1583"/>
        <w:gridCol w:w="1583"/>
        <w:gridCol w:w="1228"/>
      </w:tblGrid>
      <w:tr w:rsidR="00D1277C" w:rsidRPr="00D10ADF" w:rsidTr="0020469C">
        <w:trPr>
          <w:trHeight w:val="20"/>
          <w:jc w:val="center"/>
        </w:trPr>
        <w:tc>
          <w:tcPr>
            <w:tcW w:w="3402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Територија</w:t>
            </w:r>
          </w:p>
        </w:tc>
        <w:tc>
          <w:tcPr>
            <w:tcW w:w="99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Величина</w:t>
            </w:r>
          </w:p>
        </w:tc>
        <w:tc>
          <w:tcPr>
            <w:tcW w:w="404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before="120" w:after="120"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Пословни субјекти – иноватори</w:t>
            </w:r>
          </w:p>
        </w:tc>
        <w:tc>
          <w:tcPr>
            <w:tcW w:w="127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Неиноватори</w:t>
            </w:r>
          </w:p>
        </w:tc>
      </w:tr>
      <w:tr w:rsidR="00D1277C" w:rsidRPr="007D3E2C" w:rsidTr="0020469C">
        <w:trPr>
          <w:trHeight w:val="230"/>
          <w:jc w:val="center"/>
        </w:trPr>
        <w:tc>
          <w:tcPr>
            <w:tcW w:w="340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иновација производа/услуге</w:t>
            </w: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иновација производног процеса</w:t>
            </w: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напуштене иновације </w:t>
            </w:r>
            <w:r w:rsidR="00124128" w:rsidRPr="001B3515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 иновације</w:t>
            </w: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 у току</w:t>
            </w:r>
          </w:p>
        </w:tc>
        <w:tc>
          <w:tcPr>
            <w:tcW w:w="127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D1277C" w:rsidRPr="00D10ADF" w:rsidRDefault="00D1277C" w:rsidP="00FD14A7">
            <w:pPr>
              <w:pBdr>
                <w:between w:val="single" w:sz="4" w:space="1" w:color="808080" w:themeColor="background1" w:themeShade="80"/>
              </w:pBd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</w:tr>
      <w:tr w:rsidR="00D1277C" w:rsidRPr="007D3E2C" w:rsidTr="0020469C">
        <w:trPr>
          <w:trHeight w:val="230"/>
          <w:jc w:val="center"/>
        </w:trPr>
        <w:tc>
          <w:tcPr>
            <w:tcW w:w="340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D1277C" w:rsidRPr="00D10ADF" w:rsidRDefault="00D1277C" w:rsidP="00FD14A7">
            <w:pPr>
              <w:spacing w:line="264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</w:tr>
      <w:tr w:rsidR="00D10ADF" w:rsidRPr="007D3E2C" w:rsidTr="0020469C">
        <w:trPr>
          <w:trHeight w:val="20"/>
          <w:jc w:val="center"/>
        </w:trPr>
        <w:tc>
          <w:tcPr>
            <w:tcW w:w="3402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672FE0" w:rsidRPr="008A6A1E" w:rsidTr="0020469C">
        <w:trPr>
          <w:trHeight w:val="20"/>
          <w:jc w:val="center"/>
        </w:trPr>
        <w:tc>
          <w:tcPr>
            <w:tcW w:w="3402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РЕПУБЛИКА СРБИЈА</w:t>
            </w:r>
          </w:p>
        </w:tc>
        <w:tc>
          <w:tcPr>
            <w:tcW w:w="998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30832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Cyrl-RS"/>
              </w:rPr>
              <w:t>7136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7989</w:t>
            </w:r>
          </w:p>
        </w:tc>
        <w:tc>
          <w:tcPr>
            <w:tcW w:w="1644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30832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Cyrl-RS"/>
              </w:rPr>
              <w:t>984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30832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Cyrl-RS"/>
              </w:rPr>
              <w:t>9462</w:t>
            </w:r>
          </w:p>
        </w:tc>
      </w:tr>
      <w:tr w:rsidR="00672FE0" w:rsidRPr="008A6A1E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30832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Cyrl-RS"/>
              </w:rPr>
              <w:t>5758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6205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6C6AB4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704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7994</w:t>
            </w:r>
          </w:p>
        </w:tc>
      </w:tr>
      <w:tr w:rsidR="00672FE0" w:rsidRPr="008A6A1E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1060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1409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202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1261</w:t>
            </w:r>
          </w:p>
        </w:tc>
      </w:tr>
      <w:tr w:rsidR="00672FE0" w:rsidRPr="008A6A1E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672FE0" w:rsidP="00FD14A7">
            <w:pPr>
              <w:spacing w:line="264" w:lineRule="auto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318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375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6C6AB4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78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8A6A1E" w:rsidRDefault="00D30832" w:rsidP="00FD14A7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207</w:t>
            </w:r>
          </w:p>
        </w:tc>
      </w:tr>
      <w:tr w:rsidR="00D10ADF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Београдски регион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3438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3792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30832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Cyrl-RS"/>
              </w:rPr>
              <w:t>506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3913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2841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3001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30832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Cyrl-RS"/>
              </w:rPr>
              <w:t>373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30832" w:rsidRDefault="00672FE0" w:rsidP="00D30832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  <w:r w:rsidR="00D30832">
              <w:rPr>
                <w:rFonts w:cs="Arial"/>
                <w:color w:val="000000"/>
                <w:sz w:val="16"/>
                <w:szCs w:val="16"/>
                <w:lang w:val="sr-Cyrl-RS"/>
              </w:rPr>
              <w:t>327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458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30832" w:rsidRDefault="00672FE0" w:rsidP="00D30832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1</w:t>
            </w:r>
            <w:r w:rsidR="00D30832">
              <w:rPr>
                <w:rFonts w:cs="Arial"/>
                <w:color w:val="000000"/>
                <w:sz w:val="16"/>
                <w:szCs w:val="16"/>
                <w:lang w:val="sr-Cyrl-RS"/>
              </w:rPr>
              <w:t>03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30832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Cyrl-RS"/>
              </w:rPr>
              <w:t>517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139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174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30832" w:rsidRDefault="00672FE0" w:rsidP="00D30832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  <w:r w:rsidR="00D30832">
              <w:rPr>
                <w:rFonts w:cs="Arial"/>
                <w:color w:val="000000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69</w:t>
            </w:r>
          </w:p>
        </w:tc>
      </w:tr>
      <w:tr w:rsidR="00D10ADF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Регион Војводине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30832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Cyrl-RS"/>
              </w:rPr>
              <w:t>1695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1914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291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D30832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2472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1347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1457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206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2075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D30832">
            <w:pPr>
              <w:spacing w:line="264" w:lineRule="auto"/>
              <w:jc w:val="center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Cyrl-RS"/>
              </w:rPr>
              <w:t xml:space="preserve">                        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370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  <w:r w:rsidR="00672FE0" w:rsidRPr="007F650B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330</w:t>
            </w:r>
          </w:p>
        </w:tc>
      </w:tr>
      <w:tr w:rsidR="00672FE0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D10ADF" w:rsidRDefault="00672FE0" w:rsidP="00FD14A7">
            <w:pPr>
              <w:spacing w:line="264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83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D30832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Cyrl-RS"/>
              </w:rPr>
              <w:t>87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FD14A7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23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E0" w:rsidRPr="007F650B" w:rsidRDefault="00D30832" w:rsidP="006C6AB4">
            <w:pPr>
              <w:spacing w:line="264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67</w:t>
            </w:r>
          </w:p>
        </w:tc>
      </w:tr>
    </w:tbl>
    <w:p w:rsidR="006C6AB4" w:rsidRDefault="006C6AB4">
      <w:pPr>
        <w:rPr>
          <w:rFonts w:cs="Arial"/>
          <w:b/>
          <w:bCs/>
          <w:szCs w:val="20"/>
          <w:lang w:val="sr-Latn-RS"/>
        </w:rPr>
      </w:pPr>
      <w:r>
        <w:rPr>
          <w:rFonts w:cs="Arial"/>
          <w:b/>
          <w:bCs/>
          <w:szCs w:val="20"/>
          <w:lang w:val="sr-Latn-RS"/>
        </w:rPr>
        <w:br w:type="page"/>
      </w:r>
    </w:p>
    <w:p w:rsidR="00D10ADF" w:rsidRPr="00D10ADF" w:rsidRDefault="00D10ADF" w:rsidP="008A6A1E">
      <w:pPr>
        <w:pBdr>
          <w:between w:val="single" w:sz="4" w:space="1" w:color="808080" w:themeColor="background1" w:themeShade="80"/>
        </w:pBdr>
        <w:spacing w:after="40" w:line="252" w:lineRule="auto"/>
        <w:rPr>
          <w:rFonts w:cs="Arial"/>
          <w:bCs/>
          <w:szCs w:val="20"/>
          <w:lang w:val="sr-Cyrl-RS"/>
        </w:rPr>
      </w:pPr>
      <w:r w:rsidRPr="00D10ADF">
        <w:rPr>
          <w:rFonts w:cs="Arial"/>
          <w:b/>
          <w:bCs/>
          <w:szCs w:val="20"/>
          <w:lang w:val="sr-Latn-RS"/>
        </w:rPr>
        <w:lastRenderedPageBreak/>
        <w:t>2. Заступљеност врста иновација према територији и величини пословног субјекта</w:t>
      </w:r>
      <w:r>
        <w:rPr>
          <w:rFonts w:cs="Arial"/>
          <w:b/>
          <w:bCs/>
          <w:szCs w:val="20"/>
          <w:lang w:val="sr-Latn-RS"/>
        </w:rPr>
        <w:t xml:space="preserve">  </w:t>
      </w:r>
      <w:r>
        <w:rPr>
          <w:rFonts w:cs="Arial"/>
          <w:bCs/>
          <w:szCs w:val="20"/>
          <w:lang w:val="sr-Cyrl-RS"/>
        </w:rPr>
        <w:t>(наставак)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264"/>
        <w:gridCol w:w="965"/>
        <w:gridCol w:w="1583"/>
        <w:gridCol w:w="1583"/>
        <w:gridCol w:w="1583"/>
        <w:gridCol w:w="1228"/>
      </w:tblGrid>
      <w:tr w:rsidR="00D10ADF" w:rsidRPr="00D10ADF" w:rsidTr="0020469C">
        <w:trPr>
          <w:trHeight w:val="20"/>
          <w:jc w:val="center"/>
        </w:trPr>
        <w:tc>
          <w:tcPr>
            <w:tcW w:w="3402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Територија</w:t>
            </w:r>
          </w:p>
        </w:tc>
        <w:tc>
          <w:tcPr>
            <w:tcW w:w="99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Величина</w:t>
            </w:r>
          </w:p>
        </w:tc>
        <w:tc>
          <w:tcPr>
            <w:tcW w:w="404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before="120" w:after="120"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Пословни субјекти – иноватори</w:t>
            </w:r>
          </w:p>
        </w:tc>
        <w:tc>
          <w:tcPr>
            <w:tcW w:w="127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Неиноватори</w:t>
            </w:r>
          </w:p>
        </w:tc>
        <w:bookmarkStart w:id="0" w:name="_GoBack"/>
        <w:bookmarkEnd w:id="0"/>
      </w:tr>
      <w:tr w:rsidR="00D10ADF" w:rsidRPr="007D3E2C" w:rsidTr="0020469C">
        <w:trPr>
          <w:trHeight w:val="230"/>
          <w:jc w:val="center"/>
        </w:trPr>
        <w:tc>
          <w:tcPr>
            <w:tcW w:w="340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иновација производа/услуге</w:t>
            </w: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>иновација производног процеса</w:t>
            </w:r>
          </w:p>
        </w:tc>
        <w:tc>
          <w:tcPr>
            <w:tcW w:w="164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напуштене </w:t>
            </w:r>
            <w:r w:rsidR="00124128">
              <w:rPr>
                <w:rFonts w:cs="Arial"/>
                <w:bCs/>
                <w:color w:val="000000"/>
                <w:sz w:val="16"/>
                <w:szCs w:val="16"/>
                <w:lang w:val="sr-Cyrl-RS"/>
              </w:rPr>
              <w:t xml:space="preserve">иновације </w:t>
            </w: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или </w:t>
            </w:r>
            <w:r w:rsidR="007C155C">
              <w:rPr>
                <w:rFonts w:cs="Arial"/>
                <w:bCs/>
                <w:color w:val="000000"/>
                <w:sz w:val="16"/>
                <w:szCs w:val="16"/>
                <w:lang w:val="sr-Cyrl-RS"/>
              </w:rPr>
              <w:t>иновације</w:t>
            </w:r>
            <w:r w:rsidRPr="00D10ADF"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  <w:t xml:space="preserve"> у току</w:t>
            </w:r>
          </w:p>
        </w:tc>
        <w:tc>
          <w:tcPr>
            <w:tcW w:w="127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D10ADF" w:rsidRPr="00D10ADF" w:rsidRDefault="00D10ADF" w:rsidP="008A6A1E">
            <w:pPr>
              <w:pBdr>
                <w:between w:val="single" w:sz="4" w:space="1" w:color="808080" w:themeColor="background1" w:themeShade="80"/>
              </w:pBd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</w:tr>
      <w:tr w:rsidR="00D10ADF" w:rsidRPr="007D3E2C" w:rsidTr="0020469C">
        <w:trPr>
          <w:trHeight w:val="230"/>
          <w:jc w:val="center"/>
        </w:trPr>
        <w:tc>
          <w:tcPr>
            <w:tcW w:w="340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bCs/>
                <w:color w:val="000000"/>
                <w:sz w:val="16"/>
                <w:szCs w:val="16"/>
                <w:lang w:val="sr-Latn-RS"/>
              </w:rPr>
            </w:pPr>
          </w:p>
        </w:tc>
      </w:tr>
      <w:tr w:rsidR="00D10ADF" w:rsidRPr="007D3E2C" w:rsidTr="0020469C">
        <w:trPr>
          <w:trHeight w:val="20"/>
          <w:jc w:val="center"/>
        </w:trPr>
        <w:tc>
          <w:tcPr>
            <w:tcW w:w="3402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Регион Шумадије и Западне Србије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1429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1617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6C6AB4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138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1774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1150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1253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90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1513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297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29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  <w:r w:rsidR="00BF0C56"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14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6C6AB4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19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47</w:t>
            </w:r>
          </w:p>
        </w:tc>
      </w:tr>
      <w:tr w:rsidR="00D10ADF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D10ADF" w:rsidRDefault="00D10ADF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BF0C56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BF0C56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10ADF" w:rsidRPr="00BF0C56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ADF" w:rsidRPr="00BF0C56" w:rsidRDefault="00D10ADF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Регион Јужне и Источне Србије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574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49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1303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6C6AB4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494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35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1079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115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6C6AB4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126</w:t>
            </w:r>
          </w:p>
        </w:tc>
        <w:tc>
          <w:tcPr>
            <w:tcW w:w="1644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200</w:t>
            </w:r>
          </w:p>
        </w:tc>
      </w:tr>
      <w:tr w:rsidR="00BF0C56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D10ADF" w:rsidRDefault="00BF0C56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39</w:t>
            </w:r>
          </w:p>
        </w:tc>
        <w:tc>
          <w:tcPr>
            <w:tcW w:w="164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47</w:t>
            </w:r>
          </w:p>
        </w:tc>
        <w:tc>
          <w:tcPr>
            <w:tcW w:w="1644" w:type="dxa"/>
            <w:tcBorders>
              <w:top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F0C56" w:rsidRPr="00BF0C56" w:rsidRDefault="0013294E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BF0C56" w:rsidRPr="00BF0C56" w:rsidRDefault="00BF0C56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BF0C56">
              <w:rPr>
                <w:rFonts w:cs="Arial"/>
                <w:color w:val="000000"/>
                <w:sz w:val="16"/>
                <w:szCs w:val="16"/>
                <w:lang w:val="sr-Latn-RS"/>
              </w:rPr>
              <w:t>24</w:t>
            </w:r>
          </w:p>
        </w:tc>
      </w:tr>
      <w:tr w:rsidR="004B61FB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644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3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4B61FB" w:rsidRPr="00D10ADF" w:rsidTr="0020469C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B61FB" w:rsidRPr="004B61FB" w:rsidRDefault="004B61FB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Cyrl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 xml:space="preserve">Регион </w:t>
            </w:r>
            <w:r>
              <w:rPr>
                <w:rFonts w:cs="Arial"/>
                <w:color w:val="000000"/>
                <w:sz w:val="16"/>
                <w:szCs w:val="16"/>
                <w:lang w:val="sr-Cyrl-RS"/>
              </w:rPr>
              <w:t>Косово и Метохија</w:t>
            </w:r>
          </w:p>
        </w:tc>
        <w:tc>
          <w:tcPr>
            <w:tcW w:w="998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B61FB" w:rsidRPr="00D10ADF" w:rsidRDefault="004B61FB" w:rsidP="008A6A1E">
            <w:pPr>
              <w:spacing w:line="252" w:lineRule="auto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color w:val="000000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644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...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...</w:t>
            </w:r>
          </w:p>
        </w:tc>
        <w:tc>
          <w:tcPr>
            <w:tcW w:w="1644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...</w:t>
            </w:r>
          </w:p>
        </w:tc>
        <w:tc>
          <w:tcPr>
            <w:tcW w:w="1273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4B61FB" w:rsidRPr="00D10ADF" w:rsidRDefault="004B61FB" w:rsidP="008A6A1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...</w:t>
            </w:r>
          </w:p>
        </w:tc>
      </w:tr>
    </w:tbl>
    <w:p w:rsidR="00FC0311" w:rsidRDefault="00D10ADF" w:rsidP="008A6A1E">
      <w:pPr>
        <w:pStyle w:val="NaslovMetodologijaiNapomena"/>
        <w:spacing w:before="360" w:after="0" w:line="252" w:lineRule="auto"/>
        <w:jc w:val="both"/>
        <w:rPr>
          <w:rFonts w:cs="Arial"/>
          <w:bCs/>
          <w:szCs w:val="20"/>
          <w:lang w:val="sr-Cyrl-RS"/>
        </w:rPr>
      </w:pPr>
      <w:r w:rsidRPr="006731AC">
        <w:rPr>
          <w:rFonts w:cs="Arial"/>
          <w:bCs/>
          <w:szCs w:val="20"/>
          <w:lang w:val="sr-Cyrl-RS"/>
        </w:rPr>
        <w:t>Граф. 1.</w:t>
      </w:r>
      <w:r w:rsidR="00D1277C" w:rsidRPr="006731AC">
        <w:rPr>
          <w:rFonts w:cs="Arial"/>
          <w:bCs/>
          <w:szCs w:val="20"/>
          <w:lang w:val="sr-Latn-RS"/>
        </w:rPr>
        <w:t xml:space="preserve"> </w:t>
      </w:r>
      <w:r w:rsidRPr="006731AC">
        <w:rPr>
          <w:rFonts w:cs="Arial"/>
          <w:bCs/>
          <w:szCs w:val="20"/>
          <w:lang w:val="sr-Cyrl-RS"/>
        </w:rPr>
        <w:t>З</w:t>
      </w:r>
      <w:r w:rsidR="00D1277C" w:rsidRPr="006731AC">
        <w:rPr>
          <w:rFonts w:cs="Arial"/>
          <w:bCs/>
          <w:szCs w:val="20"/>
          <w:lang w:val="sr-Latn-RS"/>
        </w:rPr>
        <w:t>аступљеност врста иновација према територији</w:t>
      </w:r>
      <w:r w:rsidR="00124128" w:rsidRPr="006731AC">
        <w:rPr>
          <w:rFonts w:cs="Arial"/>
          <w:bCs/>
          <w:szCs w:val="20"/>
          <w:lang w:val="sr-Cyrl-RS"/>
        </w:rPr>
        <w:t xml:space="preserve"> (%)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5"/>
      </w:tblGrid>
      <w:tr w:rsidR="006731AC" w:rsidTr="006731AC">
        <w:tc>
          <w:tcPr>
            <w:tcW w:w="10195" w:type="dxa"/>
            <w:vAlign w:val="center"/>
          </w:tcPr>
          <w:p w:rsidR="006731AC" w:rsidRDefault="00A831FC" w:rsidP="002F0B73">
            <w:pPr>
              <w:pStyle w:val="NaslovMetodologijaiNapomena"/>
              <w:spacing w:after="120"/>
              <w:rPr>
                <w:rFonts w:cs="Arial"/>
                <w:bCs/>
                <w:szCs w:val="20"/>
                <w:lang w:val="sr-Cyrl-RS"/>
              </w:rPr>
            </w:pPr>
            <w:r w:rsidRPr="00A831FC">
              <w:rPr>
                <w:rFonts w:cs="Arial"/>
                <w:bCs/>
                <w:noProof/>
                <w:szCs w:val="20"/>
              </w:rPr>
              <w:drawing>
                <wp:inline distT="0" distB="0" distL="0" distR="0">
                  <wp:extent cx="5943600" cy="19653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96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58" w:rsidRPr="00D10ADF" w:rsidRDefault="00B34DCE" w:rsidP="008A6A1E">
      <w:pPr>
        <w:pStyle w:val="NaslovMetodologijaiNapomena"/>
        <w:spacing w:before="360" w:after="40" w:line="252" w:lineRule="auto"/>
        <w:jc w:val="left"/>
        <w:rPr>
          <w:rFonts w:cs="Arial"/>
          <w:szCs w:val="20"/>
          <w:lang w:val="sr-Latn-RS"/>
        </w:rPr>
      </w:pPr>
      <w:r>
        <w:rPr>
          <w:rFonts w:cs="Arial"/>
          <w:szCs w:val="20"/>
          <w:lang w:val="sr-Cyrl-RS"/>
        </w:rPr>
        <w:t>3</w:t>
      </w:r>
      <w:r w:rsidR="00577258" w:rsidRPr="00D10ADF">
        <w:rPr>
          <w:rFonts w:cs="Arial"/>
          <w:szCs w:val="20"/>
          <w:lang w:val="sr-Latn-RS"/>
        </w:rPr>
        <w:t>. Пословни субјекти према врсти иновативности и секторима делатности</w:t>
      </w:r>
    </w:p>
    <w:tbl>
      <w:tblPr>
        <w:tblW w:w="102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515"/>
        <w:gridCol w:w="688"/>
        <w:gridCol w:w="688"/>
        <w:gridCol w:w="688"/>
        <w:gridCol w:w="689"/>
        <w:gridCol w:w="689"/>
        <w:gridCol w:w="689"/>
        <w:gridCol w:w="689"/>
        <w:gridCol w:w="689"/>
        <w:gridCol w:w="852"/>
      </w:tblGrid>
      <w:tr w:rsidR="00710319" w:rsidRPr="00D10ADF" w:rsidTr="00710319">
        <w:trPr>
          <w:trHeight w:val="20"/>
          <w:jc w:val="center"/>
        </w:trPr>
        <w:tc>
          <w:tcPr>
            <w:tcW w:w="3884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550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before="120" w:after="120" w:line="252" w:lineRule="auto"/>
              <w:jc w:val="center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Иноватори</w:t>
            </w:r>
          </w:p>
        </w:tc>
        <w:tc>
          <w:tcPr>
            <w:tcW w:w="8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jc w:val="center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Неинова-тори</w:t>
            </w:r>
            <w:r>
              <w:rPr>
                <w:rFonts w:cs="Arial"/>
                <w:sz w:val="16"/>
                <w:szCs w:val="16"/>
                <w:lang w:val="sr-Latn-RS"/>
              </w:rPr>
              <w:t>, %</w:t>
            </w:r>
          </w:p>
        </w:tc>
      </w:tr>
      <w:tr w:rsidR="00710319" w:rsidRPr="007D3E2C" w:rsidTr="00710319">
        <w:trPr>
          <w:trHeight w:val="20"/>
          <w:jc w:val="center"/>
        </w:trPr>
        <w:tc>
          <w:tcPr>
            <w:tcW w:w="3884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37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производа/</w:t>
            </w:r>
            <w:r>
              <w:rPr>
                <w:rFonts w:cs="Arial"/>
                <w:sz w:val="16"/>
                <w:szCs w:val="16"/>
                <w:lang w:val="sr-Cyrl-RS"/>
              </w:rPr>
              <w:t xml:space="preserve">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услуга </w:t>
            </w:r>
          </w:p>
        </w:tc>
        <w:tc>
          <w:tcPr>
            <w:tcW w:w="13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производног процеса</w:t>
            </w:r>
          </w:p>
        </w:tc>
        <w:tc>
          <w:tcPr>
            <w:tcW w:w="13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напуштен</w:t>
            </w:r>
            <w:r>
              <w:rPr>
                <w:rFonts w:cs="Arial"/>
                <w:sz w:val="16"/>
                <w:szCs w:val="16"/>
                <w:lang w:val="sr-Cyrl-RS"/>
              </w:rPr>
              <w:t>их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 иновациј</w:t>
            </w:r>
            <w:r>
              <w:rPr>
                <w:rFonts w:cs="Arial"/>
                <w:sz w:val="16"/>
                <w:szCs w:val="16"/>
                <w:lang w:val="sr-Cyrl-RS"/>
              </w:rPr>
              <w:t>а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 или </w:t>
            </w:r>
            <w:r>
              <w:rPr>
                <w:rFonts w:cs="Arial"/>
                <w:sz w:val="16"/>
                <w:szCs w:val="16"/>
                <w:lang w:val="sr-Cyrl-RS"/>
              </w:rPr>
              <w:t>иновација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 у току</w:t>
            </w:r>
          </w:p>
        </w:tc>
        <w:tc>
          <w:tcPr>
            <w:tcW w:w="8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jc w:val="center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710319" w:rsidRPr="00D10ADF" w:rsidTr="00710319">
        <w:trPr>
          <w:trHeight w:val="20"/>
          <w:jc w:val="center"/>
        </w:trPr>
        <w:tc>
          <w:tcPr>
            <w:tcW w:w="3884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10319" w:rsidRPr="00D10ADF" w:rsidRDefault="00710319" w:rsidP="00710319">
            <w:pPr>
              <w:spacing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број</w:t>
            </w: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%</w:t>
            </w: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број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%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број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%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број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D10ADF" w:rsidRDefault="00710319" w:rsidP="00710319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%</w:t>
            </w:r>
          </w:p>
        </w:tc>
        <w:tc>
          <w:tcPr>
            <w:tcW w:w="8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jc w:val="center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710319" w:rsidRPr="00D10ADF" w:rsidTr="00710319">
        <w:trPr>
          <w:trHeight w:val="20"/>
          <w:jc w:val="center"/>
        </w:trPr>
        <w:tc>
          <w:tcPr>
            <w:tcW w:w="369" w:type="dxa"/>
            <w:tcBorders>
              <w:top w:val="single" w:sz="4" w:space="0" w:color="808080" w:themeColor="background1" w:themeShade="80"/>
            </w:tcBorders>
            <w:vAlign w:val="center"/>
          </w:tcPr>
          <w:p w:rsidR="00710319" w:rsidRDefault="00710319" w:rsidP="00710319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351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</w:p>
        </w:tc>
      </w:tr>
      <w:tr w:rsidR="00710319" w:rsidRPr="00D10ADF" w:rsidTr="008E6A03">
        <w:trPr>
          <w:trHeight w:val="20"/>
          <w:jc w:val="center"/>
        </w:trPr>
        <w:tc>
          <w:tcPr>
            <w:tcW w:w="3884" w:type="dxa"/>
            <w:gridSpan w:val="2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8A6A1E" w:rsidRDefault="00710319" w:rsidP="00710319">
            <w:pPr>
              <w:spacing w:line="252" w:lineRule="auto"/>
              <w:rPr>
                <w:rFonts w:cs="Arial"/>
                <w:b/>
                <w:sz w:val="16"/>
                <w:szCs w:val="16"/>
                <w:lang w:val="sr-Latn-RS"/>
              </w:rPr>
            </w:pPr>
            <w:r w:rsidRPr="008A6A1E">
              <w:rPr>
                <w:rFonts w:cs="Arial"/>
                <w:b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E00BA" w:rsidRDefault="008E00BA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Cyrl-RS"/>
              </w:rPr>
              <w:t>9905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51,1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7136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36,8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7989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41,3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984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8A6A1E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5,1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8A6A1E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48,9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 A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Пољопривреда, шумарство и рибарство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E00B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157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39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="00710319"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76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19,2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32,7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5,6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60,3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 B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Рударство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E00B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23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19,2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13,7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="008740D7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76,7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C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Прерађивачка индустрија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2268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51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="00710319"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1720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39,1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1809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41,1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302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6,9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48,5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D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Снабдевање електричном енергијом, гасом и паром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35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11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34,6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3,8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64,1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E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Снабдевање водом и управљање отпадним водама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  <w:r w:rsidR="00710319"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24,0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148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43,9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3,3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43,6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F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Грађевинарство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31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353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24,5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357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24,8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1,5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68,8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G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 xml:space="preserve">Трговина на велико и мало и поправка моторних возила 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2180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61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1524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42,6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1763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49,3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2,5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39,0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H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Саобраћај и складиштење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447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38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="00710319"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18,6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382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33,2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0,3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61,2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Услуге смештаја и исхране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64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52,9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369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48,4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3,9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35,5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J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Информисање и комуникације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1470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71031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59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="00E33DCA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1130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45,8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1259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51,0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274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11,1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40,5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K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Финансијске делатности и осигурање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33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83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21,4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27,6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4,1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66,5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L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Пословање некретнинама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E33DCA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28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20,6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28,9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6A374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6A3749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71,1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M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Стручне, научне, иновационе и техничке делатности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1726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50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="00710319" w:rsidRPr="001F03B2">
              <w:rPr>
                <w:rFonts w:cs="Arial"/>
                <w:color w:val="000000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1320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38,7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1331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39,0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193</w:t>
            </w:r>
          </w:p>
        </w:tc>
        <w:tc>
          <w:tcPr>
            <w:tcW w:w="689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5,7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49,4</w:t>
            </w:r>
          </w:p>
        </w:tc>
      </w:tr>
      <w:tr w:rsidR="00710319" w:rsidRPr="00D10ADF" w:rsidTr="00F90748">
        <w:trPr>
          <w:trHeight w:val="20"/>
          <w:jc w:val="center"/>
        </w:trPr>
        <w:tc>
          <w:tcPr>
            <w:tcW w:w="369" w:type="dxa"/>
          </w:tcPr>
          <w:p w:rsidR="00710319" w:rsidRPr="00D10ADF" w:rsidRDefault="00710319" w:rsidP="00F90748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Latn-RS"/>
              </w:rPr>
              <w:t xml:space="preserve">N </w:t>
            </w:r>
            <w:r w:rsidRPr="00D10ADF">
              <w:rPr>
                <w:rFonts w:cs="Arial"/>
                <w:sz w:val="16"/>
                <w:szCs w:val="16"/>
                <w:lang w:val="sr-Latn-RS"/>
              </w:rPr>
              <w:t>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:rsidR="00710319" w:rsidRPr="00D10ADF" w:rsidRDefault="00710319" w:rsidP="00710319">
            <w:pPr>
              <w:spacing w:line="252" w:lineRule="auto"/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Административне и помоћне услужне делатности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EB2A1D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322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E33DCA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41</w:t>
            </w:r>
            <w:r w:rsidR="00710319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188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23,9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270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A92255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34,4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2,4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10319" w:rsidRPr="001F03B2" w:rsidRDefault="008740D7" w:rsidP="00710319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59,0</w:t>
            </w:r>
          </w:p>
        </w:tc>
      </w:tr>
    </w:tbl>
    <w:p w:rsidR="00943CC6" w:rsidRPr="00722EC5" w:rsidRDefault="00943CC6" w:rsidP="00301A43">
      <w:pPr>
        <w:pStyle w:val="NaslovMetodologijaiNapomena"/>
        <w:spacing w:before="240" w:after="120" w:line="252" w:lineRule="auto"/>
        <w:ind w:firstLine="397"/>
        <w:jc w:val="both"/>
        <w:rPr>
          <w:b w:val="0"/>
          <w:szCs w:val="20"/>
          <w:lang w:val="sr-Cyrl-RS"/>
        </w:rPr>
      </w:pPr>
      <w:r w:rsidRPr="00EB36A2">
        <w:rPr>
          <w:b w:val="0"/>
          <w:szCs w:val="20"/>
          <w:lang w:val="sr-Latn-RS"/>
        </w:rPr>
        <w:t>Највећа заступљеност пословних субјеката иноватора је у сек</w:t>
      </w:r>
      <w:r w:rsidR="00124128" w:rsidRPr="00EB36A2">
        <w:rPr>
          <w:b w:val="0"/>
          <w:szCs w:val="20"/>
          <w:lang w:val="sr-Latn-RS"/>
        </w:rPr>
        <w:t>тору</w:t>
      </w:r>
      <w:r w:rsidR="00722EC5" w:rsidRPr="00EB36A2">
        <w:rPr>
          <w:rFonts w:cs="Arial"/>
          <w:sz w:val="16"/>
          <w:szCs w:val="16"/>
          <w:lang w:val="sr-Latn-RS"/>
        </w:rPr>
        <w:t xml:space="preserve"> </w:t>
      </w:r>
      <w:r w:rsidR="00722EC5" w:rsidRPr="00EB36A2">
        <w:rPr>
          <w:b w:val="0"/>
          <w:szCs w:val="20"/>
          <w:lang w:val="sr-Latn-RS"/>
        </w:rPr>
        <w:t>Услуг</w:t>
      </w:r>
      <w:r w:rsidR="00722EC5" w:rsidRPr="00EB36A2">
        <w:rPr>
          <w:b w:val="0"/>
          <w:szCs w:val="20"/>
          <w:lang w:val="sr-Cyrl-RS"/>
        </w:rPr>
        <w:t>а</w:t>
      </w:r>
      <w:r w:rsidR="00722EC5" w:rsidRPr="00EB36A2">
        <w:rPr>
          <w:b w:val="0"/>
          <w:szCs w:val="20"/>
          <w:lang w:val="sr-Latn-RS"/>
        </w:rPr>
        <w:t xml:space="preserve"> смештаја и исхране, </w:t>
      </w:r>
      <w:r w:rsidR="00EB36A2" w:rsidRPr="00EB36A2">
        <w:rPr>
          <w:b w:val="0"/>
          <w:szCs w:val="20"/>
          <w:lang w:val="sr-Cyrl-RS"/>
        </w:rPr>
        <w:t xml:space="preserve">64,5% и у сектору </w:t>
      </w:r>
      <w:r w:rsidR="00EB36A2" w:rsidRPr="00EB36A2">
        <w:rPr>
          <w:b w:val="0"/>
          <w:szCs w:val="20"/>
          <w:lang w:val="sr-Latn-RS"/>
        </w:rPr>
        <w:t>Трговина на велико и мало и поправка моторних возила,</w:t>
      </w:r>
      <w:r w:rsidR="00722EC5" w:rsidRPr="00EB36A2">
        <w:rPr>
          <w:b w:val="0"/>
          <w:szCs w:val="20"/>
          <w:lang w:val="sr-Latn-RS"/>
        </w:rPr>
        <w:t xml:space="preserve"> </w:t>
      </w:r>
      <w:r w:rsidR="00EB36A2" w:rsidRPr="00EB36A2">
        <w:rPr>
          <w:b w:val="0"/>
          <w:szCs w:val="20"/>
          <w:lang w:val="sr-Latn-RS"/>
        </w:rPr>
        <w:t>61</w:t>
      </w:r>
      <w:r w:rsidRPr="00EB36A2">
        <w:rPr>
          <w:b w:val="0"/>
          <w:szCs w:val="20"/>
          <w:lang w:val="sr-Latn-RS"/>
        </w:rPr>
        <w:t>%</w:t>
      </w:r>
      <w:r w:rsidR="00722EC5" w:rsidRPr="00EB36A2">
        <w:rPr>
          <w:b w:val="0"/>
          <w:szCs w:val="20"/>
          <w:lang w:val="sr-Latn-RS"/>
        </w:rPr>
        <w:t xml:space="preserve">, док је најмања заступљеност иноватора у сектору </w:t>
      </w:r>
      <w:r w:rsidR="00EB36A2" w:rsidRPr="00EB36A2">
        <w:rPr>
          <w:b w:val="0"/>
          <w:szCs w:val="20"/>
          <w:lang w:val="sr-Cyrl-RS"/>
        </w:rPr>
        <w:t>Рударства, 23,3%.</w:t>
      </w:r>
    </w:p>
    <w:p w:rsidR="004707EC" w:rsidRPr="00C93237" w:rsidRDefault="004707EC" w:rsidP="008A6A1E">
      <w:pPr>
        <w:spacing w:after="120" w:line="264" w:lineRule="auto"/>
        <w:rPr>
          <w:rFonts w:cs="Arial"/>
          <w:b/>
          <w:bCs/>
          <w:szCs w:val="20"/>
          <w:lang w:val="sr-Latn-RS"/>
        </w:rPr>
      </w:pPr>
      <w:r w:rsidRPr="00C93237">
        <w:rPr>
          <w:rFonts w:cs="Arial"/>
          <w:b/>
          <w:bCs/>
          <w:szCs w:val="20"/>
          <w:lang w:val="sr-Latn-RS"/>
        </w:rPr>
        <w:lastRenderedPageBreak/>
        <w:t>Удео у укупном приходу од иновација производа/услуга</w:t>
      </w:r>
    </w:p>
    <w:p w:rsidR="004707EC" w:rsidRPr="00D10ADF" w:rsidRDefault="004707EC" w:rsidP="00301A43">
      <w:pPr>
        <w:pStyle w:val="NaslovMetodologijaiNapomena"/>
        <w:spacing w:line="264" w:lineRule="auto"/>
        <w:ind w:firstLine="397"/>
        <w:jc w:val="both"/>
        <w:rPr>
          <w:b w:val="0"/>
          <w:szCs w:val="20"/>
          <w:lang w:val="sr-Latn-RS"/>
        </w:rPr>
      </w:pPr>
      <w:r w:rsidRPr="00EB36A2">
        <w:rPr>
          <w:b w:val="0"/>
          <w:szCs w:val="20"/>
          <w:lang w:val="sr-Latn-RS"/>
        </w:rPr>
        <w:t xml:space="preserve">У структури прихода пословних субјеката иноватора доминира учешће прихода од продаје непромењених или занемарљиво мало промењених производа и износи </w:t>
      </w:r>
      <w:r w:rsidR="00943CC6" w:rsidRPr="00EB36A2">
        <w:rPr>
          <w:b w:val="0"/>
          <w:szCs w:val="20"/>
          <w:lang w:val="sr-Latn-RS"/>
        </w:rPr>
        <w:t>преко 8</w:t>
      </w:r>
      <w:r w:rsidR="00EB36A2" w:rsidRPr="00EB36A2">
        <w:rPr>
          <w:b w:val="0"/>
          <w:szCs w:val="20"/>
          <w:lang w:val="sr-Cyrl-RS"/>
        </w:rPr>
        <w:t>0</w:t>
      </w:r>
      <w:r w:rsidRPr="00EB36A2">
        <w:rPr>
          <w:b w:val="0"/>
          <w:szCs w:val="20"/>
          <w:lang w:val="sr-Latn-RS"/>
        </w:rPr>
        <w:t>%. Учешће од продаје производа/услуга који су нови за пословни субјекат и учешће од продаје производа/услуга који су нови</w:t>
      </w:r>
      <w:r w:rsidR="00943CC6" w:rsidRPr="00EB36A2">
        <w:rPr>
          <w:b w:val="0"/>
          <w:szCs w:val="20"/>
          <w:lang w:val="sr-Latn-RS"/>
        </w:rPr>
        <w:t xml:space="preserve"> на тржишту збирно износи око </w:t>
      </w:r>
      <w:r w:rsidR="00EB36A2" w:rsidRPr="00EB36A2">
        <w:rPr>
          <w:b w:val="0"/>
          <w:szCs w:val="20"/>
          <w:lang w:val="sr-Cyrl-RS"/>
        </w:rPr>
        <w:t>20</w:t>
      </w:r>
      <w:r w:rsidRPr="00EB36A2">
        <w:rPr>
          <w:b w:val="0"/>
          <w:szCs w:val="20"/>
          <w:lang w:val="sr-Latn-RS"/>
        </w:rPr>
        <w:t>%.</w:t>
      </w:r>
      <w:r w:rsidRPr="00D10ADF">
        <w:rPr>
          <w:b w:val="0"/>
          <w:szCs w:val="20"/>
          <w:lang w:val="sr-Latn-RS"/>
        </w:rPr>
        <w:t xml:space="preserve"> </w:t>
      </w:r>
    </w:p>
    <w:p w:rsidR="00CB6A1B" w:rsidRDefault="00B34DCE" w:rsidP="008A6A1E">
      <w:pPr>
        <w:pStyle w:val="NaslovMetodologijaiNapomena"/>
        <w:spacing w:before="360" w:after="120" w:line="264" w:lineRule="auto"/>
        <w:jc w:val="left"/>
        <w:rPr>
          <w:sz w:val="18"/>
          <w:szCs w:val="18"/>
          <w:lang w:val="sr-Cyrl-RS"/>
        </w:rPr>
      </w:pPr>
      <w:r w:rsidRPr="006731AC">
        <w:rPr>
          <w:rFonts w:cs="Arial"/>
          <w:bCs/>
          <w:szCs w:val="20"/>
          <w:lang w:val="sr-Cyrl-RS"/>
        </w:rPr>
        <w:t>Граф. 2.</w:t>
      </w:r>
      <w:r w:rsidRPr="006731AC">
        <w:rPr>
          <w:rFonts w:cs="Arial"/>
          <w:bCs/>
          <w:szCs w:val="20"/>
          <w:lang w:val="sr-Latn-RS"/>
        </w:rPr>
        <w:t xml:space="preserve"> </w:t>
      </w:r>
      <w:r w:rsidR="004C5950" w:rsidRPr="006731AC">
        <w:rPr>
          <w:sz w:val="18"/>
          <w:szCs w:val="18"/>
          <w:lang w:val="sr-Latn-RS"/>
        </w:rPr>
        <w:t>Структура прихода иноватора</w:t>
      </w:r>
      <w:r w:rsidR="00124128" w:rsidRPr="006731AC">
        <w:rPr>
          <w:sz w:val="18"/>
          <w:szCs w:val="18"/>
          <w:lang w:val="sr-Cyrl-RS"/>
        </w:rPr>
        <w:t xml:space="preserve"> (%)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5"/>
      </w:tblGrid>
      <w:tr w:rsidR="006731AC" w:rsidTr="006731AC">
        <w:tc>
          <w:tcPr>
            <w:tcW w:w="10195" w:type="dxa"/>
            <w:vAlign w:val="center"/>
          </w:tcPr>
          <w:p w:rsidR="006731AC" w:rsidRDefault="006731AC" w:rsidP="006731AC">
            <w:pPr>
              <w:pStyle w:val="NaslovMetodologijaiNapomena"/>
              <w:spacing w:before="60" w:after="0"/>
              <w:rPr>
                <w:rFonts w:cs="Arial"/>
                <w:bCs/>
                <w:szCs w:val="20"/>
                <w:lang w:val="sr-Cyrl-RS"/>
              </w:rPr>
            </w:pPr>
            <w:r w:rsidRPr="006731AC">
              <w:rPr>
                <w:rFonts w:cs="Arial"/>
                <w:bCs/>
                <w:noProof/>
                <w:szCs w:val="20"/>
              </w:rPr>
              <w:drawing>
                <wp:inline distT="0" distB="0" distL="0" distR="0">
                  <wp:extent cx="4562475" cy="27336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7EC" w:rsidRPr="0020469C" w:rsidRDefault="004707EC" w:rsidP="008A6A1E">
      <w:pPr>
        <w:spacing w:before="360" w:after="120" w:line="264" w:lineRule="auto"/>
        <w:rPr>
          <w:rFonts w:cs="Arial"/>
          <w:b/>
          <w:bCs/>
          <w:szCs w:val="20"/>
          <w:lang w:val="sr-Latn-RS"/>
        </w:rPr>
      </w:pPr>
      <w:r w:rsidRPr="0020469C">
        <w:rPr>
          <w:rFonts w:cs="Arial"/>
          <w:b/>
          <w:bCs/>
          <w:szCs w:val="20"/>
          <w:lang w:val="sr-Latn-RS"/>
        </w:rPr>
        <w:t>Издаци за иновативне активности</w:t>
      </w:r>
    </w:p>
    <w:p w:rsidR="00722EC5" w:rsidRPr="00D10ADF" w:rsidRDefault="00722EC5" w:rsidP="00301A43">
      <w:pPr>
        <w:spacing w:before="120" w:after="120" w:line="264" w:lineRule="auto"/>
        <w:ind w:firstLine="397"/>
        <w:jc w:val="both"/>
        <w:rPr>
          <w:rFonts w:cs="Arial"/>
          <w:color w:val="FF0000"/>
          <w:szCs w:val="20"/>
          <w:lang w:val="sr-Latn-RS"/>
        </w:rPr>
      </w:pPr>
      <w:r w:rsidRPr="00D10ADF">
        <w:rPr>
          <w:rFonts w:cs="Arial"/>
          <w:szCs w:val="20"/>
          <w:lang w:val="sr-Latn-RS"/>
        </w:rPr>
        <w:t xml:space="preserve">Учешће трошкова </w:t>
      </w:r>
      <w:r>
        <w:rPr>
          <w:rFonts w:cs="Arial"/>
          <w:szCs w:val="20"/>
          <w:lang w:val="sr-Cyrl-RS"/>
        </w:rPr>
        <w:t xml:space="preserve">за </w:t>
      </w:r>
      <w:r w:rsidRPr="00D10ADF">
        <w:rPr>
          <w:rFonts w:cs="Arial"/>
          <w:szCs w:val="20"/>
          <w:lang w:val="sr-Latn-RS"/>
        </w:rPr>
        <w:t xml:space="preserve">набавку машина и опреме је </w:t>
      </w:r>
      <w:r>
        <w:rPr>
          <w:rFonts w:cs="Arial"/>
          <w:szCs w:val="20"/>
          <w:lang w:val="sr-Cyrl-RS"/>
        </w:rPr>
        <w:t>око</w:t>
      </w:r>
      <w:r w:rsidRPr="00D10ADF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80</w:t>
      </w:r>
      <w:r w:rsidRPr="00D10ADF">
        <w:rPr>
          <w:rFonts w:cs="Arial"/>
          <w:szCs w:val="20"/>
          <w:lang w:val="sr-Latn-RS"/>
        </w:rPr>
        <w:t>% и представља највећи удео укупних издатака за иновативне активности пословних субјеката</w:t>
      </w:r>
      <w:r>
        <w:rPr>
          <w:rFonts w:cs="Arial"/>
          <w:szCs w:val="20"/>
          <w:lang w:val="sr-Latn-RS"/>
        </w:rPr>
        <w:t>, док је око</w:t>
      </w:r>
      <w:r w:rsidRPr="00D10ADF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20</w:t>
      </w:r>
      <w:r w:rsidRPr="00D10ADF">
        <w:rPr>
          <w:rFonts w:cs="Arial"/>
          <w:szCs w:val="20"/>
          <w:lang w:val="sr-Latn-RS"/>
        </w:rPr>
        <w:t>% средстава уложено у све остале активности</w:t>
      </w:r>
      <w:r w:rsidRPr="007C155C">
        <w:rPr>
          <w:rFonts w:cs="Arial"/>
          <w:szCs w:val="20"/>
          <w:lang w:val="sr-Latn-RS"/>
        </w:rPr>
        <w:t>.</w:t>
      </w:r>
    </w:p>
    <w:p w:rsidR="009061FF" w:rsidRDefault="00B34DCE" w:rsidP="008A6A1E">
      <w:pPr>
        <w:spacing w:before="360" w:line="264" w:lineRule="auto"/>
        <w:jc w:val="both"/>
        <w:rPr>
          <w:b/>
          <w:noProof/>
          <w:lang w:val="sr-Latn-RS"/>
        </w:rPr>
      </w:pPr>
      <w:r w:rsidRPr="006731AC">
        <w:rPr>
          <w:rFonts w:cs="Arial"/>
          <w:b/>
          <w:bCs/>
          <w:szCs w:val="20"/>
          <w:lang w:val="sr-Cyrl-RS"/>
        </w:rPr>
        <w:t xml:space="preserve">Граф. </w:t>
      </w:r>
      <w:r w:rsidR="00880915" w:rsidRPr="006731AC">
        <w:rPr>
          <w:rFonts w:cs="Arial"/>
          <w:b/>
          <w:bCs/>
          <w:szCs w:val="20"/>
          <w:lang w:val="sr-Cyrl-RS"/>
        </w:rPr>
        <w:t>3</w:t>
      </w:r>
      <w:r w:rsidRPr="006731AC">
        <w:rPr>
          <w:rFonts w:cs="Arial"/>
          <w:b/>
          <w:bCs/>
          <w:szCs w:val="20"/>
          <w:lang w:val="sr-Cyrl-RS"/>
        </w:rPr>
        <w:t>.</w:t>
      </w:r>
      <w:r w:rsidR="009061FF" w:rsidRPr="006731AC">
        <w:rPr>
          <w:b/>
          <w:noProof/>
          <w:lang w:val="sr-Latn-RS"/>
        </w:rPr>
        <w:t xml:space="preserve"> Структура </w:t>
      </w:r>
      <w:r w:rsidR="00124128" w:rsidRPr="006731AC">
        <w:rPr>
          <w:b/>
          <w:noProof/>
          <w:lang w:val="sr-Latn-RS"/>
        </w:rPr>
        <w:t>издатака пословних субјеката, 20</w:t>
      </w:r>
      <w:r w:rsidR="00EB36A2" w:rsidRPr="006731AC">
        <w:rPr>
          <w:b/>
          <w:noProof/>
          <w:lang w:val="sr-Cyrl-RS"/>
        </w:rPr>
        <w:t>22</w:t>
      </w:r>
      <w:r w:rsidR="00124128" w:rsidRPr="006731AC">
        <w:rPr>
          <w:b/>
          <w:noProof/>
          <w:lang w:val="sr-Latn-RS"/>
        </w:rPr>
        <w:t>. (%)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5"/>
      </w:tblGrid>
      <w:tr w:rsidR="006731AC" w:rsidTr="006731AC">
        <w:tc>
          <w:tcPr>
            <w:tcW w:w="10195" w:type="dxa"/>
            <w:vAlign w:val="center"/>
          </w:tcPr>
          <w:p w:rsidR="006731AC" w:rsidRDefault="006731AC" w:rsidP="006731AC">
            <w:pPr>
              <w:pStyle w:val="NaslovMetodologijaiNapomena"/>
              <w:spacing w:before="60" w:after="0"/>
              <w:rPr>
                <w:rFonts w:cs="Arial"/>
                <w:bCs/>
                <w:szCs w:val="20"/>
                <w:lang w:val="sr-Cyrl-RS"/>
              </w:rPr>
            </w:pPr>
            <w:r w:rsidRPr="006731AC">
              <w:rPr>
                <w:rFonts w:cs="Arial"/>
                <w:bCs/>
                <w:noProof/>
                <w:szCs w:val="20"/>
              </w:rPr>
              <w:drawing>
                <wp:inline distT="0" distB="0" distL="0" distR="0">
                  <wp:extent cx="4562475" cy="27336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1AC" w:rsidRDefault="006731AC" w:rsidP="008A6A1E">
      <w:pPr>
        <w:spacing w:before="360" w:line="264" w:lineRule="auto"/>
        <w:jc w:val="both"/>
        <w:rPr>
          <w:b/>
          <w:noProof/>
          <w:lang w:val="sr-Latn-RS"/>
        </w:rPr>
      </w:pPr>
    </w:p>
    <w:p w:rsidR="006731AC" w:rsidRDefault="006731AC" w:rsidP="008A6A1E">
      <w:pPr>
        <w:spacing w:before="360" w:line="264" w:lineRule="auto"/>
        <w:jc w:val="both"/>
        <w:rPr>
          <w:b/>
          <w:noProof/>
          <w:lang w:val="sr-Latn-RS"/>
        </w:rPr>
      </w:pPr>
    </w:p>
    <w:p w:rsidR="009061FF" w:rsidRPr="00D10ADF" w:rsidRDefault="009061FF" w:rsidP="008A6A1E">
      <w:pPr>
        <w:spacing w:line="264" w:lineRule="auto"/>
        <w:jc w:val="both"/>
        <w:rPr>
          <w:noProof/>
          <w:lang w:val="sr-Latn-RS"/>
        </w:rPr>
      </w:pPr>
    </w:p>
    <w:p w:rsidR="0020469C" w:rsidRDefault="0020469C">
      <w:pPr>
        <w:rPr>
          <w:rFonts w:cs="Arial"/>
          <w:b/>
          <w:bCs/>
          <w:szCs w:val="20"/>
          <w:lang w:val="sr-Cyrl-RS"/>
        </w:rPr>
      </w:pPr>
      <w:r>
        <w:rPr>
          <w:rFonts w:cs="Arial"/>
          <w:b/>
          <w:bCs/>
          <w:szCs w:val="20"/>
          <w:lang w:val="sr-Cyrl-RS"/>
        </w:rPr>
        <w:br w:type="page"/>
      </w:r>
    </w:p>
    <w:p w:rsidR="004707EC" w:rsidRPr="00D10ADF" w:rsidRDefault="004F25EE" w:rsidP="002F0B73">
      <w:pPr>
        <w:spacing w:before="360" w:after="120"/>
        <w:ind w:left="227" w:hanging="227"/>
        <w:rPr>
          <w:rFonts w:cs="Arial"/>
          <w:b/>
          <w:noProof/>
          <w:szCs w:val="20"/>
          <w:lang w:val="sr-Latn-RS"/>
        </w:rPr>
      </w:pPr>
      <w:r>
        <w:rPr>
          <w:rFonts w:cs="Arial"/>
          <w:b/>
          <w:bCs/>
          <w:szCs w:val="20"/>
          <w:lang w:val="sr-Latn-RS"/>
        </w:rPr>
        <w:lastRenderedPageBreak/>
        <w:t>4</w:t>
      </w:r>
      <w:r w:rsidR="00C61D8F">
        <w:rPr>
          <w:rFonts w:cs="Arial"/>
          <w:b/>
          <w:bCs/>
          <w:szCs w:val="20"/>
          <w:lang w:val="sr-Cyrl-RS"/>
        </w:rPr>
        <w:t xml:space="preserve">. </w:t>
      </w:r>
      <w:r w:rsidR="004707EC" w:rsidRPr="00961DB8">
        <w:rPr>
          <w:rFonts w:cs="Arial"/>
          <w:b/>
          <w:bCs/>
          <w:szCs w:val="20"/>
          <w:lang w:val="sr-Latn-RS"/>
        </w:rPr>
        <w:t>Запослени са високим образовањем или образовањем стеченим након факултета</w:t>
      </w:r>
      <w:r w:rsidR="004707EC" w:rsidRPr="00D10ADF">
        <w:rPr>
          <w:rFonts w:cs="Arial"/>
          <w:b/>
          <w:noProof/>
          <w:szCs w:val="20"/>
          <w:lang w:val="sr-Latn-RS"/>
        </w:rPr>
        <w:t xml:space="preserve">                                      (мастер, специјалиста, магистар, доктор наука)</w:t>
      </w:r>
    </w:p>
    <w:p w:rsidR="004707EC" w:rsidRPr="00D10ADF" w:rsidRDefault="004707EC" w:rsidP="002F0B73">
      <w:pPr>
        <w:pStyle w:val="NaslovMetodologijaiNapomena"/>
        <w:spacing w:after="360"/>
        <w:ind w:firstLine="397"/>
        <w:jc w:val="both"/>
        <w:rPr>
          <w:b w:val="0"/>
          <w:szCs w:val="20"/>
          <w:lang w:val="sr-Latn-RS"/>
        </w:rPr>
      </w:pPr>
      <w:r w:rsidRPr="00EB36A2">
        <w:rPr>
          <w:b w:val="0"/>
          <w:szCs w:val="20"/>
          <w:lang w:val="sr-Latn-RS"/>
        </w:rPr>
        <w:t>У укупној</w:t>
      </w:r>
      <w:r w:rsidR="00EB36A2" w:rsidRPr="00EB36A2">
        <w:rPr>
          <w:b w:val="0"/>
          <w:szCs w:val="20"/>
          <w:lang w:val="sr-Latn-RS"/>
        </w:rPr>
        <w:t xml:space="preserve"> популацији пословних субјеката 9</w:t>
      </w:r>
      <w:r w:rsidR="000A2183" w:rsidRPr="00EB36A2">
        <w:rPr>
          <w:b w:val="0"/>
          <w:szCs w:val="20"/>
          <w:lang w:val="sr-Latn-RS"/>
        </w:rPr>
        <w:t>%</w:t>
      </w:r>
      <w:r w:rsidRPr="00EB36A2">
        <w:rPr>
          <w:b w:val="0"/>
          <w:szCs w:val="20"/>
          <w:lang w:val="sr-Latn-RS"/>
        </w:rPr>
        <w:t xml:space="preserve"> чине они у којима нема запослених са високим образовањем, с тим да су то углавном мали пословни субјекти. Највећи број средњих пословних субјеката запошљава од 1</w:t>
      </w:r>
      <w:r w:rsidR="00880915" w:rsidRPr="00EB36A2">
        <w:rPr>
          <w:b w:val="0"/>
          <w:szCs w:val="20"/>
          <w:lang w:val="sr-Cyrl-RS"/>
        </w:rPr>
        <w:t>0</w:t>
      </w:r>
      <w:r w:rsidRPr="00EB36A2">
        <w:rPr>
          <w:b w:val="0"/>
          <w:szCs w:val="20"/>
          <w:lang w:val="sr-Latn-RS"/>
        </w:rPr>
        <w:t xml:space="preserve">% до </w:t>
      </w:r>
      <w:r w:rsidR="00880915" w:rsidRPr="00EB36A2">
        <w:rPr>
          <w:b w:val="0"/>
          <w:szCs w:val="20"/>
          <w:lang w:val="sr-Cyrl-RS"/>
        </w:rPr>
        <w:t>2</w:t>
      </w:r>
      <w:r w:rsidRPr="00EB36A2">
        <w:rPr>
          <w:b w:val="0"/>
          <w:szCs w:val="20"/>
          <w:lang w:val="sr-Latn-RS"/>
        </w:rPr>
        <w:t xml:space="preserve">4% високообразованих, док </w:t>
      </w:r>
      <w:r w:rsidR="00880915" w:rsidRPr="00EB36A2">
        <w:rPr>
          <w:b w:val="0"/>
          <w:szCs w:val="20"/>
          <w:lang w:val="sr-Cyrl-RS"/>
        </w:rPr>
        <w:t>више од</w:t>
      </w:r>
      <w:r w:rsidRPr="00EB36A2">
        <w:rPr>
          <w:b w:val="0"/>
          <w:szCs w:val="20"/>
          <w:lang w:val="sr-Latn-RS"/>
        </w:rPr>
        <w:t xml:space="preserve"> трећин</w:t>
      </w:r>
      <w:r w:rsidR="00880915" w:rsidRPr="00EB36A2">
        <w:rPr>
          <w:b w:val="0"/>
          <w:szCs w:val="20"/>
          <w:lang w:val="sr-Cyrl-RS"/>
        </w:rPr>
        <w:t>е</w:t>
      </w:r>
      <w:r w:rsidRPr="00EB36A2">
        <w:rPr>
          <w:b w:val="0"/>
          <w:szCs w:val="20"/>
          <w:lang w:val="sr-Latn-RS"/>
        </w:rPr>
        <w:t xml:space="preserve"> великих пословних субјеката запошљава од 10% до 24% високообразованих кадрова.</w:t>
      </w:r>
      <w:r w:rsidRPr="00D10ADF">
        <w:rPr>
          <w:b w:val="0"/>
          <w:szCs w:val="20"/>
          <w:lang w:val="sr-Latn-RS"/>
        </w:rPr>
        <w:t xml:space="preserve"> </w:t>
      </w:r>
    </w:p>
    <w:tbl>
      <w:tblPr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6"/>
        <w:gridCol w:w="1113"/>
        <w:gridCol w:w="1113"/>
        <w:gridCol w:w="1113"/>
        <w:gridCol w:w="1113"/>
        <w:gridCol w:w="1374"/>
        <w:gridCol w:w="1276"/>
        <w:gridCol w:w="1178"/>
      </w:tblGrid>
      <w:tr w:rsidR="002425CC" w:rsidRPr="007D3E2C" w:rsidTr="002F0B73">
        <w:trPr>
          <w:trHeight w:val="20"/>
        </w:trPr>
        <w:tc>
          <w:tcPr>
            <w:tcW w:w="1926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:rsidR="002425CC" w:rsidRPr="00D10ADF" w:rsidRDefault="002425CC" w:rsidP="002F0B73">
            <w:pPr>
              <w:pStyle w:val="NaslovMetodologijaiNapomena"/>
              <w:spacing w:before="0" w:after="0"/>
              <w:jc w:val="both"/>
              <w:rPr>
                <w:sz w:val="16"/>
                <w:szCs w:val="16"/>
                <w:lang w:val="sr-Latn-RS"/>
              </w:rPr>
            </w:pPr>
          </w:p>
        </w:tc>
        <w:tc>
          <w:tcPr>
            <w:tcW w:w="828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4707EC" w:rsidP="002F0B73">
            <w:pPr>
              <w:pStyle w:val="NaslovMetodologijaiNapomena"/>
              <w:spacing w:after="120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Запослени са високим образовањем или образовањем стеченим након факултета</w:t>
            </w:r>
          </w:p>
        </w:tc>
      </w:tr>
      <w:tr w:rsidR="00FD14A7" w:rsidRPr="00D10ADF" w:rsidTr="002F0B73">
        <w:trPr>
          <w:trHeight w:val="20"/>
        </w:trPr>
        <w:tc>
          <w:tcPr>
            <w:tcW w:w="1926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hideMark/>
          </w:tcPr>
          <w:p w:rsidR="002425CC" w:rsidRPr="00D10ADF" w:rsidRDefault="002425CC" w:rsidP="002F0B73">
            <w:pPr>
              <w:pStyle w:val="NaslovMetodologijaiNapomena"/>
              <w:spacing w:before="0" w:after="0"/>
              <w:jc w:val="both"/>
              <w:rPr>
                <w:sz w:val="16"/>
                <w:szCs w:val="16"/>
                <w:lang w:val="sr-Latn-RS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2F0B73">
            <w:pPr>
              <w:pStyle w:val="NaslovMetodologijaiNapomena"/>
              <w:spacing w:before="0" w:after="0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0%</w:t>
            </w: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2F0B73">
            <w:pPr>
              <w:pStyle w:val="NaslovMetodologijaiNapomena"/>
              <w:spacing w:before="0" w:after="0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1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4%</w:t>
            </w: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2F0B73">
            <w:pPr>
              <w:pStyle w:val="NaslovMetodologijaiNapomena"/>
              <w:spacing w:before="0" w:after="0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5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9%</w:t>
            </w: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2F0B73">
            <w:pPr>
              <w:pStyle w:val="NaslovMetodologijaiNapomena"/>
              <w:spacing w:before="0" w:after="0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10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24%</w:t>
            </w:r>
          </w:p>
        </w:tc>
        <w:tc>
          <w:tcPr>
            <w:tcW w:w="1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2F0B73">
            <w:pPr>
              <w:pStyle w:val="NaslovMetodologijaiNapomena"/>
              <w:spacing w:before="0" w:after="0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25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49%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2F0B73">
            <w:pPr>
              <w:pStyle w:val="NaslovMetodologijaiNapomena"/>
              <w:spacing w:before="0" w:after="0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50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74%</w:t>
            </w:r>
          </w:p>
        </w:tc>
        <w:tc>
          <w:tcPr>
            <w:tcW w:w="11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425CC" w:rsidRPr="00D10ADF" w:rsidRDefault="002425CC" w:rsidP="002F0B73">
            <w:pPr>
              <w:pStyle w:val="NaslovMetodologijaiNapomena"/>
              <w:spacing w:after="120"/>
              <w:rPr>
                <w:b w:val="0"/>
                <w:sz w:val="16"/>
                <w:szCs w:val="16"/>
                <w:lang w:val="sr-Latn-RS"/>
              </w:rPr>
            </w:pPr>
            <w:r w:rsidRPr="00D10ADF">
              <w:rPr>
                <w:b w:val="0"/>
                <w:sz w:val="16"/>
                <w:szCs w:val="16"/>
                <w:lang w:val="sr-Latn-RS"/>
              </w:rPr>
              <w:t>75</w:t>
            </w:r>
            <w:r w:rsidRPr="00D10ADF">
              <w:rPr>
                <w:rFonts w:cs="Arial"/>
                <w:b w:val="0"/>
                <w:sz w:val="16"/>
                <w:szCs w:val="16"/>
                <w:lang w:val="sr-Latn-RS"/>
              </w:rPr>
              <w:t>‒</w:t>
            </w:r>
            <w:r w:rsidRPr="00D10ADF">
              <w:rPr>
                <w:b w:val="0"/>
                <w:sz w:val="16"/>
                <w:szCs w:val="16"/>
                <w:lang w:val="sr-Latn-RS"/>
              </w:rPr>
              <w:t>100%</w:t>
            </w:r>
          </w:p>
        </w:tc>
      </w:tr>
      <w:tr w:rsidR="00FD14A7" w:rsidRPr="00D10ADF" w:rsidTr="002F0B73">
        <w:trPr>
          <w:trHeight w:val="20"/>
        </w:trPr>
        <w:tc>
          <w:tcPr>
            <w:tcW w:w="1926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2F0B73">
            <w:pPr>
              <w:rPr>
                <w:rFonts w:cs="Arial"/>
                <w:sz w:val="16"/>
                <w:szCs w:val="16"/>
                <w:lang w:val="sr-Latn-RS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2F0B73">
            <w:pPr>
              <w:pStyle w:val="NaslovMetodologijaiNapomena"/>
              <w:spacing w:before="0" w:after="0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2F0B73">
            <w:pPr>
              <w:pStyle w:val="NaslovMetodologijaiNapomena"/>
              <w:spacing w:before="0" w:after="0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2F0B73">
            <w:pPr>
              <w:pStyle w:val="NaslovMetodologijaiNapomena"/>
              <w:spacing w:before="0" w:after="0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2F0B73">
            <w:pPr>
              <w:pStyle w:val="NaslovMetodologijaiNapomena"/>
              <w:spacing w:before="0" w:after="0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374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2F0B73">
            <w:pPr>
              <w:pStyle w:val="NaslovMetodologijaiNapomena"/>
              <w:spacing w:before="0" w:after="0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2F0B73">
            <w:pPr>
              <w:pStyle w:val="NaslovMetodologijaiNapomena"/>
              <w:spacing w:before="0" w:after="0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1178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425CC" w:rsidRPr="00D10ADF" w:rsidRDefault="002425CC" w:rsidP="002F0B73">
            <w:pPr>
              <w:pStyle w:val="NaslovMetodologijaiNapomena"/>
              <w:spacing w:before="0" w:after="0"/>
              <w:jc w:val="right"/>
              <w:rPr>
                <w:b w:val="0"/>
                <w:sz w:val="16"/>
                <w:szCs w:val="16"/>
                <w:lang w:val="sr-Latn-RS"/>
              </w:rPr>
            </w:pPr>
          </w:p>
        </w:tc>
      </w:tr>
      <w:tr w:rsidR="00FD14A7" w:rsidRPr="00C56565" w:rsidTr="002F0B73">
        <w:trPr>
          <w:trHeight w:val="20"/>
        </w:trPr>
        <w:tc>
          <w:tcPr>
            <w:tcW w:w="1926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80915" w:rsidRPr="00C56565" w:rsidRDefault="00880915" w:rsidP="002F0B73">
            <w:pPr>
              <w:rPr>
                <w:rFonts w:cs="Arial"/>
                <w:b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sz w:val="16"/>
                <w:szCs w:val="16"/>
                <w:lang w:val="sr-Latn-RS"/>
              </w:rPr>
              <w:t>Укупно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880915" w:rsidP="002F0B73">
            <w:pPr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9</w:t>
            </w:r>
            <w:r w:rsidR="0020469C"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="00B13AE2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B13AE2" w:rsidP="002F0B73">
            <w:pPr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19,4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880915" w:rsidP="002F0B73">
            <w:pPr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12</w:t>
            </w:r>
            <w:r w:rsidR="0020469C"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="00B13AE2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880915" w:rsidP="002F0B73">
            <w:pPr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19</w:t>
            </w:r>
            <w:r w:rsidR="0020469C"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,</w:t>
            </w:r>
            <w:r w:rsidRPr="00C56565"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B13AE2" w:rsidP="002F0B73">
            <w:pPr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B13AE2" w:rsidP="002F0B73">
            <w:pPr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C56565" w:rsidRDefault="00B13AE2" w:rsidP="002F0B73">
            <w:pPr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sr-Latn-RS"/>
              </w:rPr>
              <w:t>16,8</w:t>
            </w:r>
          </w:p>
        </w:tc>
      </w:tr>
      <w:tr w:rsidR="00FD14A7" w:rsidRPr="00D10ADF" w:rsidTr="002F0B73">
        <w:trPr>
          <w:trHeight w:val="20"/>
        </w:trPr>
        <w:tc>
          <w:tcPr>
            <w:tcW w:w="1926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880915" w:rsidRPr="00D10ADF" w:rsidRDefault="00880915" w:rsidP="002F0B73">
            <w:pPr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Мали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19,1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11,0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16,0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10,3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18,9</w:t>
            </w:r>
          </w:p>
        </w:tc>
      </w:tr>
      <w:tr w:rsidR="00FD14A7" w:rsidRPr="00D10ADF" w:rsidTr="002F0B73">
        <w:trPr>
          <w:trHeight w:val="20"/>
        </w:trPr>
        <w:tc>
          <w:tcPr>
            <w:tcW w:w="1926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80915" w:rsidRPr="00D10ADF" w:rsidRDefault="00880915" w:rsidP="002F0B73">
            <w:pPr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Средњи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22,8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17,7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31,0</w:t>
            </w: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9,0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8,0</w:t>
            </w:r>
          </w:p>
        </w:tc>
      </w:tr>
      <w:tr w:rsidR="00FD14A7" w:rsidRPr="00D10ADF" w:rsidTr="002F0B73">
        <w:trPr>
          <w:trHeight w:val="20"/>
        </w:trPr>
        <w:tc>
          <w:tcPr>
            <w:tcW w:w="1926" w:type="dxa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880915" w:rsidRPr="00D10ADF" w:rsidRDefault="00880915" w:rsidP="002F0B73">
            <w:pPr>
              <w:rPr>
                <w:rFonts w:cs="Arial"/>
                <w:sz w:val="16"/>
                <w:szCs w:val="16"/>
                <w:lang w:val="sr-Latn-RS"/>
              </w:rPr>
            </w:pPr>
            <w:r w:rsidRPr="00D10ADF">
              <w:rPr>
                <w:rFonts w:cs="Arial"/>
                <w:sz w:val="16"/>
                <w:szCs w:val="16"/>
                <w:lang w:val="sr-Latn-RS"/>
              </w:rPr>
              <w:t>Велики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0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="00B13AE2">
              <w:rPr>
                <w:rFonts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9,6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18,8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37,4</w:t>
            </w: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880915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880915">
              <w:rPr>
                <w:rFonts w:cs="Arial"/>
                <w:color w:val="000000"/>
                <w:sz w:val="16"/>
                <w:szCs w:val="16"/>
                <w:lang w:val="sr-Latn-RS"/>
              </w:rPr>
              <w:t>8</w:t>
            </w:r>
            <w:r w:rsidR="0020469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="00B13AE2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915" w:rsidRPr="00880915" w:rsidRDefault="00B13AE2" w:rsidP="002F0B73">
            <w:pPr>
              <w:ind w:right="170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5,5</w:t>
            </w:r>
          </w:p>
        </w:tc>
      </w:tr>
    </w:tbl>
    <w:p w:rsidR="00165EA9" w:rsidRDefault="00153CB0" w:rsidP="002F0B73">
      <w:pPr>
        <w:pStyle w:val="NaslovMetodologijaiNapomena"/>
        <w:spacing w:before="480" w:after="120"/>
        <w:ind w:firstLine="397"/>
        <w:jc w:val="both"/>
        <w:rPr>
          <w:b w:val="0"/>
          <w:szCs w:val="20"/>
          <w:lang w:val="sr-Cyrl-RS"/>
        </w:rPr>
      </w:pPr>
      <w:r w:rsidRPr="00EB36A2">
        <w:rPr>
          <w:b w:val="0"/>
          <w:szCs w:val="20"/>
          <w:lang w:val="sr-Cyrl-RS"/>
        </w:rPr>
        <w:t>Пореске олакшице за научноистраживачки рад и друге иновативне а</w:t>
      </w:r>
      <w:r w:rsidR="00CA48FF" w:rsidRPr="00EB36A2">
        <w:rPr>
          <w:b w:val="0"/>
          <w:szCs w:val="20"/>
          <w:lang w:val="sr-Cyrl-RS"/>
        </w:rPr>
        <w:t xml:space="preserve">ктивности искористило је </w:t>
      </w:r>
      <w:r w:rsidR="00EB36A2" w:rsidRPr="00EB36A2">
        <w:rPr>
          <w:b w:val="0"/>
          <w:szCs w:val="20"/>
          <w:lang w:val="sr-Cyrl-RS"/>
        </w:rPr>
        <w:t>1</w:t>
      </w:r>
      <w:r w:rsidR="00CA48FF" w:rsidRPr="00EB36A2">
        <w:rPr>
          <w:b w:val="0"/>
          <w:szCs w:val="20"/>
        </w:rPr>
        <w:t>,</w:t>
      </w:r>
      <w:r w:rsidRPr="00EB36A2">
        <w:rPr>
          <w:b w:val="0"/>
          <w:szCs w:val="20"/>
          <w:lang w:val="sr-Cyrl-RS"/>
        </w:rPr>
        <w:t>9</w:t>
      </w:r>
      <w:r w:rsidR="00CA48FF" w:rsidRPr="00EB36A2">
        <w:rPr>
          <w:b w:val="0"/>
          <w:szCs w:val="20"/>
          <w:lang w:val="sr-Cyrl-RS"/>
        </w:rPr>
        <w:t xml:space="preserve">% пословних субјеката, док је </w:t>
      </w:r>
      <w:r w:rsidR="00EB36A2" w:rsidRPr="00EB36A2">
        <w:rPr>
          <w:b w:val="0"/>
          <w:szCs w:val="20"/>
          <w:lang w:val="sr-Cyrl-RS"/>
        </w:rPr>
        <w:t>9</w:t>
      </w:r>
      <w:r w:rsidR="00CA48FF" w:rsidRPr="00EB36A2">
        <w:rPr>
          <w:b w:val="0"/>
          <w:szCs w:val="20"/>
        </w:rPr>
        <w:t>,</w:t>
      </w:r>
      <w:r w:rsidR="00EB36A2" w:rsidRPr="00EB36A2">
        <w:rPr>
          <w:b w:val="0"/>
          <w:szCs w:val="20"/>
          <w:lang w:val="sr-Cyrl-RS"/>
        </w:rPr>
        <w:t>7</w:t>
      </w:r>
      <w:r w:rsidRPr="00EB36A2">
        <w:rPr>
          <w:b w:val="0"/>
          <w:szCs w:val="20"/>
          <w:lang w:val="sr-Cyrl-RS"/>
        </w:rPr>
        <w:t>% пословних субјеката користило пореске олакшице за друге врсте активности.</w:t>
      </w:r>
    </w:p>
    <w:p w:rsidR="00153CB0" w:rsidRPr="0020469C" w:rsidRDefault="00153CB0" w:rsidP="00FD14A7">
      <w:pPr>
        <w:pStyle w:val="NaslovMetodologijaiNapomena"/>
        <w:spacing w:before="360" w:after="120" w:line="216" w:lineRule="auto"/>
        <w:jc w:val="both"/>
        <w:rPr>
          <w:szCs w:val="20"/>
          <w:lang w:val="sr-Cyrl-RS"/>
        </w:rPr>
      </w:pPr>
      <w:r w:rsidRPr="0020469C">
        <w:rPr>
          <w:szCs w:val="20"/>
          <w:lang w:val="sr-Cyrl-RS"/>
        </w:rPr>
        <w:t>Бенефити за животну средину</w:t>
      </w:r>
    </w:p>
    <w:p w:rsidR="00165EA9" w:rsidRDefault="004F25EE" w:rsidP="00FD14A7">
      <w:pPr>
        <w:pStyle w:val="NaslovMetodologijaiNapomena"/>
        <w:spacing w:before="200" w:after="120" w:line="216" w:lineRule="auto"/>
        <w:jc w:val="left"/>
        <w:rPr>
          <w:szCs w:val="20"/>
          <w:lang w:val="sr-Cyrl-RS"/>
        </w:rPr>
      </w:pPr>
      <w:r>
        <w:rPr>
          <w:szCs w:val="20"/>
          <w:lang w:val="sr-Latn-RS"/>
        </w:rPr>
        <w:t>5</w:t>
      </w:r>
      <w:r w:rsidR="00153CB0" w:rsidRPr="002F0B73">
        <w:rPr>
          <w:szCs w:val="20"/>
          <w:lang w:val="sr-Cyrl-RS"/>
        </w:rPr>
        <w:t>. Иновације са бенефитима за животну средину, %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5"/>
      </w:tblGrid>
      <w:tr w:rsidR="002F0B73" w:rsidTr="00126DF3">
        <w:tc>
          <w:tcPr>
            <w:tcW w:w="10195" w:type="dxa"/>
            <w:vAlign w:val="center"/>
          </w:tcPr>
          <w:p w:rsidR="002F0B73" w:rsidRDefault="00A252B4" w:rsidP="00126DF3">
            <w:pPr>
              <w:pStyle w:val="NaslovMetodologijaiNapomena"/>
              <w:spacing w:before="60" w:after="0"/>
              <w:rPr>
                <w:rFonts w:cs="Arial"/>
                <w:bCs/>
                <w:szCs w:val="20"/>
                <w:lang w:val="sr-Cyrl-RS"/>
              </w:rPr>
            </w:pPr>
            <w:r w:rsidRPr="00A252B4">
              <w:rPr>
                <w:rFonts w:cs="Arial"/>
                <w:bCs/>
                <w:noProof/>
                <w:szCs w:val="20"/>
              </w:rPr>
              <w:drawing>
                <wp:inline distT="0" distB="0" distL="0" distR="0">
                  <wp:extent cx="5753100" cy="3838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4A7" w:rsidRDefault="00FD14A7" w:rsidP="00FD14A7">
      <w:pPr>
        <w:pStyle w:val="NaslovMetodologijaiNapomena"/>
        <w:spacing w:before="200" w:after="120" w:line="216" w:lineRule="auto"/>
        <w:jc w:val="left"/>
        <w:rPr>
          <w:szCs w:val="20"/>
          <w:lang w:val="sr-Cyrl-RS"/>
        </w:rPr>
      </w:pPr>
    </w:p>
    <w:p w:rsidR="008740D7" w:rsidRDefault="008740D7" w:rsidP="008A6A1E">
      <w:pPr>
        <w:pStyle w:val="NaslovMetodologijaiNapomena"/>
        <w:spacing w:before="0" w:after="120"/>
        <w:rPr>
          <w:sz w:val="22"/>
          <w:szCs w:val="22"/>
          <w:lang w:val="sr-Latn-RS"/>
        </w:rPr>
      </w:pPr>
    </w:p>
    <w:p w:rsidR="008740D7" w:rsidRDefault="008740D7" w:rsidP="008A6A1E">
      <w:pPr>
        <w:pStyle w:val="NaslovMetodologijaiNapomena"/>
        <w:spacing w:before="0" w:after="120"/>
        <w:rPr>
          <w:sz w:val="22"/>
          <w:szCs w:val="22"/>
          <w:lang w:val="sr-Latn-RS"/>
        </w:rPr>
      </w:pPr>
    </w:p>
    <w:p w:rsidR="008740D7" w:rsidRDefault="008740D7" w:rsidP="008A6A1E">
      <w:pPr>
        <w:pStyle w:val="NaslovMetodologijaiNapomena"/>
        <w:spacing w:before="0" w:after="120"/>
        <w:rPr>
          <w:sz w:val="22"/>
          <w:szCs w:val="22"/>
          <w:lang w:val="sr-Latn-RS"/>
        </w:rPr>
      </w:pPr>
    </w:p>
    <w:p w:rsidR="008740D7" w:rsidRDefault="008740D7" w:rsidP="008A6A1E">
      <w:pPr>
        <w:pStyle w:val="NaslovMetodologijaiNapomena"/>
        <w:spacing w:before="0" w:after="120"/>
        <w:rPr>
          <w:sz w:val="22"/>
          <w:szCs w:val="22"/>
          <w:lang w:val="sr-Latn-RS"/>
        </w:rPr>
      </w:pPr>
    </w:p>
    <w:p w:rsidR="008740D7" w:rsidRDefault="008740D7" w:rsidP="008A6A1E">
      <w:pPr>
        <w:pStyle w:val="NaslovMetodologijaiNapomena"/>
        <w:spacing w:before="0" w:after="120"/>
        <w:rPr>
          <w:sz w:val="22"/>
          <w:szCs w:val="22"/>
          <w:lang w:val="sr-Latn-RS"/>
        </w:rPr>
      </w:pPr>
    </w:p>
    <w:p w:rsidR="008740D7" w:rsidRDefault="008740D7" w:rsidP="008A6A1E">
      <w:pPr>
        <w:pStyle w:val="NaslovMetodologijaiNapomena"/>
        <w:spacing w:before="0" w:after="120"/>
        <w:rPr>
          <w:sz w:val="22"/>
          <w:szCs w:val="22"/>
          <w:lang w:val="sr-Latn-RS"/>
        </w:rPr>
      </w:pPr>
    </w:p>
    <w:p w:rsidR="008740D7" w:rsidRDefault="008740D7" w:rsidP="008A6A1E">
      <w:pPr>
        <w:pStyle w:val="NaslovMetodologijaiNapomena"/>
        <w:spacing w:before="0" w:after="120"/>
        <w:rPr>
          <w:sz w:val="22"/>
          <w:szCs w:val="22"/>
          <w:lang w:val="sr-Latn-RS"/>
        </w:rPr>
      </w:pPr>
    </w:p>
    <w:p w:rsidR="004707EC" w:rsidRPr="0020469C" w:rsidRDefault="004707EC" w:rsidP="008A6A1E">
      <w:pPr>
        <w:pStyle w:val="NaslovMetodologijaiNapomena"/>
        <w:spacing w:before="0" w:after="120"/>
        <w:rPr>
          <w:sz w:val="22"/>
          <w:szCs w:val="22"/>
          <w:lang w:val="sr-Latn-RS"/>
        </w:rPr>
      </w:pPr>
      <w:r w:rsidRPr="0020469C">
        <w:rPr>
          <w:sz w:val="22"/>
          <w:szCs w:val="22"/>
          <w:lang w:val="sr-Latn-RS"/>
        </w:rPr>
        <w:lastRenderedPageBreak/>
        <w:t>Методолошке напомене</w:t>
      </w:r>
    </w:p>
    <w:p w:rsidR="00890741" w:rsidRPr="00D10ADF" w:rsidRDefault="00890741" w:rsidP="002F0B73">
      <w:pPr>
        <w:pStyle w:val="Podnaslovsopstenja"/>
        <w:spacing w:before="120" w:line="264" w:lineRule="auto"/>
        <w:ind w:firstLine="397"/>
        <w:jc w:val="both"/>
        <w:rPr>
          <w:b w:val="0"/>
          <w:sz w:val="20"/>
          <w:szCs w:val="20"/>
          <w:lang w:val="sr-Latn-RS"/>
        </w:rPr>
      </w:pPr>
      <w:r w:rsidRPr="00D10ADF">
        <w:rPr>
          <w:b w:val="0"/>
          <w:sz w:val="20"/>
          <w:szCs w:val="20"/>
          <w:lang w:val="sr-Latn-RS"/>
        </w:rPr>
        <w:t xml:space="preserve">Подаци приказани у овом саопштењу представљају резултат истраживања о иновативним активностима у пословним субјектима </w:t>
      </w:r>
      <w:r>
        <w:rPr>
          <w:b w:val="0"/>
          <w:sz w:val="20"/>
          <w:szCs w:val="20"/>
          <w:lang w:val="sr-Cyrl-RS"/>
        </w:rPr>
        <w:t>од</w:t>
      </w:r>
      <w:r w:rsidR="00EB36A2">
        <w:rPr>
          <w:b w:val="0"/>
          <w:sz w:val="20"/>
          <w:szCs w:val="20"/>
          <w:lang w:val="sr-Latn-RS"/>
        </w:rPr>
        <w:t xml:space="preserve"> 2020</w:t>
      </w:r>
      <w:r>
        <w:rPr>
          <w:b w:val="0"/>
          <w:sz w:val="20"/>
          <w:szCs w:val="20"/>
          <w:lang w:val="sr-Latn-RS"/>
        </w:rPr>
        <w:t xml:space="preserve">. до </w:t>
      </w:r>
      <w:r w:rsidRPr="00D10ADF">
        <w:rPr>
          <w:b w:val="0"/>
          <w:sz w:val="20"/>
          <w:szCs w:val="20"/>
          <w:lang w:val="sr-Latn-RS"/>
        </w:rPr>
        <w:t>20</w:t>
      </w:r>
      <w:r w:rsidR="00EB36A2">
        <w:rPr>
          <w:b w:val="0"/>
          <w:sz w:val="20"/>
          <w:szCs w:val="20"/>
          <w:lang w:val="sr-Latn-RS"/>
        </w:rPr>
        <w:t>22</w:t>
      </w:r>
      <w:r w:rsidRPr="00D10ADF">
        <w:rPr>
          <w:b w:val="0"/>
          <w:sz w:val="20"/>
          <w:szCs w:val="20"/>
          <w:lang w:val="sr-Latn-RS"/>
        </w:rPr>
        <w:t xml:space="preserve">. године. У истраживању су иновативни пословни субјекти дефинисани као пословни субјекти који су у посматраном периоду увели иновацију производа или процеса, или </w:t>
      </w:r>
      <w:r>
        <w:rPr>
          <w:b w:val="0"/>
          <w:sz w:val="20"/>
          <w:szCs w:val="20"/>
          <w:lang w:val="sr-Cyrl-RS"/>
        </w:rPr>
        <w:t xml:space="preserve">су </w:t>
      </w:r>
      <w:r w:rsidRPr="00D10ADF">
        <w:rPr>
          <w:b w:val="0"/>
          <w:sz w:val="20"/>
          <w:szCs w:val="20"/>
          <w:lang w:val="sr-Latn-RS"/>
        </w:rPr>
        <w:t>имали иновације које су напуштене</w:t>
      </w:r>
      <w:r>
        <w:rPr>
          <w:b w:val="0"/>
          <w:sz w:val="20"/>
          <w:szCs w:val="20"/>
          <w:lang w:val="sr-Cyrl-RS"/>
        </w:rPr>
        <w:t>,</w:t>
      </w:r>
      <w:r w:rsidRPr="00D10ADF">
        <w:rPr>
          <w:b w:val="0"/>
          <w:sz w:val="20"/>
          <w:szCs w:val="20"/>
          <w:lang w:val="sr-Latn-RS"/>
        </w:rPr>
        <w:t xml:space="preserve"> </w:t>
      </w:r>
      <w:r>
        <w:rPr>
          <w:b w:val="0"/>
          <w:sz w:val="20"/>
          <w:szCs w:val="20"/>
          <w:lang w:val="sr-Cyrl-RS"/>
        </w:rPr>
        <w:t>односно</w:t>
      </w:r>
      <w:r w:rsidRPr="00D10ADF">
        <w:rPr>
          <w:b w:val="0"/>
          <w:sz w:val="20"/>
          <w:szCs w:val="20"/>
          <w:lang w:val="sr-Latn-RS"/>
        </w:rPr>
        <w:t xml:space="preserve"> </w:t>
      </w:r>
      <w:r>
        <w:rPr>
          <w:b w:val="0"/>
          <w:sz w:val="20"/>
          <w:szCs w:val="20"/>
          <w:lang w:val="sr-Cyrl-RS"/>
        </w:rPr>
        <w:t xml:space="preserve">које </w:t>
      </w:r>
      <w:r w:rsidRPr="00D10ADF">
        <w:rPr>
          <w:b w:val="0"/>
          <w:sz w:val="20"/>
          <w:szCs w:val="20"/>
          <w:lang w:val="sr-Latn-RS"/>
        </w:rPr>
        <w:t>још нису завршене. Кључни фактор за иновативне активности одређеног пословног субјекта представља величина тог субјекта.</w:t>
      </w:r>
    </w:p>
    <w:p w:rsidR="00AD265A" w:rsidRDefault="00CD3297" w:rsidP="002F0B73">
      <w:pPr>
        <w:spacing w:before="120" w:after="120" w:line="264" w:lineRule="auto"/>
        <w:ind w:firstLine="397"/>
        <w:jc w:val="both"/>
        <w:rPr>
          <w:rFonts w:cs="Arial"/>
          <w:szCs w:val="20"/>
          <w:lang w:val="sr-Latn-RS"/>
        </w:rPr>
      </w:pPr>
      <w:r w:rsidRPr="00D10ADF">
        <w:rPr>
          <w:rFonts w:cs="Arial"/>
          <w:szCs w:val="20"/>
          <w:lang w:val="sr-Latn-RS"/>
        </w:rPr>
        <w:t>Издаци за иновативне активности укључују улагања у развој нових производа, улагања у увођење новог производа на тржиште, средства усмерена на значајно усавршавање постојећих производа, услуга или процеса, као и средства за иновационе п</w:t>
      </w:r>
      <w:r w:rsidR="00FE0BAE">
        <w:rPr>
          <w:rFonts w:cs="Arial"/>
          <w:szCs w:val="20"/>
          <w:lang w:val="sr-Latn-RS"/>
        </w:rPr>
        <w:t xml:space="preserve">ројекте који још нису довршени. </w:t>
      </w:r>
    </w:p>
    <w:p w:rsidR="00FE0BAE" w:rsidRPr="00FE0BAE" w:rsidRDefault="00AD265A" w:rsidP="002F0B73">
      <w:pPr>
        <w:spacing w:before="120" w:after="120" w:line="264" w:lineRule="auto"/>
        <w:ind w:firstLine="397"/>
        <w:jc w:val="both"/>
        <w:rPr>
          <w:rFonts w:cs="Arial"/>
          <w:szCs w:val="20"/>
          <w:lang w:val="sr-Cyrl-RS"/>
        </w:rPr>
      </w:pPr>
      <w:r w:rsidRPr="00301A43">
        <w:rPr>
          <w:rFonts w:cs="Arial"/>
          <w:szCs w:val="20"/>
          <w:lang w:val="sr-Cyrl-RS"/>
        </w:rPr>
        <w:t>Истраживањем су обухваћени следећи издаци пословних субјеката</w:t>
      </w:r>
      <w:r w:rsidR="00FE0BAE" w:rsidRPr="00301A43">
        <w:rPr>
          <w:rFonts w:cs="Arial"/>
          <w:szCs w:val="20"/>
          <w:lang w:val="sr-Latn-RS"/>
        </w:rPr>
        <w:t xml:space="preserve">: </w:t>
      </w:r>
      <w:r w:rsidR="00FE0BAE" w:rsidRPr="00301A43">
        <w:rPr>
          <w:rFonts w:cs="Arial"/>
          <w:szCs w:val="20"/>
          <w:lang w:val="sr-Cyrl-RS"/>
        </w:rPr>
        <w:t>н</w:t>
      </w:r>
      <w:r w:rsidR="00FE0BAE" w:rsidRPr="00301A43">
        <w:rPr>
          <w:rFonts w:cs="Arial"/>
          <w:szCs w:val="20"/>
          <w:lang w:val="sr-Latn-CS"/>
        </w:rPr>
        <w:t>абавк</w:t>
      </w:r>
      <w:r w:rsidRPr="00301A43">
        <w:rPr>
          <w:rFonts w:cs="Arial"/>
          <w:szCs w:val="20"/>
          <w:lang w:val="sr-Cyrl-RS"/>
        </w:rPr>
        <w:t>а</w:t>
      </w:r>
      <w:r w:rsidR="00FE0BAE" w:rsidRPr="00301A43">
        <w:rPr>
          <w:rFonts w:cs="Arial"/>
          <w:szCs w:val="20"/>
          <w:lang w:val="sr-Latn-CS"/>
        </w:rPr>
        <w:t xml:space="preserve"> машина, опреме, зграда и других материјалних средстава</w:t>
      </w:r>
      <w:r w:rsidR="00FE0BAE" w:rsidRPr="00301A43">
        <w:rPr>
          <w:rFonts w:cs="Arial"/>
          <w:szCs w:val="20"/>
          <w:lang w:val="sr-Cyrl-RS"/>
        </w:rPr>
        <w:t>; маркетинг, изградњ</w:t>
      </w:r>
      <w:r w:rsidRPr="00301A43">
        <w:rPr>
          <w:rFonts w:cs="Arial"/>
          <w:szCs w:val="20"/>
          <w:lang w:val="sr-Cyrl-RS"/>
        </w:rPr>
        <w:t>а</w:t>
      </w:r>
      <w:r w:rsidR="00FE0BAE" w:rsidRPr="00301A43">
        <w:rPr>
          <w:rFonts w:cs="Arial"/>
          <w:szCs w:val="20"/>
          <w:lang w:val="sr-Cyrl-RS"/>
        </w:rPr>
        <w:t xml:space="preserve"> бренда, рекламирање</w:t>
      </w:r>
      <w:r w:rsidR="00FE0BAE" w:rsidRPr="00301A43">
        <w:rPr>
          <w:rFonts w:cs="Arial"/>
          <w:bCs/>
          <w:szCs w:val="20"/>
          <w:lang w:val="sr-Cyrl-RS"/>
        </w:rPr>
        <w:t xml:space="preserve"> </w:t>
      </w:r>
      <w:r w:rsidR="00FE0BAE" w:rsidRPr="00301A43">
        <w:rPr>
          <w:rFonts w:cs="Arial"/>
          <w:bCs/>
          <w:szCs w:val="20"/>
          <w:lang w:val="sr-Latn-CS"/>
        </w:rPr>
        <w:t>(укључујући интерне трошкове и набављене услуге)</w:t>
      </w:r>
      <w:r w:rsidR="00FE0BAE" w:rsidRPr="00301A43">
        <w:rPr>
          <w:rFonts w:cs="Arial"/>
          <w:bCs/>
          <w:szCs w:val="20"/>
          <w:lang w:val="sr-Cyrl-RS"/>
        </w:rPr>
        <w:t xml:space="preserve">; </w:t>
      </w:r>
      <w:r w:rsidR="00FE0BAE" w:rsidRPr="00301A43">
        <w:rPr>
          <w:rFonts w:cs="Arial"/>
          <w:szCs w:val="20"/>
          <w:lang w:val="sr-Cyrl-RS"/>
        </w:rPr>
        <w:t>о</w:t>
      </w:r>
      <w:r w:rsidR="00FE0BAE" w:rsidRPr="00301A43">
        <w:rPr>
          <w:rFonts w:cs="Arial"/>
          <w:szCs w:val="20"/>
          <w:lang w:val="sr-Latn-CS"/>
        </w:rPr>
        <w:t>бук</w:t>
      </w:r>
      <w:r w:rsidRPr="00301A43">
        <w:rPr>
          <w:rFonts w:cs="Arial"/>
          <w:szCs w:val="20"/>
          <w:lang w:val="sr-Cyrl-RS"/>
        </w:rPr>
        <w:t>е</w:t>
      </w:r>
      <w:r w:rsidR="00FE0BAE" w:rsidRPr="00301A43">
        <w:rPr>
          <w:rFonts w:cs="Arial"/>
          <w:szCs w:val="20"/>
          <w:lang w:val="sr-Latn-CS"/>
        </w:rPr>
        <w:t xml:space="preserve"> сопствених запослених (укључујући све интерне трошкове</w:t>
      </w:r>
      <w:r w:rsidR="00FE0BAE" w:rsidRPr="00301A43">
        <w:rPr>
          <w:rFonts w:cs="Arial"/>
          <w:szCs w:val="20"/>
          <w:lang w:val="sr-Cyrl-RS"/>
        </w:rPr>
        <w:t xml:space="preserve"> </w:t>
      </w:r>
      <w:r w:rsidR="00FE0BAE" w:rsidRPr="00301A43">
        <w:rPr>
          <w:rFonts w:cs="Arial"/>
          <w:szCs w:val="20"/>
          <w:lang w:val="sr-Latn-CS"/>
        </w:rPr>
        <w:t>који укључују и зараде запослених за време обуке, и трошкове услуга набављених од других)</w:t>
      </w:r>
      <w:r w:rsidR="00FE0BAE" w:rsidRPr="00301A43">
        <w:rPr>
          <w:rFonts w:cs="Arial"/>
          <w:szCs w:val="20"/>
          <w:lang w:val="sr-Cyrl-RS"/>
        </w:rPr>
        <w:t>; д</w:t>
      </w:r>
      <w:r w:rsidR="00FE0BAE" w:rsidRPr="00301A43">
        <w:rPr>
          <w:rFonts w:cs="Arial"/>
          <w:szCs w:val="20"/>
          <w:lang w:val="sr-Latn-CS"/>
        </w:rPr>
        <w:t xml:space="preserve">изајн производа </w:t>
      </w:r>
      <w:r w:rsidR="00FE0BAE" w:rsidRPr="00301A43">
        <w:rPr>
          <w:rFonts w:cs="Arial"/>
          <w:bCs/>
          <w:spacing w:val="-2"/>
          <w:szCs w:val="20"/>
          <w:lang w:val="sr-Latn-CS"/>
        </w:rPr>
        <w:t>(укључујући интерне трошкове и набављене услуге)</w:t>
      </w:r>
      <w:r w:rsidR="00FE0BAE" w:rsidRPr="00301A43">
        <w:rPr>
          <w:rFonts w:cs="Arial"/>
          <w:bCs/>
          <w:spacing w:val="-2"/>
          <w:szCs w:val="20"/>
          <w:lang w:val="sr-Cyrl-RS"/>
        </w:rPr>
        <w:t xml:space="preserve">; </w:t>
      </w:r>
      <w:r w:rsidR="00FE0BAE" w:rsidRPr="00301A43">
        <w:rPr>
          <w:rFonts w:cs="Arial"/>
          <w:bCs/>
          <w:szCs w:val="20"/>
          <w:lang w:val="sr-Cyrl-RS"/>
        </w:rPr>
        <w:t>р</w:t>
      </w:r>
      <w:r w:rsidR="00FE0BAE" w:rsidRPr="00301A43">
        <w:rPr>
          <w:rFonts w:cs="Arial"/>
          <w:bCs/>
          <w:szCs w:val="20"/>
          <w:lang w:val="sr-Latn-CS"/>
        </w:rPr>
        <w:t>азвој соф</w:t>
      </w:r>
      <w:r w:rsidR="00FE0BAE" w:rsidRPr="00301A43">
        <w:rPr>
          <w:rFonts w:cs="Arial"/>
          <w:szCs w:val="20"/>
          <w:lang w:val="sr-Latn-CS"/>
        </w:rPr>
        <w:t xml:space="preserve">твера, рад на базама </w:t>
      </w:r>
      <w:r w:rsidR="00FE0BAE" w:rsidRPr="00301A43">
        <w:rPr>
          <w:rFonts w:cs="Arial"/>
          <w:szCs w:val="20"/>
          <w:lang w:val="sr-Cyrl-RS"/>
        </w:rPr>
        <w:t>и</w:t>
      </w:r>
      <w:r w:rsidR="00FE0BAE" w:rsidRPr="00301A43">
        <w:rPr>
          <w:rFonts w:cs="Arial"/>
          <w:szCs w:val="20"/>
          <w:lang w:val="sr-Latn-CS"/>
        </w:rPr>
        <w:t xml:space="preserve"> анализи података</w:t>
      </w:r>
      <w:r w:rsidR="00FE0BAE" w:rsidRPr="00301A43">
        <w:rPr>
          <w:rFonts w:cs="Arial"/>
          <w:bCs/>
          <w:szCs w:val="20"/>
          <w:lang w:val="sr-Latn-CS"/>
        </w:rPr>
        <w:t xml:space="preserve"> (укључујући интерне трошкове и набављене услуге)</w:t>
      </w:r>
      <w:r w:rsidR="00FE0BAE" w:rsidRPr="00301A43">
        <w:rPr>
          <w:rFonts w:cs="Arial"/>
          <w:bCs/>
          <w:szCs w:val="20"/>
          <w:lang w:val="sr-Cyrl-RS"/>
        </w:rPr>
        <w:t xml:space="preserve">; </w:t>
      </w:r>
      <w:r w:rsidR="00FE0BAE" w:rsidRPr="00301A43">
        <w:rPr>
          <w:rFonts w:cs="Arial"/>
          <w:szCs w:val="20"/>
          <w:lang w:val="sr-Cyrl-RS"/>
        </w:rPr>
        <w:t>р</w:t>
      </w:r>
      <w:r w:rsidR="00FE0BAE" w:rsidRPr="00301A43">
        <w:rPr>
          <w:rFonts w:cs="Arial"/>
          <w:szCs w:val="20"/>
          <w:lang w:val="sr-Latn-CS"/>
        </w:rPr>
        <w:t>егистровање, архивирање и праћење сопствених права интелектуалне својине (ПИС) и набавк</w:t>
      </w:r>
      <w:r w:rsidR="00753BE2" w:rsidRPr="00301A43">
        <w:rPr>
          <w:rFonts w:cs="Arial"/>
          <w:szCs w:val="20"/>
          <w:lang w:val="sr-Cyrl-RS"/>
        </w:rPr>
        <w:t>у</w:t>
      </w:r>
      <w:r w:rsidR="00FE0BAE" w:rsidRPr="00301A43">
        <w:rPr>
          <w:rFonts w:cs="Arial"/>
          <w:szCs w:val="20"/>
          <w:lang w:val="sr-Latn-CS"/>
        </w:rPr>
        <w:t xml:space="preserve"> или лиценцирање</w:t>
      </w:r>
      <w:r w:rsidR="00FE0BAE" w:rsidRPr="00301A43">
        <w:rPr>
          <w:rFonts w:cs="Arial"/>
          <w:szCs w:val="20"/>
          <w:lang w:val="sr-Cyrl-RS"/>
        </w:rPr>
        <w:t xml:space="preserve"> ПИС-а од стране других.</w:t>
      </w:r>
      <w:r w:rsidR="00FE0BAE" w:rsidRPr="00FE0BAE">
        <w:rPr>
          <w:rFonts w:cs="Arial"/>
          <w:szCs w:val="20"/>
          <w:lang w:val="sr-Cyrl-RS"/>
        </w:rPr>
        <w:t xml:space="preserve"> </w:t>
      </w:r>
    </w:p>
    <w:p w:rsidR="004707EC" w:rsidRPr="00D10ADF" w:rsidRDefault="004707EC" w:rsidP="002F0B73">
      <w:pPr>
        <w:autoSpaceDE w:val="0"/>
        <w:autoSpaceDN w:val="0"/>
        <w:adjustRightInd w:val="0"/>
        <w:spacing w:before="120" w:after="120" w:line="264" w:lineRule="auto"/>
        <w:ind w:firstLine="397"/>
        <w:jc w:val="both"/>
        <w:rPr>
          <w:rFonts w:cs="Arial"/>
          <w:szCs w:val="20"/>
          <w:lang w:val="sr-Latn-RS"/>
        </w:rPr>
      </w:pPr>
      <w:r w:rsidRPr="00D10ADF">
        <w:rPr>
          <w:rFonts w:cs="Arial"/>
          <w:szCs w:val="20"/>
          <w:lang w:val="sr-Latn-RS"/>
        </w:rPr>
        <w:t>Истраживање о иновативности пословних субјеката спроведено је на основу репрезентативног узорка. Узорак је алоциран на подручју Републике Србије до нивоа региона, пропорционално броју пословних субјеката. Узорак чин</w:t>
      </w:r>
      <w:r w:rsidR="00D02D5A">
        <w:rPr>
          <w:rFonts w:cs="Arial"/>
          <w:szCs w:val="20"/>
          <w:lang w:val="sr-Cyrl-RS"/>
        </w:rPr>
        <w:t>е</w:t>
      </w:r>
      <w:r w:rsidRPr="00D10ADF">
        <w:rPr>
          <w:rFonts w:cs="Arial"/>
          <w:szCs w:val="20"/>
          <w:lang w:val="sr-Latn-RS"/>
        </w:rPr>
        <w:t xml:space="preserve"> </w:t>
      </w:r>
      <w:r w:rsidR="000517D6">
        <w:rPr>
          <w:szCs w:val="20"/>
          <w:lang w:val="sr-Latn-RS"/>
        </w:rPr>
        <w:t>3</w:t>
      </w:r>
      <w:r w:rsidR="008B3053">
        <w:rPr>
          <w:szCs w:val="20"/>
          <w:lang w:val="sr-Latn-RS"/>
        </w:rPr>
        <w:t> </w:t>
      </w:r>
      <w:r w:rsidR="009B19B2">
        <w:rPr>
          <w:szCs w:val="20"/>
          <w:lang w:val="sr-Latn-RS"/>
        </w:rPr>
        <w:t>695</w:t>
      </w:r>
      <w:r w:rsidR="008D6FC3" w:rsidRPr="00D10ADF">
        <w:rPr>
          <w:b/>
          <w:szCs w:val="20"/>
          <w:lang w:val="sr-Latn-RS"/>
        </w:rPr>
        <w:t xml:space="preserve"> </w:t>
      </w:r>
      <w:r w:rsidR="000517D6">
        <w:rPr>
          <w:rFonts w:cs="Arial"/>
          <w:szCs w:val="20"/>
          <w:lang w:val="sr-Latn-RS"/>
        </w:rPr>
        <w:t>мал</w:t>
      </w:r>
      <w:r w:rsidR="00D02D5A">
        <w:rPr>
          <w:rFonts w:cs="Arial"/>
          <w:szCs w:val="20"/>
          <w:lang w:val="sr-Cyrl-RS"/>
        </w:rPr>
        <w:t>их</w:t>
      </w:r>
      <w:r w:rsidR="000517D6">
        <w:rPr>
          <w:rFonts w:cs="Arial"/>
          <w:szCs w:val="20"/>
          <w:lang w:val="sr-Latn-RS"/>
        </w:rPr>
        <w:t>, средњ</w:t>
      </w:r>
      <w:r w:rsidR="00D02D5A">
        <w:rPr>
          <w:rFonts w:cs="Arial"/>
          <w:szCs w:val="20"/>
          <w:lang w:val="sr-Cyrl-RS"/>
        </w:rPr>
        <w:t>их</w:t>
      </w:r>
      <w:r w:rsidR="000517D6">
        <w:rPr>
          <w:rFonts w:cs="Arial"/>
          <w:szCs w:val="20"/>
          <w:lang w:val="sr-Latn-RS"/>
        </w:rPr>
        <w:t xml:space="preserve"> и велик</w:t>
      </w:r>
      <w:r w:rsidR="00D02D5A">
        <w:rPr>
          <w:rFonts w:cs="Arial"/>
          <w:szCs w:val="20"/>
          <w:lang w:val="sr-Cyrl-RS"/>
        </w:rPr>
        <w:t>их</w:t>
      </w:r>
      <w:r w:rsidR="000517D6">
        <w:rPr>
          <w:rFonts w:cs="Arial"/>
          <w:szCs w:val="20"/>
          <w:lang w:val="sr-Latn-RS"/>
        </w:rPr>
        <w:t xml:space="preserve"> пословн</w:t>
      </w:r>
      <w:r w:rsidR="00D02D5A">
        <w:rPr>
          <w:rFonts w:cs="Arial"/>
          <w:szCs w:val="20"/>
          <w:lang w:val="sr-Cyrl-RS"/>
        </w:rPr>
        <w:t>их</w:t>
      </w:r>
      <w:r w:rsidR="000517D6">
        <w:rPr>
          <w:rFonts w:cs="Arial"/>
          <w:szCs w:val="20"/>
          <w:lang w:val="sr-Latn-RS"/>
        </w:rPr>
        <w:t xml:space="preserve"> субјек</w:t>
      </w:r>
      <w:r w:rsidR="00D02D5A">
        <w:rPr>
          <w:rFonts w:cs="Arial"/>
          <w:szCs w:val="20"/>
          <w:lang w:val="sr-Cyrl-RS"/>
        </w:rPr>
        <w:t>а</w:t>
      </w:r>
      <w:r w:rsidRPr="00D10ADF">
        <w:rPr>
          <w:rFonts w:cs="Arial"/>
          <w:szCs w:val="20"/>
          <w:lang w:val="sr-Latn-RS"/>
        </w:rPr>
        <w:t xml:space="preserve">та. Велики пословни субјекти су обухваћени у целини. Оквир за избор узорка јесу активни пословни субјекти добијени из Статистичког пословног регистра, који садржи </w:t>
      </w:r>
      <w:r w:rsidR="009B19B2">
        <w:rPr>
          <w:rFonts w:cs="Arial"/>
          <w:szCs w:val="20"/>
          <w:lang w:val="sr-Latn-RS"/>
        </w:rPr>
        <w:t>19</w:t>
      </w:r>
      <w:r w:rsidR="000517D6">
        <w:rPr>
          <w:rFonts w:cs="Arial"/>
          <w:szCs w:val="20"/>
          <w:lang w:val="sr-Latn-RS"/>
        </w:rPr>
        <w:t> </w:t>
      </w:r>
      <w:r w:rsidR="009B19B2">
        <w:rPr>
          <w:rFonts w:cs="Arial"/>
          <w:szCs w:val="20"/>
          <w:lang w:val="sr-Latn-RS"/>
        </w:rPr>
        <w:t>367</w:t>
      </w:r>
      <w:r w:rsidRPr="00D10ADF">
        <w:rPr>
          <w:rFonts w:cs="Arial"/>
          <w:szCs w:val="20"/>
          <w:lang w:val="sr-Latn-RS"/>
        </w:rPr>
        <w:t xml:space="preserve"> пословних субјеката. Добијени резултати су пондерисани и израчунати на нивоу популације пословних субјеката.</w:t>
      </w:r>
    </w:p>
    <w:p w:rsidR="003A4617" w:rsidRDefault="004707EC" w:rsidP="002F0B73">
      <w:pPr>
        <w:spacing w:before="120" w:after="120" w:line="264" w:lineRule="auto"/>
        <w:ind w:firstLine="397"/>
        <w:jc w:val="both"/>
        <w:rPr>
          <w:rFonts w:cs="Arial"/>
          <w:szCs w:val="20"/>
          <w:lang w:val="sr-Cyrl-CS"/>
        </w:rPr>
      </w:pPr>
      <w:r w:rsidRPr="00D10ADF">
        <w:rPr>
          <w:rFonts w:cs="Arial"/>
          <w:szCs w:val="20"/>
          <w:lang w:val="sr-Latn-RS"/>
        </w:rPr>
        <w:t>Анкета о пословним субјектима спроведена је на узорку стратификованом према величи</w:t>
      </w:r>
      <w:r w:rsidR="000517D6">
        <w:rPr>
          <w:rFonts w:cs="Arial"/>
          <w:szCs w:val="20"/>
          <w:lang w:val="sr-Latn-RS"/>
        </w:rPr>
        <w:t>ни пословног субјекта (мали: 10–</w:t>
      </w:r>
      <w:r w:rsidRPr="00D10ADF">
        <w:rPr>
          <w:rFonts w:cs="Arial"/>
          <w:szCs w:val="20"/>
          <w:lang w:val="sr-Latn-RS"/>
        </w:rPr>
        <w:t>49 запосле</w:t>
      </w:r>
      <w:r w:rsidR="000517D6">
        <w:rPr>
          <w:rFonts w:cs="Arial"/>
          <w:szCs w:val="20"/>
          <w:lang w:val="sr-Latn-RS"/>
        </w:rPr>
        <w:t>них, средњи: 50–</w:t>
      </w:r>
      <w:r w:rsidRPr="00D10ADF">
        <w:rPr>
          <w:rFonts w:cs="Arial"/>
          <w:szCs w:val="20"/>
          <w:lang w:val="sr-Latn-RS"/>
        </w:rPr>
        <w:t>249 запослених и</w:t>
      </w:r>
      <w:r w:rsidR="008D6FC3" w:rsidRPr="00D10ADF">
        <w:rPr>
          <w:rFonts w:cs="Arial"/>
          <w:szCs w:val="20"/>
          <w:lang w:val="sr-Latn-RS"/>
        </w:rPr>
        <w:t xml:space="preserve"> велики: преко 250 запослених),</w:t>
      </w:r>
      <w:r w:rsidRPr="00D10ADF">
        <w:rPr>
          <w:rFonts w:cs="Arial"/>
          <w:szCs w:val="20"/>
          <w:lang w:val="sr-Latn-RS"/>
        </w:rPr>
        <w:t xml:space="preserve"> </w:t>
      </w:r>
      <w:r w:rsidR="000517D6">
        <w:rPr>
          <w:rFonts w:cs="Arial"/>
          <w:szCs w:val="20"/>
          <w:lang w:val="sr-Cyrl-RS"/>
        </w:rPr>
        <w:t>по</w:t>
      </w:r>
      <w:r w:rsidRPr="00D10ADF">
        <w:rPr>
          <w:rFonts w:cs="Arial"/>
          <w:szCs w:val="20"/>
          <w:lang w:val="sr-Latn-RS"/>
        </w:rPr>
        <w:t xml:space="preserve"> делатностима (групе делатности према КД 08)</w:t>
      </w:r>
      <w:r w:rsidR="008D6FC3" w:rsidRPr="00D10ADF">
        <w:rPr>
          <w:rFonts w:cs="Arial"/>
          <w:szCs w:val="20"/>
          <w:lang w:val="sr-Latn-RS"/>
        </w:rPr>
        <w:t xml:space="preserve"> и територијалној заступљености до нивоа региона (НСТЈ 2)</w:t>
      </w:r>
      <w:r w:rsidRPr="00D10ADF">
        <w:rPr>
          <w:rFonts w:cs="Arial"/>
          <w:szCs w:val="20"/>
          <w:lang w:val="sr-Latn-RS"/>
        </w:rPr>
        <w:t xml:space="preserve">. Реализација узорка износи преко </w:t>
      </w:r>
      <w:r w:rsidR="008D6FC3" w:rsidRPr="00D10ADF">
        <w:rPr>
          <w:rFonts w:cs="Arial"/>
          <w:szCs w:val="20"/>
          <w:lang w:val="sr-Latn-RS"/>
        </w:rPr>
        <w:t>7</w:t>
      </w:r>
      <w:r w:rsidR="009B19B2">
        <w:rPr>
          <w:rFonts w:cs="Arial"/>
          <w:szCs w:val="20"/>
          <w:lang w:val="sr-Latn-RS"/>
        </w:rPr>
        <w:t>7</w:t>
      </w:r>
      <w:r w:rsidR="001D7632">
        <w:rPr>
          <w:rFonts w:cs="Arial"/>
          <w:szCs w:val="20"/>
          <w:lang w:val="sr-Latn-RS"/>
        </w:rPr>
        <w:t>%</w:t>
      </w:r>
      <w:r w:rsidR="003A4617">
        <w:rPr>
          <w:rFonts w:cs="Arial"/>
          <w:szCs w:val="20"/>
          <w:lang w:val="sr-Cyrl-CS"/>
        </w:rPr>
        <w:t xml:space="preserve">. </w:t>
      </w:r>
      <w:r w:rsidR="003A4617" w:rsidRPr="003A4617">
        <w:rPr>
          <w:rFonts w:cs="Arial"/>
          <w:szCs w:val="20"/>
          <w:lang w:val="sr-Cyrl-CS"/>
        </w:rPr>
        <w:t>Од изабра</w:t>
      </w:r>
      <w:r w:rsidR="00B01337">
        <w:rPr>
          <w:rFonts w:cs="Arial"/>
          <w:szCs w:val="20"/>
          <w:lang w:val="sr-Cyrl-CS"/>
        </w:rPr>
        <w:t>них пословних субјеката</w:t>
      </w:r>
      <w:r w:rsidR="00B01337" w:rsidRPr="0020469C">
        <w:rPr>
          <w:rFonts w:cs="Arial"/>
          <w:szCs w:val="20"/>
          <w:lang w:val="sr-Latn-RS"/>
        </w:rPr>
        <w:t xml:space="preserve"> </w:t>
      </w:r>
      <w:r w:rsidR="009B19B2">
        <w:rPr>
          <w:rFonts w:cs="Arial"/>
          <w:szCs w:val="20"/>
          <w:lang w:val="sr-Cyrl-CS"/>
        </w:rPr>
        <w:t>2</w:t>
      </w:r>
      <w:r w:rsidR="00AB697E">
        <w:rPr>
          <w:rFonts w:cs="Arial"/>
          <w:szCs w:val="20"/>
          <w:lang w:val="sr-Latn-RS"/>
        </w:rPr>
        <w:t>,</w:t>
      </w:r>
      <w:r w:rsidR="009B19B2">
        <w:rPr>
          <w:rFonts w:cs="Arial"/>
          <w:szCs w:val="20"/>
          <w:lang w:val="sr-Latn-RS"/>
        </w:rPr>
        <w:t>2</w:t>
      </w:r>
      <w:r w:rsidR="003A4617" w:rsidRPr="003A4617">
        <w:rPr>
          <w:rFonts w:cs="Arial"/>
          <w:szCs w:val="20"/>
          <w:lang w:val="sr-Cyrl-CS"/>
        </w:rPr>
        <w:t>%</w:t>
      </w:r>
      <w:r w:rsidR="003A4617" w:rsidRPr="003A4617">
        <w:rPr>
          <w:rFonts w:cs="Arial"/>
          <w:szCs w:val="20"/>
          <w:lang w:val="sr-Latn-RS"/>
        </w:rPr>
        <w:t xml:space="preserve"> </w:t>
      </w:r>
      <w:r w:rsidR="003A4617" w:rsidRPr="007B6B9C">
        <w:rPr>
          <w:rFonts w:cs="Arial"/>
          <w:szCs w:val="20"/>
          <w:lang w:val="sr-Cyrl-CS"/>
        </w:rPr>
        <w:t>није</w:t>
      </w:r>
      <w:r w:rsidR="003A4617" w:rsidRPr="002C2295">
        <w:rPr>
          <w:rFonts w:cs="Arial"/>
          <w:szCs w:val="20"/>
          <w:lang w:val="sr-Latn-RS"/>
        </w:rPr>
        <w:t xml:space="preserve"> </w:t>
      </w:r>
      <w:r w:rsidR="003A4617" w:rsidRPr="007B6B9C">
        <w:rPr>
          <w:rFonts w:cs="Arial"/>
          <w:szCs w:val="20"/>
          <w:lang w:val="sr-Cyrl-CS"/>
        </w:rPr>
        <w:t>нађено</w:t>
      </w:r>
      <w:r w:rsidR="003A4617" w:rsidRPr="002C2295">
        <w:rPr>
          <w:rFonts w:cs="Arial"/>
          <w:szCs w:val="20"/>
          <w:lang w:val="sr-Latn-RS"/>
        </w:rPr>
        <w:t xml:space="preserve"> </w:t>
      </w:r>
      <w:r w:rsidR="003A4617" w:rsidRPr="007B6B9C">
        <w:rPr>
          <w:rFonts w:cs="Arial"/>
          <w:szCs w:val="20"/>
          <w:lang w:val="sr-Cyrl-CS"/>
        </w:rPr>
        <w:t>на</w:t>
      </w:r>
      <w:r w:rsidR="003A4617" w:rsidRPr="002C2295">
        <w:rPr>
          <w:rFonts w:cs="Arial"/>
          <w:szCs w:val="20"/>
          <w:lang w:val="sr-Latn-RS"/>
        </w:rPr>
        <w:t xml:space="preserve"> </w:t>
      </w:r>
      <w:r w:rsidR="003A4617" w:rsidRPr="007B6B9C">
        <w:rPr>
          <w:rFonts w:cs="Arial"/>
          <w:szCs w:val="20"/>
          <w:lang w:val="sr-Cyrl-CS"/>
        </w:rPr>
        <w:t>адреси</w:t>
      </w:r>
      <w:r w:rsidR="003A4617" w:rsidRPr="002C2295">
        <w:rPr>
          <w:rFonts w:cs="Arial"/>
          <w:szCs w:val="20"/>
          <w:lang w:val="sr-Latn-RS"/>
        </w:rPr>
        <w:t>,</w:t>
      </w:r>
      <w:r w:rsidR="003A4617" w:rsidRPr="003A4617">
        <w:rPr>
          <w:rFonts w:cs="Arial"/>
          <w:szCs w:val="20"/>
          <w:lang w:val="sr-Cyrl-CS"/>
        </w:rPr>
        <w:t xml:space="preserve"> </w:t>
      </w:r>
      <w:r w:rsidR="00644487">
        <w:rPr>
          <w:rFonts w:cs="Arial"/>
          <w:szCs w:val="20"/>
          <w:lang w:val="sr-Cyrl-RS"/>
        </w:rPr>
        <w:t>док н</w:t>
      </w:r>
      <w:r w:rsidR="003A4617" w:rsidRPr="003A4617">
        <w:rPr>
          <w:rFonts w:cs="Arial"/>
          <w:szCs w:val="20"/>
          <w:lang w:val="sr-Cyrl-CS"/>
        </w:rPr>
        <w:t xml:space="preserve">а анкету није одговорило око </w:t>
      </w:r>
      <w:r w:rsidR="009B19B2">
        <w:rPr>
          <w:rFonts w:cs="Arial"/>
          <w:szCs w:val="20"/>
          <w:lang w:val="sr-Latn-RS"/>
        </w:rPr>
        <w:t>20</w:t>
      </w:r>
      <w:r w:rsidR="003A4617" w:rsidRPr="003A4617">
        <w:rPr>
          <w:rFonts w:cs="Arial"/>
          <w:szCs w:val="20"/>
          <w:lang w:val="sr-Cyrl-CS"/>
        </w:rPr>
        <w:t>% пословних субјеката.</w:t>
      </w:r>
      <w:r w:rsidR="003A4617">
        <w:rPr>
          <w:rFonts w:cs="Arial"/>
          <w:szCs w:val="20"/>
          <w:lang w:val="sr-Cyrl-CS"/>
        </w:rPr>
        <w:t xml:space="preserve"> </w:t>
      </w:r>
    </w:p>
    <w:p w:rsidR="00200BBA" w:rsidRDefault="00200BBA" w:rsidP="002F0B73">
      <w:pPr>
        <w:spacing w:before="120" w:after="120" w:line="264" w:lineRule="auto"/>
        <w:ind w:firstLine="397"/>
        <w:jc w:val="both"/>
        <w:rPr>
          <w:szCs w:val="20"/>
          <w:lang w:val="sr-Latn-RS"/>
        </w:rPr>
      </w:pPr>
    </w:p>
    <w:p w:rsidR="00CE170F" w:rsidRPr="00D10ADF" w:rsidRDefault="00CE170F" w:rsidP="002F0B73">
      <w:pPr>
        <w:spacing w:before="120" w:after="120" w:line="264" w:lineRule="auto"/>
        <w:ind w:firstLine="397"/>
        <w:jc w:val="both"/>
        <w:rPr>
          <w:szCs w:val="20"/>
          <w:lang w:val="sr-Latn-RS"/>
        </w:rPr>
      </w:pPr>
      <w:r w:rsidRPr="00D10ADF">
        <w:rPr>
          <w:szCs w:val="20"/>
          <w:lang w:val="sr-Latn-RS"/>
        </w:rPr>
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(укупно).</w:t>
      </w:r>
    </w:p>
    <w:p w:rsidR="001C685D" w:rsidRPr="00D10ADF" w:rsidRDefault="001C685D" w:rsidP="004707EC">
      <w:pPr>
        <w:spacing w:before="120"/>
        <w:ind w:firstLine="397"/>
        <w:jc w:val="both"/>
        <w:rPr>
          <w:lang w:val="sr-Latn-RS"/>
        </w:rPr>
      </w:pPr>
    </w:p>
    <w:p w:rsidR="001C685D" w:rsidRPr="00D10ADF" w:rsidRDefault="001C685D" w:rsidP="00E00ABD">
      <w:pPr>
        <w:framePr w:hSpace="181" w:wrap="around" w:vAnchor="page" w:hAnchor="margin" w:xAlign="center" w:y="14176"/>
        <w:rPr>
          <w:lang w:val="sr-Latn-RS"/>
        </w:rPr>
      </w:pPr>
    </w:p>
    <w:p w:rsidR="001C685D" w:rsidRPr="00D10ADF" w:rsidRDefault="001C685D" w:rsidP="00E00ABD">
      <w:pPr>
        <w:framePr w:hSpace="181" w:wrap="around" w:vAnchor="page" w:hAnchor="margin" w:xAlign="center" w:y="14176"/>
        <w:rPr>
          <w:lang w:val="sr-Latn-RS"/>
        </w:rPr>
      </w:pPr>
    </w:p>
    <w:p w:rsidR="0041739D" w:rsidRPr="00D10ADF" w:rsidRDefault="0041739D" w:rsidP="006A7E8E">
      <w:pPr>
        <w:framePr w:hSpace="181" w:wrap="around" w:vAnchor="page" w:hAnchor="margin" w:xAlign="center" w:y="14176"/>
        <w:rPr>
          <w:lang w:val="sr-Latn-RS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12" w:space="0" w:color="808080"/>
        </w:tblBorders>
        <w:tblLook w:val="01E0" w:firstRow="1" w:lastRow="1" w:firstColumn="1" w:lastColumn="1" w:noHBand="0" w:noVBand="0"/>
      </w:tblPr>
      <w:tblGrid>
        <w:gridCol w:w="9185"/>
      </w:tblGrid>
      <w:tr w:rsidR="0041739D" w:rsidRPr="007D3E2C">
        <w:tc>
          <w:tcPr>
            <w:tcW w:w="9379" w:type="dxa"/>
            <w:shd w:val="clear" w:color="auto" w:fill="auto"/>
          </w:tcPr>
          <w:p w:rsidR="004707EC" w:rsidRPr="009B19B2" w:rsidRDefault="004707EC" w:rsidP="004707EC">
            <w:pPr>
              <w:spacing w:before="120"/>
              <w:jc w:val="center"/>
              <w:rPr>
                <w:rFonts w:cs="Arial"/>
                <w:iCs/>
                <w:sz w:val="18"/>
                <w:szCs w:val="18"/>
                <w:lang w:val="sr-Latn-RS"/>
              </w:rPr>
            </w:pP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t xml:space="preserve">Контакт:  </w:t>
            </w:r>
            <w:hyperlink r:id="rId13" w:history="1">
              <w:r w:rsidR="00E74D02">
                <w:rPr>
                  <w:rStyle w:val="Hyperlink"/>
                  <w:rFonts w:cs="Arial"/>
                  <w:iCs/>
                  <w:sz w:val="18"/>
                  <w:szCs w:val="18"/>
                  <w:lang w:val="sr-Latn-RS"/>
                </w:rPr>
                <w:t>jasmina.krstic</w:t>
              </w:r>
              <w:r w:rsidR="00E74D02" w:rsidRPr="00D10ADF">
                <w:rPr>
                  <w:rStyle w:val="Hyperlink"/>
                  <w:rFonts w:cs="Arial"/>
                  <w:iCs/>
                  <w:sz w:val="18"/>
                  <w:szCs w:val="18"/>
                  <w:lang w:val="sr-Latn-RS"/>
                </w:rPr>
                <w:t>@stat.gov.rs</w:t>
              </w:r>
            </w:hyperlink>
            <w:r w:rsidR="000517D6">
              <w:rPr>
                <w:rFonts w:cs="Arial"/>
                <w:iCs/>
                <w:sz w:val="18"/>
                <w:szCs w:val="18"/>
                <w:lang w:val="sr-Latn-RS"/>
              </w:rPr>
              <w:t xml:space="preserve">, </w:t>
            </w:r>
            <w:r w:rsidR="00B60579" w:rsidRPr="00D10ADF">
              <w:rPr>
                <w:rFonts w:cs="Arial"/>
                <w:iCs/>
                <w:sz w:val="18"/>
                <w:szCs w:val="18"/>
                <w:lang w:val="sr-Latn-RS"/>
              </w:rPr>
              <w:t xml:space="preserve">тел.: 011 </w:t>
            </w:r>
            <w:r w:rsidR="009C6A22">
              <w:rPr>
                <w:rFonts w:cs="Arial"/>
                <w:iCs/>
                <w:sz w:val="18"/>
                <w:szCs w:val="18"/>
                <w:lang w:val="sr-Cyrl-RS"/>
              </w:rPr>
              <w:t>6964</w:t>
            </w:r>
            <w:r w:rsidR="00B60579" w:rsidRPr="00D10ADF">
              <w:rPr>
                <w:rFonts w:cs="Arial"/>
                <w:iCs/>
                <w:sz w:val="18"/>
                <w:szCs w:val="18"/>
                <w:lang w:val="sr-Latn-RS"/>
              </w:rPr>
              <w:t>-</w:t>
            </w:r>
            <w:r w:rsidR="009C6A22">
              <w:rPr>
                <w:rFonts w:cs="Arial"/>
                <w:iCs/>
                <w:sz w:val="18"/>
                <w:szCs w:val="18"/>
                <w:lang w:val="sr-Cyrl-RS"/>
              </w:rPr>
              <w:t>234</w:t>
            </w:r>
          </w:p>
          <w:p w:rsidR="0041739D" w:rsidRPr="00D10ADF" w:rsidRDefault="004707EC" w:rsidP="006731AC">
            <w:pPr>
              <w:spacing w:before="120"/>
              <w:jc w:val="center"/>
              <w:rPr>
                <w:i/>
                <w:iCs/>
                <w:lang w:val="sr-Latn-RS"/>
              </w:rPr>
            </w:pP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t xml:space="preserve">Издаје и штампа: Републички завод за статистику, Београд, Милана Ракића 5 </w:t>
            </w: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br/>
              <w:t>Tелефон: 011 2412-922 (централа) • Tелефакс: 011 2411-260 •</w:t>
            </w:r>
            <w:r w:rsidR="006731AC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t>stat.gov.rs</w:t>
            </w: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br/>
              <w:t xml:space="preserve">Одговара: др Миладин Ковачевић, директор </w:t>
            </w: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br/>
              <w:t xml:space="preserve">Tираж: </w:t>
            </w:r>
            <w:r w:rsidR="007B6B9C">
              <w:rPr>
                <w:rFonts w:cs="Arial"/>
                <w:iCs/>
                <w:sz w:val="18"/>
                <w:szCs w:val="18"/>
                <w:lang w:val="sr-Latn-RS"/>
              </w:rPr>
              <w:t>20</w:t>
            </w:r>
            <w:r w:rsidRPr="00D10ADF">
              <w:rPr>
                <w:rFonts w:cs="Arial"/>
                <w:iCs/>
                <w:sz w:val="18"/>
                <w:szCs w:val="18"/>
                <w:lang w:val="sr-Latn-RS"/>
              </w:rPr>
              <w:t xml:space="preserve"> ● Периодика излажења: двогодишња</w:t>
            </w:r>
          </w:p>
        </w:tc>
      </w:tr>
    </w:tbl>
    <w:p w:rsidR="009324E6" w:rsidRPr="00D10ADF" w:rsidRDefault="009324E6" w:rsidP="006A7E8E">
      <w:pPr>
        <w:rPr>
          <w:lang w:val="sr-Latn-RS"/>
        </w:rPr>
      </w:pPr>
    </w:p>
    <w:sectPr w:rsidR="009324E6" w:rsidRPr="00D10ADF" w:rsidSect="00A7556A">
      <w:footerReference w:type="even" r:id="rId14"/>
      <w:footerReference w:type="default" r:id="rId15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E8" w:rsidRDefault="00BC29E8">
      <w:r>
        <w:separator/>
      </w:r>
    </w:p>
  </w:endnote>
  <w:endnote w:type="continuationSeparator" w:id="0">
    <w:p w:rsidR="00BC29E8" w:rsidRDefault="00BC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96"/>
      <w:gridCol w:w="5109"/>
    </w:tblGrid>
    <w:tr w:rsidR="00126DF3" w:rsidRPr="00672FE0"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:rsidR="00126DF3" w:rsidRPr="0020469C" w:rsidRDefault="00126DF3" w:rsidP="00D63491">
          <w:pPr>
            <w:spacing w:before="120"/>
            <w:rPr>
              <w:iCs/>
              <w:sz w:val="16"/>
              <w:szCs w:val="16"/>
            </w:rPr>
          </w:pPr>
          <w:r w:rsidRPr="0020469C">
            <w:rPr>
              <w:iCs/>
              <w:sz w:val="16"/>
              <w:szCs w:val="16"/>
            </w:rPr>
            <w:fldChar w:fldCharType="begin"/>
          </w:r>
          <w:r w:rsidRPr="0020469C">
            <w:rPr>
              <w:iCs/>
              <w:sz w:val="16"/>
              <w:szCs w:val="16"/>
            </w:rPr>
            <w:instrText xml:space="preserve"> PAGE </w:instrText>
          </w:r>
          <w:r w:rsidRPr="0020469C">
            <w:rPr>
              <w:iCs/>
              <w:sz w:val="16"/>
              <w:szCs w:val="16"/>
            </w:rPr>
            <w:fldChar w:fldCharType="separate"/>
          </w:r>
          <w:r w:rsidR="0027057F">
            <w:rPr>
              <w:iCs/>
              <w:noProof/>
              <w:sz w:val="16"/>
              <w:szCs w:val="16"/>
            </w:rPr>
            <w:t>2</w:t>
          </w:r>
          <w:r w:rsidRPr="0020469C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:rsidR="00126DF3" w:rsidRPr="0020469C" w:rsidRDefault="00126DF3" w:rsidP="007D3E2C">
          <w:pPr>
            <w:spacing w:before="120"/>
            <w:jc w:val="right"/>
            <w:rPr>
              <w:iCs/>
              <w:sz w:val="16"/>
              <w:szCs w:val="16"/>
            </w:rPr>
          </w:pPr>
          <w:r w:rsidRPr="0020469C">
            <w:rPr>
              <w:iCs/>
              <w:sz w:val="16"/>
              <w:szCs w:val="16"/>
            </w:rPr>
            <w:t>СРБ</w:t>
          </w:r>
          <w:r>
            <w:rPr>
              <w:iCs/>
              <w:sz w:val="16"/>
              <w:szCs w:val="16"/>
            </w:rPr>
            <w:t>332</w:t>
          </w:r>
          <w:r w:rsidRPr="0020469C">
            <w:rPr>
              <w:iCs/>
              <w:sz w:val="16"/>
              <w:szCs w:val="16"/>
            </w:rPr>
            <w:t xml:space="preserve"> ИА01 </w:t>
          </w:r>
          <w:r>
            <w:rPr>
              <w:iCs/>
              <w:sz w:val="16"/>
              <w:szCs w:val="16"/>
            </w:rPr>
            <w:t>011223</w:t>
          </w:r>
        </w:p>
      </w:tc>
    </w:tr>
  </w:tbl>
  <w:p w:rsidR="00126DF3" w:rsidRPr="00672FE0" w:rsidRDefault="00126DF3" w:rsidP="0041739D">
    <w:pPr>
      <w:rPr>
        <w:sz w:val="2"/>
        <w:szCs w:val="2"/>
        <w:highlight w:val="yell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08"/>
      <w:gridCol w:w="5097"/>
    </w:tblGrid>
    <w:tr w:rsidR="00126DF3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:rsidR="00126DF3" w:rsidRPr="0020469C" w:rsidRDefault="00126DF3" w:rsidP="007D3E2C">
          <w:pPr>
            <w:spacing w:before="120"/>
            <w:rPr>
              <w:iCs/>
              <w:sz w:val="16"/>
              <w:szCs w:val="16"/>
              <w:lang w:val="sr-Cyrl-RS"/>
            </w:rPr>
          </w:pPr>
          <w:r w:rsidRPr="0020469C">
            <w:rPr>
              <w:iCs/>
              <w:sz w:val="16"/>
              <w:szCs w:val="16"/>
            </w:rPr>
            <w:t>СРБ</w:t>
          </w:r>
          <w:r>
            <w:rPr>
              <w:iCs/>
              <w:sz w:val="16"/>
              <w:szCs w:val="16"/>
            </w:rPr>
            <w:t>332</w:t>
          </w:r>
          <w:r w:rsidRPr="0020469C">
            <w:rPr>
              <w:iCs/>
              <w:sz w:val="16"/>
              <w:szCs w:val="16"/>
            </w:rPr>
            <w:t xml:space="preserve"> ИА01 </w:t>
          </w:r>
          <w:r>
            <w:rPr>
              <w:iCs/>
              <w:sz w:val="16"/>
              <w:szCs w:val="16"/>
            </w:rPr>
            <w:t>011223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:rsidR="00126DF3" w:rsidRPr="003D5B77" w:rsidRDefault="00126DF3" w:rsidP="00D63491">
          <w:pPr>
            <w:spacing w:before="120"/>
            <w:jc w:val="right"/>
            <w:rPr>
              <w:bCs/>
              <w:sz w:val="16"/>
              <w:szCs w:val="16"/>
            </w:rPr>
          </w:pPr>
          <w:r w:rsidRPr="0020469C">
            <w:rPr>
              <w:bCs/>
              <w:sz w:val="16"/>
              <w:szCs w:val="16"/>
            </w:rPr>
            <w:fldChar w:fldCharType="begin"/>
          </w:r>
          <w:r w:rsidRPr="0020469C">
            <w:rPr>
              <w:bCs/>
              <w:sz w:val="16"/>
              <w:szCs w:val="16"/>
            </w:rPr>
            <w:instrText xml:space="preserve"> PAGE </w:instrText>
          </w:r>
          <w:r w:rsidRPr="0020469C">
            <w:rPr>
              <w:bCs/>
              <w:sz w:val="16"/>
              <w:szCs w:val="16"/>
            </w:rPr>
            <w:fldChar w:fldCharType="separate"/>
          </w:r>
          <w:r w:rsidR="0027057F">
            <w:rPr>
              <w:bCs/>
              <w:noProof/>
              <w:sz w:val="16"/>
              <w:szCs w:val="16"/>
            </w:rPr>
            <w:t>5</w:t>
          </w:r>
          <w:r w:rsidRPr="0020469C">
            <w:rPr>
              <w:bCs/>
              <w:sz w:val="16"/>
              <w:szCs w:val="16"/>
            </w:rPr>
            <w:fldChar w:fldCharType="end"/>
          </w:r>
        </w:p>
      </w:tc>
    </w:tr>
  </w:tbl>
  <w:p w:rsidR="00126DF3" w:rsidRPr="005C58EB" w:rsidRDefault="00126D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E8" w:rsidRDefault="00BC29E8">
      <w:r>
        <w:separator/>
      </w:r>
    </w:p>
  </w:footnote>
  <w:footnote w:type="continuationSeparator" w:id="0">
    <w:p w:rsidR="00BC29E8" w:rsidRDefault="00BC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297814C7"/>
    <w:multiLevelType w:val="hybridMultilevel"/>
    <w:tmpl w:val="12A22F2A"/>
    <w:lvl w:ilvl="0" w:tplc="A9B4E29C">
      <w:start w:val="6"/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7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2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4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7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8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9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0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4"/>
  </w:num>
  <w:num w:numId="13">
    <w:abstractNumId w:val="8"/>
  </w:num>
  <w:num w:numId="14">
    <w:abstractNumId w:val="28"/>
  </w:num>
  <w:num w:numId="15">
    <w:abstractNumId w:val="26"/>
  </w:num>
  <w:num w:numId="16">
    <w:abstractNumId w:val="12"/>
  </w:num>
  <w:num w:numId="17">
    <w:abstractNumId w:val="13"/>
  </w:num>
  <w:num w:numId="18">
    <w:abstractNumId w:val="31"/>
  </w:num>
  <w:num w:numId="19">
    <w:abstractNumId w:val="23"/>
  </w:num>
  <w:num w:numId="20">
    <w:abstractNumId w:val="20"/>
  </w:num>
  <w:num w:numId="21">
    <w:abstractNumId w:val="30"/>
  </w:num>
  <w:num w:numId="22">
    <w:abstractNumId w:val="25"/>
  </w:num>
  <w:num w:numId="23">
    <w:abstractNumId w:val="22"/>
  </w:num>
  <w:num w:numId="24">
    <w:abstractNumId w:val="16"/>
  </w:num>
  <w:num w:numId="25">
    <w:abstractNumId w:val="14"/>
  </w:num>
  <w:num w:numId="26">
    <w:abstractNumId w:val="18"/>
  </w:num>
  <w:num w:numId="27">
    <w:abstractNumId w:val="29"/>
  </w:num>
  <w:num w:numId="28">
    <w:abstractNumId w:val="11"/>
  </w:num>
  <w:num w:numId="29">
    <w:abstractNumId w:val="27"/>
  </w:num>
  <w:num w:numId="30">
    <w:abstractNumId w:val="21"/>
  </w:num>
  <w:num w:numId="31">
    <w:abstractNumId w:val="19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5F"/>
    <w:rsid w:val="000049E7"/>
    <w:rsid w:val="00005FE6"/>
    <w:rsid w:val="000107F8"/>
    <w:rsid w:val="00021C9B"/>
    <w:rsid w:val="000277CD"/>
    <w:rsid w:val="0003373C"/>
    <w:rsid w:val="000517D6"/>
    <w:rsid w:val="000635A4"/>
    <w:rsid w:val="00073416"/>
    <w:rsid w:val="00095B51"/>
    <w:rsid w:val="000A2183"/>
    <w:rsid w:val="000A23FB"/>
    <w:rsid w:val="000A42F2"/>
    <w:rsid w:val="000B716B"/>
    <w:rsid w:val="000C787A"/>
    <w:rsid w:val="000D3025"/>
    <w:rsid w:val="000D4726"/>
    <w:rsid w:val="000D5CA7"/>
    <w:rsid w:val="001034CA"/>
    <w:rsid w:val="001057A8"/>
    <w:rsid w:val="00110976"/>
    <w:rsid w:val="0011374C"/>
    <w:rsid w:val="00120DC5"/>
    <w:rsid w:val="00121727"/>
    <w:rsid w:val="00123816"/>
    <w:rsid w:val="00124128"/>
    <w:rsid w:val="001245F5"/>
    <w:rsid w:val="00126DF3"/>
    <w:rsid w:val="00132063"/>
    <w:rsid w:val="0013294E"/>
    <w:rsid w:val="001363C2"/>
    <w:rsid w:val="0014018B"/>
    <w:rsid w:val="00142CE4"/>
    <w:rsid w:val="00150CFA"/>
    <w:rsid w:val="00153CB0"/>
    <w:rsid w:val="00156535"/>
    <w:rsid w:val="00161C21"/>
    <w:rsid w:val="00165075"/>
    <w:rsid w:val="00165B24"/>
    <w:rsid w:val="00165EA9"/>
    <w:rsid w:val="00174C57"/>
    <w:rsid w:val="00174E1D"/>
    <w:rsid w:val="00176A3A"/>
    <w:rsid w:val="00182599"/>
    <w:rsid w:val="001A0EFD"/>
    <w:rsid w:val="001A38BC"/>
    <w:rsid w:val="001A76BE"/>
    <w:rsid w:val="001B260F"/>
    <w:rsid w:val="001B3515"/>
    <w:rsid w:val="001C3AEB"/>
    <w:rsid w:val="001C5F33"/>
    <w:rsid w:val="001C685D"/>
    <w:rsid w:val="001D028E"/>
    <w:rsid w:val="001D0BBC"/>
    <w:rsid w:val="001D7632"/>
    <w:rsid w:val="001F03B2"/>
    <w:rsid w:val="00200BBA"/>
    <w:rsid w:val="0020469C"/>
    <w:rsid w:val="00224F19"/>
    <w:rsid w:val="00225696"/>
    <w:rsid w:val="00232366"/>
    <w:rsid w:val="002338F2"/>
    <w:rsid w:val="002425CC"/>
    <w:rsid w:val="002507D1"/>
    <w:rsid w:val="00254564"/>
    <w:rsid w:val="0025585D"/>
    <w:rsid w:val="002577D1"/>
    <w:rsid w:val="00266953"/>
    <w:rsid w:val="0027057F"/>
    <w:rsid w:val="00296C06"/>
    <w:rsid w:val="002A18A7"/>
    <w:rsid w:val="002B3730"/>
    <w:rsid w:val="002C2295"/>
    <w:rsid w:val="002D0A88"/>
    <w:rsid w:val="002E7257"/>
    <w:rsid w:val="002F0B73"/>
    <w:rsid w:val="00300FC1"/>
    <w:rsid w:val="00301A43"/>
    <w:rsid w:val="00306619"/>
    <w:rsid w:val="00317104"/>
    <w:rsid w:val="00323911"/>
    <w:rsid w:val="00323DBC"/>
    <w:rsid w:val="003274A4"/>
    <w:rsid w:val="0033433D"/>
    <w:rsid w:val="003347D6"/>
    <w:rsid w:val="0034261B"/>
    <w:rsid w:val="003472A6"/>
    <w:rsid w:val="00347B2F"/>
    <w:rsid w:val="00366BA0"/>
    <w:rsid w:val="0037128A"/>
    <w:rsid w:val="003729DD"/>
    <w:rsid w:val="003864C7"/>
    <w:rsid w:val="00392C06"/>
    <w:rsid w:val="00392E5B"/>
    <w:rsid w:val="00395905"/>
    <w:rsid w:val="003A2F46"/>
    <w:rsid w:val="003A4617"/>
    <w:rsid w:val="003A6A72"/>
    <w:rsid w:val="003B7271"/>
    <w:rsid w:val="003C4653"/>
    <w:rsid w:val="003D3395"/>
    <w:rsid w:val="003D5B77"/>
    <w:rsid w:val="003E06F2"/>
    <w:rsid w:val="003E3C34"/>
    <w:rsid w:val="003E6600"/>
    <w:rsid w:val="003E677A"/>
    <w:rsid w:val="003F04B4"/>
    <w:rsid w:val="0040334F"/>
    <w:rsid w:val="0041739D"/>
    <w:rsid w:val="00427184"/>
    <w:rsid w:val="0042760D"/>
    <w:rsid w:val="00432F75"/>
    <w:rsid w:val="00442F31"/>
    <w:rsid w:val="0045512A"/>
    <w:rsid w:val="004641A7"/>
    <w:rsid w:val="004704ED"/>
    <w:rsid w:val="004707EC"/>
    <w:rsid w:val="00470AF3"/>
    <w:rsid w:val="004772BD"/>
    <w:rsid w:val="0048193C"/>
    <w:rsid w:val="004946DA"/>
    <w:rsid w:val="004958A5"/>
    <w:rsid w:val="00497E1D"/>
    <w:rsid w:val="004B2E1E"/>
    <w:rsid w:val="004B3EE0"/>
    <w:rsid w:val="004B61FB"/>
    <w:rsid w:val="004C0D24"/>
    <w:rsid w:val="004C5950"/>
    <w:rsid w:val="004E266D"/>
    <w:rsid w:val="004E5ADD"/>
    <w:rsid w:val="004F25EE"/>
    <w:rsid w:val="004F4876"/>
    <w:rsid w:val="004F4A78"/>
    <w:rsid w:val="004F4BE5"/>
    <w:rsid w:val="005062DF"/>
    <w:rsid w:val="00506A93"/>
    <w:rsid w:val="00507085"/>
    <w:rsid w:val="00524F96"/>
    <w:rsid w:val="005304CF"/>
    <w:rsid w:val="0054242C"/>
    <w:rsid w:val="005452E1"/>
    <w:rsid w:val="00550457"/>
    <w:rsid w:val="00550672"/>
    <w:rsid w:val="005511D5"/>
    <w:rsid w:val="00551EEF"/>
    <w:rsid w:val="00555E38"/>
    <w:rsid w:val="005605E2"/>
    <w:rsid w:val="005640A5"/>
    <w:rsid w:val="0056736C"/>
    <w:rsid w:val="005704FD"/>
    <w:rsid w:val="00577258"/>
    <w:rsid w:val="00580E59"/>
    <w:rsid w:val="00591F3B"/>
    <w:rsid w:val="00596A18"/>
    <w:rsid w:val="005C10E4"/>
    <w:rsid w:val="005C4034"/>
    <w:rsid w:val="005C58EB"/>
    <w:rsid w:val="005D052D"/>
    <w:rsid w:val="005D3903"/>
    <w:rsid w:val="005E3D83"/>
    <w:rsid w:val="005E5D80"/>
    <w:rsid w:val="005F2EE6"/>
    <w:rsid w:val="005F408E"/>
    <w:rsid w:val="005F4480"/>
    <w:rsid w:val="00606855"/>
    <w:rsid w:val="00613C90"/>
    <w:rsid w:val="00626DB8"/>
    <w:rsid w:val="00627E99"/>
    <w:rsid w:val="006351F0"/>
    <w:rsid w:val="00644487"/>
    <w:rsid w:val="00644E50"/>
    <w:rsid w:val="00663548"/>
    <w:rsid w:val="00667027"/>
    <w:rsid w:val="0067119B"/>
    <w:rsid w:val="00672FE0"/>
    <w:rsid w:val="006731AC"/>
    <w:rsid w:val="00677A51"/>
    <w:rsid w:val="00682813"/>
    <w:rsid w:val="0068299E"/>
    <w:rsid w:val="00682E27"/>
    <w:rsid w:val="00693D5A"/>
    <w:rsid w:val="006944C1"/>
    <w:rsid w:val="006A3749"/>
    <w:rsid w:val="006A7E8E"/>
    <w:rsid w:val="006B41F9"/>
    <w:rsid w:val="006B7517"/>
    <w:rsid w:val="006C078D"/>
    <w:rsid w:val="006C49F9"/>
    <w:rsid w:val="006C60CB"/>
    <w:rsid w:val="006C6AB4"/>
    <w:rsid w:val="006D3D65"/>
    <w:rsid w:val="006E1C3E"/>
    <w:rsid w:val="006E1D19"/>
    <w:rsid w:val="006E7AF4"/>
    <w:rsid w:val="006F35D2"/>
    <w:rsid w:val="006F3FE1"/>
    <w:rsid w:val="006F6779"/>
    <w:rsid w:val="00700A43"/>
    <w:rsid w:val="0070574B"/>
    <w:rsid w:val="00710319"/>
    <w:rsid w:val="00714D04"/>
    <w:rsid w:val="00722EC5"/>
    <w:rsid w:val="00727C28"/>
    <w:rsid w:val="00730336"/>
    <w:rsid w:val="0073113A"/>
    <w:rsid w:val="007351D7"/>
    <w:rsid w:val="00753BE2"/>
    <w:rsid w:val="00791DF7"/>
    <w:rsid w:val="007A00CD"/>
    <w:rsid w:val="007A551E"/>
    <w:rsid w:val="007A6DD2"/>
    <w:rsid w:val="007B5F5C"/>
    <w:rsid w:val="007B6B9C"/>
    <w:rsid w:val="007C155C"/>
    <w:rsid w:val="007C73D0"/>
    <w:rsid w:val="007D3E2C"/>
    <w:rsid w:val="007D4AF9"/>
    <w:rsid w:val="007D7138"/>
    <w:rsid w:val="007E2BD1"/>
    <w:rsid w:val="007E3D1D"/>
    <w:rsid w:val="007E3FD2"/>
    <w:rsid w:val="007E6E68"/>
    <w:rsid w:val="007F1EB5"/>
    <w:rsid w:val="007F379F"/>
    <w:rsid w:val="007F63EA"/>
    <w:rsid w:val="007F650B"/>
    <w:rsid w:val="008048DB"/>
    <w:rsid w:val="008060F4"/>
    <w:rsid w:val="008174D7"/>
    <w:rsid w:val="00821FD3"/>
    <w:rsid w:val="008241A0"/>
    <w:rsid w:val="00830596"/>
    <w:rsid w:val="00850C04"/>
    <w:rsid w:val="008511BB"/>
    <w:rsid w:val="00851252"/>
    <w:rsid w:val="0086057A"/>
    <w:rsid w:val="00865950"/>
    <w:rsid w:val="008740D7"/>
    <w:rsid w:val="00880915"/>
    <w:rsid w:val="00881711"/>
    <w:rsid w:val="00890741"/>
    <w:rsid w:val="00893F53"/>
    <w:rsid w:val="00894A36"/>
    <w:rsid w:val="008A6A1E"/>
    <w:rsid w:val="008A7AAC"/>
    <w:rsid w:val="008B3053"/>
    <w:rsid w:val="008B5326"/>
    <w:rsid w:val="008C3B72"/>
    <w:rsid w:val="008C44B8"/>
    <w:rsid w:val="008C6212"/>
    <w:rsid w:val="008C73BB"/>
    <w:rsid w:val="008D6FC3"/>
    <w:rsid w:val="008E00BA"/>
    <w:rsid w:val="008E13E5"/>
    <w:rsid w:val="008E6A03"/>
    <w:rsid w:val="008F1A74"/>
    <w:rsid w:val="008F3022"/>
    <w:rsid w:val="00904BEC"/>
    <w:rsid w:val="00905C53"/>
    <w:rsid w:val="009061FF"/>
    <w:rsid w:val="00916541"/>
    <w:rsid w:val="0092768A"/>
    <w:rsid w:val="009324E6"/>
    <w:rsid w:val="00935F76"/>
    <w:rsid w:val="00940DEA"/>
    <w:rsid w:val="00943CC6"/>
    <w:rsid w:val="00945857"/>
    <w:rsid w:val="00953B72"/>
    <w:rsid w:val="009561C0"/>
    <w:rsid w:val="00961DB8"/>
    <w:rsid w:val="00967E5C"/>
    <w:rsid w:val="009707A7"/>
    <w:rsid w:val="00976BD9"/>
    <w:rsid w:val="009861D7"/>
    <w:rsid w:val="00991CBB"/>
    <w:rsid w:val="009A7129"/>
    <w:rsid w:val="009B19B2"/>
    <w:rsid w:val="009C6A22"/>
    <w:rsid w:val="009D28E8"/>
    <w:rsid w:val="009D5C15"/>
    <w:rsid w:val="009E4CF4"/>
    <w:rsid w:val="009F122F"/>
    <w:rsid w:val="009F630E"/>
    <w:rsid w:val="00A01C8B"/>
    <w:rsid w:val="00A10DDA"/>
    <w:rsid w:val="00A1622B"/>
    <w:rsid w:val="00A20D67"/>
    <w:rsid w:val="00A252B4"/>
    <w:rsid w:val="00A25391"/>
    <w:rsid w:val="00A4425E"/>
    <w:rsid w:val="00A462A1"/>
    <w:rsid w:val="00A62452"/>
    <w:rsid w:val="00A73A83"/>
    <w:rsid w:val="00A7556A"/>
    <w:rsid w:val="00A812E9"/>
    <w:rsid w:val="00A831FC"/>
    <w:rsid w:val="00A84F98"/>
    <w:rsid w:val="00A91521"/>
    <w:rsid w:val="00A92255"/>
    <w:rsid w:val="00AA055B"/>
    <w:rsid w:val="00AA2DCF"/>
    <w:rsid w:val="00AB33BD"/>
    <w:rsid w:val="00AB697E"/>
    <w:rsid w:val="00AC43D9"/>
    <w:rsid w:val="00AD265A"/>
    <w:rsid w:val="00AD2E5F"/>
    <w:rsid w:val="00AD6E4F"/>
    <w:rsid w:val="00B01337"/>
    <w:rsid w:val="00B0484B"/>
    <w:rsid w:val="00B11468"/>
    <w:rsid w:val="00B13AE2"/>
    <w:rsid w:val="00B20502"/>
    <w:rsid w:val="00B22B97"/>
    <w:rsid w:val="00B34DCE"/>
    <w:rsid w:val="00B4571A"/>
    <w:rsid w:val="00B60579"/>
    <w:rsid w:val="00B64573"/>
    <w:rsid w:val="00B9164A"/>
    <w:rsid w:val="00B9185E"/>
    <w:rsid w:val="00B94683"/>
    <w:rsid w:val="00B967F5"/>
    <w:rsid w:val="00BA2A4A"/>
    <w:rsid w:val="00BC29E8"/>
    <w:rsid w:val="00BC3803"/>
    <w:rsid w:val="00BC5F23"/>
    <w:rsid w:val="00BC6C6F"/>
    <w:rsid w:val="00BE0489"/>
    <w:rsid w:val="00BE573E"/>
    <w:rsid w:val="00BE638D"/>
    <w:rsid w:val="00BF0C56"/>
    <w:rsid w:val="00BF19B9"/>
    <w:rsid w:val="00BF1E3D"/>
    <w:rsid w:val="00BF5793"/>
    <w:rsid w:val="00BF5DE1"/>
    <w:rsid w:val="00C00762"/>
    <w:rsid w:val="00C01DF9"/>
    <w:rsid w:val="00C07F30"/>
    <w:rsid w:val="00C13D19"/>
    <w:rsid w:val="00C149A4"/>
    <w:rsid w:val="00C245C0"/>
    <w:rsid w:val="00C37F67"/>
    <w:rsid w:val="00C40695"/>
    <w:rsid w:val="00C421CF"/>
    <w:rsid w:val="00C4575A"/>
    <w:rsid w:val="00C46AB1"/>
    <w:rsid w:val="00C47213"/>
    <w:rsid w:val="00C5042B"/>
    <w:rsid w:val="00C56565"/>
    <w:rsid w:val="00C569C6"/>
    <w:rsid w:val="00C601AF"/>
    <w:rsid w:val="00C60562"/>
    <w:rsid w:val="00C61009"/>
    <w:rsid w:val="00C61D8F"/>
    <w:rsid w:val="00C66A76"/>
    <w:rsid w:val="00C93237"/>
    <w:rsid w:val="00C9704D"/>
    <w:rsid w:val="00CA16B2"/>
    <w:rsid w:val="00CA48FF"/>
    <w:rsid w:val="00CB6A1B"/>
    <w:rsid w:val="00CB6E23"/>
    <w:rsid w:val="00CC2991"/>
    <w:rsid w:val="00CD18DE"/>
    <w:rsid w:val="00CD3297"/>
    <w:rsid w:val="00CD40C9"/>
    <w:rsid w:val="00CD6DB8"/>
    <w:rsid w:val="00CD73A2"/>
    <w:rsid w:val="00CE170F"/>
    <w:rsid w:val="00CF0D42"/>
    <w:rsid w:val="00CF20F9"/>
    <w:rsid w:val="00CF74C4"/>
    <w:rsid w:val="00D00523"/>
    <w:rsid w:val="00D02A56"/>
    <w:rsid w:val="00D02D5A"/>
    <w:rsid w:val="00D06B5C"/>
    <w:rsid w:val="00D075D6"/>
    <w:rsid w:val="00D10ADF"/>
    <w:rsid w:val="00D1277C"/>
    <w:rsid w:val="00D1546E"/>
    <w:rsid w:val="00D172B7"/>
    <w:rsid w:val="00D243D1"/>
    <w:rsid w:val="00D30832"/>
    <w:rsid w:val="00D32A59"/>
    <w:rsid w:val="00D34A29"/>
    <w:rsid w:val="00D44043"/>
    <w:rsid w:val="00D465E6"/>
    <w:rsid w:val="00D5713A"/>
    <w:rsid w:val="00D63491"/>
    <w:rsid w:val="00D66EB9"/>
    <w:rsid w:val="00D70E6E"/>
    <w:rsid w:val="00D7618A"/>
    <w:rsid w:val="00D94F8A"/>
    <w:rsid w:val="00DA14AE"/>
    <w:rsid w:val="00DA1F71"/>
    <w:rsid w:val="00DA568A"/>
    <w:rsid w:val="00DA614F"/>
    <w:rsid w:val="00DB520F"/>
    <w:rsid w:val="00DB6EFF"/>
    <w:rsid w:val="00DC5B20"/>
    <w:rsid w:val="00DC74FF"/>
    <w:rsid w:val="00DD1288"/>
    <w:rsid w:val="00DD2684"/>
    <w:rsid w:val="00DE0D87"/>
    <w:rsid w:val="00DE49C0"/>
    <w:rsid w:val="00E00ABD"/>
    <w:rsid w:val="00E04B7A"/>
    <w:rsid w:val="00E05015"/>
    <w:rsid w:val="00E06782"/>
    <w:rsid w:val="00E078E5"/>
    <w:rsid w:val="00E14C99"/>
    <w:rsid w:val="00E32D38"/>
    <w:rsid w:val="00E33DCA"/>
    <w:rsid w:val="00E3405B"/>
    <w:rsid w:val="00E43755"/>
    <w:rsid w:val="00E473C4"/>
    <w:rsid w:val="00E51100"/>
    <w:rsid w:val="00E556D1"/>
    <w:rsid w:val="00E610E9"/>
    <w:rsid w:val="00E61FDD"/>
    <w:rsid w:val="00E62EA8"/>
    <w:rsid w:val="00E700D8"/>
    <w:rsid w:val="00E70DF1"/>
    <w:rsid w:val="00E70E1F"/>
    <w:rsid w:val="00E724FA"/>
    <w:rsid w:val="00E74D02"/>
    <w:rsid w:val="00E774F5"/>
    <w:rsid w:val="00E97BD9"/>
    <w:rsid w:val="00EA13C0"/>
    <w:rsid w:val="00EA1C91"/>
    <w:rsid w:val="00EA29F8"/>
    <w:rsid w:val="00EA41D0"/>
    <w:rsid w:val="00EA7379"/>
    <w:rsid w:val="00EB1952"/>
    <w:rsid w:val="00EB2A1D"/>
    <w:rsid w:val="00EB36A2"/>
    <w:rsid w:val="00EC4EF1"/>
    <w:rsid w:val="00EC4F79"/>
    <w:rsid w:val="00EC6209"/>
    <w:rsid w:val="00ED17C2"/>
    <w:rsid w:val="00ED3596"/>
    <w:rsid w:val="00ED68B8"/>
    <w:rsid w:val="00EF0A21"/>
    <w:rsid w:val="00EF3E24"/>
    <w:rsid w:val="00EF7125"/>
    <w:rsid w:val="00EF755F"/>
    <w:rsid w:val="00F02144"/>
    <w:rsid w:val="00F140F3"/>
    <w:rsid w:val="00F25922"/>
    <w:rsid w:val="00F30BBD"/>
    <w:rsid w:val="00F37073"/>
    <w:rsid w:val="00F42DEE"/>
    <w:rsid w:val="00F50635"/>
    <w:rsid w:val="00F551AC"/>
    <w:rsid w:val="00F554F4"/>
    <w:rsid w:val="00F60F67"/>
    <w:rsid w:val="00F6409B"/>
    <w:rsid w:val="00F762F8"/>
    <w:rsid w:val="00F774D1"/>
    <w:rsid w:val="00F801A0"/>
    <w:rsid w:val="00F84DD9"/>
    <w:rsid w:val="00F86959"/>
    <w:rsid w:val="00F90748"/>
    <w:rsid w:val="00F910C6"/>
    <w:rsid w:val="00FA14E4"/>
    <w:rsid w:val="00FA2DA9"/>
    <w:rsid w:val="00FA74C5"/>
    <w:rsid w:val="00FB0730"/>
    <w:rsid w:val="00FB5F5D"/>
    <w:rsid w:val="00FC021A"/>
    <w:rsid w:val="00FC0311"/>
    <w:rsid w:val="00FC2192"/>
    <w:rsid w:val="00FD0EB9"/>
    <w:rsid w:val="00FD14A7"/>
    <w:rsid w:val="00FE0BAE"/>
    <w:rsid w:val="00FF3BEC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2391EC6"/>
  <w15:docId w15:val="{046756B8-4850-4FC8-BAD3-CB9FDE69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18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character" w:styleId="Hyperlink">
    <w:name w:val="Hyperlink"/>
    <w:rsid w:val="002425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ncica.stefanovic@sta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6C57-545D-4B8E-BF9B-52DCAA54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1274</Words>
  <Characters>7708</Characters>
  <Application>Microsoft Office Word</Application>
  <DocSecurity>0</DocSecurity>
  <Lines>642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8510</CharactersWithSpaces>
  <SharedDoc>false</SharedDoc>
  <HLinks>
    <vt:vector size="6" baseType="variant"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>mailto:paun.cukavac@stat.gov.rs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e51id02</dc:creator>
  <cp:lastModifiedBy>Dragana Steljic</cp:lastModifiedBy>
  <cp:revision>7</cp:revision>
  <cp:lastPrinted>2019-06-28T05:37:00Z</cp:lastPrinted>
  <dcterms:created xsi:type="dcterms:W3CDTF">2023-11-30T10:40:00Z</dcterms:created>
  <dcterms:modified xsi:type="dcterms:W3CDTF">2023-12-01T11:03:00Z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