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000" w:firstRow="0" w:lastRow="0" w:firstColumn="0" w:lastColumn="0" w:noHBand="0" w:noVBand="0"/>
      </w:tblPr>
      <w:tblGrid>
        <w:gridCol w:w="1666"/>
        <w:gridCol w:w="5252"/>
        <w:gridCol w:w="3343"/>
      </w:tblGrid>
      <w:tr w:rsidR="00D32313" w:rsidRPr="0048268B">
        <w:trPr>
          <w:cantSplit/>
          <w:trHeight w:val="631"/>
          <w:jc w:val="center"/>
        </w:trPr>
        <w:tc>
          <w:tcPr>
            <w:tcW w:w="812" w:type="pct"/>
            <w:tcBorders>
              <w:top w:val="single" w:sz="12" w:space="0" w:color="808080"/>
              <w:left w:val="nil"/>
              <w:bottom w:val="nil"/>
            </w:tcBorders>
            <w:vAlign w:val="center"/>
          </w:tcPr>
          <w:p w:rsidR="00D32313" w:rsidRPr="0048268B" w:rsidRDefault="007E2B86" w:rsidP="00C149A4">
            <w:pPr>
              <w:rPr>
                <w:color w:val="808080"/>
              </w:rPr>
            </w:pPr>
            <w:r w:rsidRPr="0048268B">
              <w:rPr>
                <w:noProof/>
                <w:lang w:val="en-US"/>
              </w:rPr>
              <w:drawing>
                <wp:anchor distT="0" distB="0" distL="114300" distR="114300" simplePos="0" relativeHeight="251657216" behindDoc="0" locked="0" layoutInCell="1" allowOverlap="1">
                  <wp:simplePos x="0" y="0"/>
                  <wp:positionH relativeFrom="character">
                    <wp:posOffset>0</wp:posOffset>
                  </wp:positionH>
                  <wp:positionV relativeFrom="line">
                    <wp:posOffset>0</wp:posOffset>
                  </wp:positionV>
                  <wp:extent cx="904875" cy="219075"/>
                  <wp:effectExtent l="0" t="0" r="0" b="0"/>
                  <wp:wrapNone/>
                  <wp:docPr id="4" name="Picture 2"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R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pic:spPr>
                      </pic:pic>
                    </a:graphicData>
                  </a:graphic>
                </wp:anchor>
              </w:drawing>
            </w:r>
            <w:r w:rsidRPr="0048268B">
              <w:rPr>
                <w:noProof/>
                <w:color w:val="808080"/>
                <w:lang w:val="en-US"/>
              </w:rPr>
              <w:drawing>
                <wp:inline distT="0" distB="0" distL="0" distR="0">
                  <wp:extent cx="8001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9930" b="99930"/>
                          <a:stretch>
                            <a:fillRect/>
                          </a:stretch>
                        </pic:blipFill>
                        <pic:spPr bwMode="auto">
                          <a:xfrm>
                            <a:off x="0" y="0"/>
                            <a:ext cx="800100" cy="114300"/>
                          </a:xfrm>
                          <a:prstGeom prst="rect">
                            <a:avLst/>
                          </a:prstGeom>
                          <a:noFill/>
                          <a:ln>
                            <a:noFill/>
                          </a:ln>
                        </pic:spPr>
                      </pic:pic>
                    </a:graphicData>
                  </a:graphic>
                </wp:inline>
              </w:drawing>
            </w:r>
          </w:p>
        </w:tc>
        <w:tc>
          <w:tcPr>
            <w:tcW w:w="2559" w:type="pct"/>
            <w:tcBorders>
              <w:top w:val="single" w:sz="12" w:space="0" w:color="808080"/>
              <w:left w:val="nil"/>
              <w:bottom w:val="nil"/>
            </w:tcBorders>
            <w:vAlign w:val="center"/>
          </w:tcPr>
          <w:p w:rsidR="00D32313" w:rsidRPr="0048268B" w:rsidRDefault="008216A9" w:rsidP="002338F2">
            <w:r w:rsidRPr="0048268B">
              <w:t>Republic of Serbia</w:t>
            </w:r>
          </w:p>
          <w:p w:rsidR="00D32313" w:rsidRPr="0048268B" w:rsidRDefault="008216A9" w:rsidP="002338F2">
            <w:r w:rsidRPr="0048268B">
              <w:t>Statistical Office of the Republic of Serbia</w:t>
            </w:r>
          </w:p>
        </w:tc>
        <w:tc>
          <w:tcPr>
            <w:tcW w:w="0" w:type="auto"/>
            <w:tcBorders>
              <w:top w:val="single" w:sz="12" w:space="0" w:color="808080"/>
              <w:bottom w:val="nil"/>
              <w:right w:val="nil"/>
            </w:tcBorders>
            <w:vAlign w:val="center"/>
          </w:tcPr>
          <w:p w:rsidR="00D32313" w:rsidRPr="0048268B" w:rsidRDefault="00D32313" w:rsidP="006E7AF4">
            <w:pPr>
              <w:jc w:val="right"/>
              <w:rPr>
                <w:b/>
                <w:bCs/>
                <w:color w:val="808080"/>
              </w:rPr>
            </w:pPr>
            <w:r w:rsidRPr="0048268B">
              <w:t>ISSN 0353-9555</w:t>
            </w:r>
          </w:p>
        </w:tc>
      </w:tr>
      <w:tr w:rsidR="00D32313" w:rsidRPr="0048268B">
        <w:trPr>
          <w:cantSplit/>
          <w:trHeight w:val="695"/>
          <w:jc w:val="center"/>
        </w:trPr>
        <w:tc>
          <w:tcPr>
            <w:tcW w:w="0" w:type="auto"/>
            <w:gridSpan w:val="2"/>
            <w:tcBorders>
              <w:top w:val="nil"/>
              <w:left w:val="nil"/>
              <w:right w:val="nil"/>
            </w:tcBorders>
            <w:vAlign w:val="center"/>
          </w:tcPr>
          <w:p w:rsidR="00D32313" w:rsidRPr="0048268B" w:rsidRDefault="008216A9" w:rsidP="002338F2">
            <w:pPr>
              <w:rPr>
                <w:color w:val="808080"/>
              </w:rPr>
            </w:pPr>
            <w:r w:rsidRPr="0048268B">
              <w:rPr>
                <w:b/>
                <w:bCs/>
                <w:color w:val="808080"/>
                <w:sz w:val="48"/>
                <w:szCs w:val="48"/>
              </w:rPr>
              <w:t>STATISTICAL RELEASE</w:t>
            </w:r>
          </w:p>
        </w:tc>
        <w:tc>
          <w:tcPr>
            <w:tcW w:w="0" w:type="auto"/>
            <w:tcBorders>
              <w:top w:val="nil"/>
              <w:left w:val="nil"/>
              <w:right w:val="nil"/>
            </w:tcBorders>
            <w:vAlign w:val="center"/>
          </w:tcPr>
          <w:p w:rsidR="00D32313" w:rsidRPr="0048268B" w:rsidRDefault="00DD4530" w:rsidP="00DD4530">
            <w:pPr>
              <w:jc w:val="right"/>
              <w:rPr>
                <w:b/>
                <w:bCs/>
                <w:color w:val="808080"/>
                <w:sz w:val="12"/>
                <w:szCs w:val="12"/>
              </w:rPr>
            </w:pPr>
            <w:r w:rsidRPr="0048268B">
              <w:rPr>
                <w:b/>
                <w:bCs/>
                <w:color w:val="808080"/>
                <w:sz w:val="48"/>
                <w:szCs w:val="48"/>
              </w:rPr>
              <w:t>ZS93</w:t>
            </w:r>
          </w:p>
        </w:tc>
      </w:tr>
      <w:tr w:rsidR="00D32313" w:rsidRPr="0048268B">
        <w:trPr>
          <w:cantSplit/>
          <w:trHeight w:hRule="exact" w:val="279"/>
          <w:jc w:val="center"/>
        </w:trPr>
        <w:tc>
          <w:tcPr>
            <w:tcW w:w="0" w:type="auto"/>
            <w:gridSpan w:val="2"/>
            <w:tcBorders>
              <w:top w:val="nil"/>
              <w:left w:val="nil"/>
              <w:bottom w:val="nil"/>
              <w:right w:val="nil"/>
            </w:tcBorders>
            <w:vAlign w:val="center"/>
          </w:tcPr>
          <w:p w:rsidR="00D32313" w:rsidRPr="0048268B" w:rsidRDefault="008216A9" w:rsidP="007E6BBC">
            <w:r w:rsidRPr="0048268B">
              <w:t>Number</w:t>
            </w:r>
            <w:r w:rsidR="007E6BBC">
              <w:rPr>
                <w:lang w:val="sr-Cyrl-RS"/>
              </w:rPr>
              <w:t xml:space="preserve"> 097 </w:t>
            </w:r>
            <w:r w:rsidR="00B16C5A" w:rsidRPr="0048268B">
              <w:t>–</w:t>
            </w:r>
            <w:r w:rsidRPr="0048268B">
              <w:t>Year</w:t>
            </w:r>
            <w:r w:rsidR="007E6BBC" w:rsidRPr="007E6BBC">
              <w:rPr>
                <w:lang w:val="sr-Cyrl-RS"/>
              </w:rPr>
              <w:t xml:space="preserve"> </w:t>
            </w:r>
            <w:r w:rsidR="006A481E" w:rsidRPr="007E6BBC">
              <w:t>LXX</w:t>
            </w:r>
            <w:r w:rsidR="00381EA9" w:rsidRPr="007E6BBC">
              <w:t>I</w:t>
            </w:r>
            <w:r w:rsidR="00F22D68" w:rsidRPr="007E6BBC">
              <w:t>I</w:t>
            </w:r>
            <w:r w:rsidR="00D32313" w:rsidRPr="007E6BBC">
              <w:t xml:space="preserve">, </w:t>
            </w:r>
            <w:r w:rsidR="00EC5CE5" w:rsidRPr="0048268B">
              <w:t>15</w:t>
            </w:r>
            <w:r w:rsidR="007E6BBC">
              <w:rPr>
                <w:lang w:val="sr-Cyrl-RS"/>
              </w:rPr>
              <w:t>/</w:t>
            </w:r>
            <w:r w:rsidR="006A481E" w:rsidRPr="0048268B">
              <w:t>0</w:t>
            </w:r>
            <w:r w:rsidR="00EC5CE5" w:rsidRPr="0048268B">
              <w:t>4</w:t>
            </w:r>
            <w:r w:rsidR="007E6BBC">
              <w:rPr>
                <w:lang w:val="sr-Cyrl-RS"/>
              </w:rPr>
              <w:t>/</w:t>
            </w:r>
            <w:r w:rsidR="006A481E" w:rsidRPr="0048268B">
              <w:t>20</w:t>
            </w:r>
            <w:r w:rsidR="00DF2BA2" w:rsidRPr="0048268B">
              <w:t>2</w:t>
            </w:r>
            <w:r w:rsidR="00EC5CE5" w:rsidRPr="0048268B">
              <w:t>2</w:t>
            </w:r>
          </w:p>
        </w:tc>
        <w:tc>
          <w:tcPr>
            <w:tcW w:w="0" w:type="auto"/>
            <w:tcBorders>
              <w:left w:val="nil"/>
              <w:bottom w:val="nil"/>
              <w:right w:val="nil"/>
            </w:tcBorders>
            <w:vAlign w:val="center"/>
          </w:tcPr>
          <w:p w:rsidR="00D32313" w:rsidRPr="0048268B" w:rsidRDefault="00D32313" w:rsidP="002338F2">
            <w:pPr>
              <w:jc w:val="right"/>
              <w:rPr>
                <w:b/>
                <w:bCs/>
                <w:color w:val="808080"/>
                <w:sz w:val="48"/>
                <w:szCs w:val="48"/>
              </w:rPr>
            </w:pPr>
          </w:p>
        </w:tc>
      </w:tr>
      <w:tr w:rsidR="00DD4530" w:rsidRPr="0048268B">
        <w:trPr>
          <w:cantSplit/>
          <w:trHeight w:val="353"/>
          <w:jc w:val="center"/>
        </w:trPr>
        <w:tc>
          <w:tcPr>
            <w:tcW w:w="0" w:type="auto"/>
            <w:gridSpan w:val="2"/>
            <w:tcBorders>
              <w:top w:val="nil"/>
              <w:left w:val="nil"/>
              <w:bottom w:val="single" w:sz="12" w:space="0" w:color="808080"/>
              <w:right w:val="nil"/>
            </w:tcBorders>
            <w:vAlign w:val="center"/>
          </w:tcPr>
          <w:p w:rsidR="00DD4530" w:rsidRPr="0048268B" w:rsidRDefault="00DD4530" w:rsidP="00A44A72">
            <w:pPr>
              <w:rPr>
                <w:b/>
                <w:bCs/>
                <w:sz w:val="24"/>
                <w:szCs w:val="24"/>
              </w:rPr>
            </w:pPr>
            <w:r w:rsidRPr="0048268B">
              <w:rPr>
                <w:b/>
                <w:bCs/>
                <w:sz w:val="24"/>
                <w:szCs w:val="24"/>
              </w:rPr>
              <w:t xml:space="preserve">Environmental statistics </w:t>
            </w:r>
            <w:r w:rsidR="00D17000" w:rsidRPr="0048268B">
              <w:rPr>
                <w:b/>
                <w:bCs/>
                <w:sz w:val="24"/>
                <w:szCs w:val="24"/>
              </w:rPr>
              <w:t>and accounts division</w:t>
            </w:r>
          </w:p>
        </w:tc>
        <w:tc>
          <w:tcPr>
            <w:tcW w:w="0" w:type="auto"/>
            <w:tcBorders>
              <w:top w:val="nil"/>
              <w:left w:val="nil"/>
              <w:bottom w:val="single" w:sz="12" w:space="0" w:color="808080"/>
              <w:right w:val="nil"/>
            </w:tcBorders>
            <w:vAlign w:val="center"/>
          </w:tcPr>
          <w:p w:rsidR="00DD4530" w:rsidRPr="0048268B" w:rsidRDefault="00DD4530" w:rsidP="007E6BBC">
            <w:pPr>
              <w:jc w:val="right"/>
              <w:rPr>
                <w:b/>
                <w:bCs/>
              </w:rPr>
            </w:pPr>
            <w:r w:rsidRPr="0048268B">
              <w:t>SERB</w:t>
            </w:r>
            <w:r w:rsidR="007E6BBC">
              <w:rPr>
                <w:lang w:val="sr-Cyrl-RS"/>
              </w:rPr>
              <w:t>097</w:t>
            </w:r>
            <w:r w:rsidR="00EC5CE5" w:rsidRPr="0048268B">
              <w:t xml:space="preserve"> </w:t>
            </w:r>
            <w:r w:rsidRPr="0048268B">
              <w:t xml:space="preserve">ZS93 </w:t>
            </w:r>
            <w:r w:rsidR="00EC5CE5" w:rsidRPr="0048268B">
              <w:t>150422</w:t>
            </w:r>
          </w:p>
        </w:tc>
      </w:tr>
    </w:tbl>
    <w:p w:rsidR="000A1B52" w:rsidRPr="007E6BBC" w:rsidRDefault="000A1B52" w:rsidP="007E6BBC">
      <w:pPr>
        <w:pStyle w:val="NormalWeb"/>
        <w:spacing w:before="1200" w:beforeAutospacing="0" w:after="360" w:afterAutospacing="0"/>
        <w:jc w:val="center"/>
        <w:rPr>
          <w:lang w:val="en-GB"/>
        </w:rPr>
      </w:pPr>
      <w:r w:rsidRPr="007E6BBC">
        <w:rPr>
          <w:rFonts w:ascii="Arial" w:hAnsi="Arial" w:cs="Arial"/>
          <w:b/>
          <w:bCs/>
          <w:color w:val="000000"/>
          <w:lang w:val="en-GB"/>
        </w:rPr>
        <w:t>Environmental taxes, 20</w:t>
      </w:r>
      <w:r w:rsidR="00A64231" w:rsidRPr="007E6BBC">
        <w:rPr>
          <w:rFonts w:ascii="Arial" w:hAnsi="Arial" w:cs="Arial"/>
          <w:b/>
          <w:bCs/>
          <w:color w:val="000000"/>
          <w:lang w:val="en-GB"/>
        </w:rPr>
        <w:t>20</w:t>
      </w:r>
    </w:p>
    <w:p w:rsidR="000A1B52" w:rsidRPr="007E6BBC" w:rsidRDefault="000A1B52" w:rsidP="007E6BBC">
      <w:pPr>
        <w:pStyle w:val="NormalWeb"/>
        <w:spacing w:before="240" w:beforeAutospacing="0" w:after="240" w:afterAutospacing="0"/>
        <w:ind w:firstLine="397"/>
        <w:jc w:val="both"/>
        <w:rPr>
          <w:lang w:val="en-GB"/>
        </w:rPr>
      </w:pPr>
      <w:r w:rsidRPr="007E6BBC">
        <w:rPr>
          <w:rFonts w:ascii="Arial" w:hAnsi="Arial" w:cs="Arial"/>
          <w:color w:val="000000"/>
          <w:sz w:val="20"/>
          <w:szCs w:val="20"/>
          <w:lang w:val="en-GB"/>
        </w:rPr>
        <w:t>Environmental taxes are regarded as an economic instrument for controlling pollution and managing resources, and they are conceived to influence the behaviour of business subjects, producers and consumers. </w:t>
      </w:r>
    </w:p>
    <w:p w:rsidR="000A1B52" w:rsidRPr="007E6BBC" w:rsidRDefault="000A1B52" w:rsidP="007E6BBC">
      <w:pPr>
        <w:pStyle w:val="NormalWeb"/>
        <w:spacing w:before="240" w:beforeAutospacing="0" w:after="240" w:afterAutospacing="0"/>
        <w:ind w:firstLine="397"/>
        <w:jc w:val="both"/>
        <w:rPr>
          <w:lang w:val="en-GB"/>
        </w:rPr>
      </w:pPr>
      <w:r w:rsidRPr="007E6BBC">
        <w:rPr>
          <w:rFonts w:ascii="Arial" w:hAnsi="Arial" w:cs="Arial"/>
          <w:color w:val="000000"/>
          <w:sz w:val="20"/>
          <w:szCs w:val="20"/>
          <w:lang w:val="en-GB"/>
        </w:rPr>
        <w:t>In 20</w:t>
      </w:r>
      <w:r w:rsidR="00A64231" w:rsidRPr="007E6BBC">
        <w:rPr>
          <w:rFonts w:ascii="Arial" w:hAnsi="Arial" w:cs="Arial"/>
          <w:color w:val="000000"/>
          <w:sz w:val="20"/>
          <w:szCs w:val="20"/>
          <w:lang w:val="en-GB"/>
        </w:rPr>
        <w:t>20</w:t>
      </w:r>
      <w:r w:rsidRPr="007E6BBC">
        <w:rPr>
          <w:rFonts w:ascii="Arial" w:hAnsi="Arial" w:cs="Arial"/>
          <w:color w:val="000000"/>
          <w:sz w:val="20"/>
          <w:szCs w:val="20"/>
          <w:lang w:val="en-GB"/>
        </w:rPr>
        <w:t>, revenue from environmental taxes amounted to RSD 2</w:t>
      </w:r>
      <w:r w:rsidR="00A64231" w:rsidRPr="007E6BBC">
        <w:rPr>
          <w:rFonts w:ascii="Arial" w:hAnsi="Arial" w:cs="Arial"/>
          <w:color w:val="000000"/>
          <w:sz w:val="20"/>
          <w:szCs w:val="20"/>
          <w:lang w:val="en-GB"/>
        </w:rPr>
        <w:t>17890</w:t>
      </w:r>
      <w:r w:rsidRPr="007E6BBC">
        <w:rPr>
          <w:rFonts w:ascii="Arial" w:hAnsi="Arial" w:cs="Arial"/>
          <w:color w:val="000000"/>
          <w:sz w:val="20"/>
          <w:szCs w:val="20"/>
          <w:lang w:val="en-GB"/>
        </w:rPr>
        <w:t>.</w:t>
      </w:r>
      <w:r w:rsidR="00A64231" w:rsidRPr="007E6BBC">
        <w:rPr>
          <w:rFonts w:ascii="Arial" w:hAnsi="Arial" w:cs="Arial"/>
          <w:color w:val="000000"/>
          <w:sz w:val="20"/>
          <w:szCs w:val="20"/>
          <w:lang w:val="en-GB"/>
        </w:rPr>
        <w:t>6</w:t>
      </w:r>
      <w:r w:rsidRPr="007E6BBC">
        <w:rPr>
          <w:rFonts w:ascii="Arial" w:hAnsi="Arial" w:cs="Arial"/>
          <w:color w:val="000000"/>
          <w:sz w:val="20"/>
          <w:szCs w:val="20"/>
          <w:lang w:val="en-GB"/>
        </w:rPr>
        <w:t xml:space="preserve"> mill, presenting the </w:t>
      </w:r>
      <w:r w:rsidR="00A64231" w:rsidRPr="007E6BBC">
        <w:rPr>
          <w:rFonts w:ascii="Arial" w:hAnsi="Arial" w:cs="Arial"/>
          <w:color w:val="000000"/>
          <w:sz w:val="20"/>
          <w:szCs w:val="20"/>
          <w:lang w:val="en-GB"/>
        </w:rPr>
        <w:t>de</w:t>
      </w:r>
      <w:r w:rsidRPr="007E6BBC">
        <w:rPr>
          <w:rFonts w:ascii="Arial" w:hAnsi="Arial" w:cs="Arial"/>
          <w:color w:val="000000"/>
          <w:sz w:val="20"/>
          <w:szCs w:val="20"/>
          <w:lang w:val="en-GB"/>
        </w:rPr>
        <w:t xml:space="preserve">crease of </w:t>
      </w:r>
      <w:r w:rsidR="00A64231" w:rsidRPr="007E6BBC">
        <w:rPr>
          <w:rFonts w:ascii="Arial" w:hAnsi="Arial" w:cs="Arial"/>
          <w:color w:val="000000"/>
          <w:sz w:val="20"/>
          <w:szCs w:val="20"/>
          <w:lang w:val="en-GB"/>
        </w:rPr>
        <w:t>2</w:t>
      </w:r>
      <w:r w:rsidRPr="007E6BBC">
        <w:rPr>
          <w:rFonts w:ascii="Arial" w:hAnsi="Arial" w:cs="Arial"/>
          <w:color w:val="000000"/>
          <w:sz w:val="20"/>
          <w:szCs w:val="20"/>
          <w:lang w:val="en-GB"/>
        </w:rPr>
        <w:t>.</w:t>
      </w:r>
      <w:r w:rsidR="00A64231" w:rsidRPr="007E6BBC">
        <w:rPr>
          <w:rFonts w:ascii="Arial" w:hAnsi="Arial" w:cs="Arial"/>
          <w:color w:val="000000"/>
          <w:sz w:val="20"/>
          <w:szCs w:val="20"/>
          <w:lang w:val="en-GB"/>
        </w:rPr>
        <w:t>6</w:t>
      </w:r>
      <w:r w:rsidRPr="007E6BBC">
        <w:rPr>
          <w:rFonts w:ascii="Arial" w:hAnsi="Arial" w:cs="Arial"/>
          <w:color w:val="000000"/>
          <w:sz w:val="20"/>
          <w:szCs w:val="20"/>
          <w:lang w:val="en-GB"/>
        </w:rPr>
        <w:t>% relative to 201</w:t>
      </w:r>
      <w:r w:rsidR="00A64231" w:rsidRPr="007E6BBC">
        <w:rPr>
          <w:rFonts w:ascii="Arial" w:hAnsi="Arial" w:cs="Arial"/>
          <w:color w:val="000000"/>
          <w:sz w:val="20"/>
          <w:szCs w:val="20"/>
          <w:lang w:val="en-GB"/>
        </w:rPr>
        <w:t>9</w:t>
      </w:r>
      <w:r w:rsidRPr="007E6BBC">
        <w:rPr>
          <w:rFonts w:ascii="Arial" w:hAnsi="Arial" w:cs="Arial"/>
          <w:color w:val="000000"/>
          <w:sz w:val="20"/>
          <w:szCs w:val="20"/>
          <w:lang w:val="en-GB"/>
        </w:rPr>
        <w:t>. The greatest share in revenue structure related to energy taxes and taxes on transport, 8</w:t>
      </w:r>
      <w:r w:rsidR="00A64231" w:rsidRPr="007E6BBC">
        <w:rPr>
          <w:rFonts w:ascii="Arial" w:hAnsi="Arial" w:cs="Arial"/>
          <w:color w:val="000000"/>
          <w:sz w:val="20"/>
          <w:szCs w:val="20"/>
          <w:lang w:val="en-GB"/>
        </w:rPr>
        <w:t>7</w:t>
      </w:r>
      <w:r w:rsidRPr="007E6BBC">
        <w:rPr>
          <w:rFonts w:ascii="Arial" w:hAnsi="Arial" w:cs="Arial"/>
          <w:color w:val="000000"/>
          <w:sz w:val="20"/>
          <w:szCs w:val="20"/>
          <w:lang w:val="en-GB"/>
        </w:rPr>
        <w:t>.</w:t>
      </w:r>
      <w:r w:rsidR="00A64231" w:rsidRPr="007E6BBC">
        <w:rPr>
          <w:rFonts w:ascii="Arial" w:hAnsi="Arial" w:cs="Arial"/>
          <w:color w:val="000000"/>
          <w:sz w:val="20"/>
          <w:szCs w:val="20"/>
          <w:lang w:val="en-GB"/>
        </w:rPr>
        <w:t>0</w:t>
      </w:r>
      <w:r w:rsidRPr="007E6BBC">
        <w:rPr>
          <w:rFonts w:ascii="Arial" w:hAnsi="Arial" w:cs="Arial"/>
          <w:color w:val="000000"/>
          <w:sz w:val="20"/>
          <w:szCs w:val="20"/>
          <w:lang w:val="en-GB"/>
        </w:rPr>
        <w:t>%, i.e. 7.</w:t>
      </w:r>
      <w:r w:rsidR="00A64231" w:rsidRPr="007E6BBC">
        <w:rPr>
          <w:rFonts w:ascii="Arial" w:hAnsi="Arial" w:cs="Arial"/>
          <w:color w:val="000000"/>
          <w:sz w:val="20"/>
          <w:szCs w:val="20"/>
          <w:lang w:val="en-GB"/>
        </w:rPr>
        <w:t>5</w:t>
      </w:r>
      <w:r w:rsidRPr="007E6BBC">
        <w:rPr>
          <w:rFonts w:ascii="Arial" w:hAnsi="Arial" w:cs="Arial"/>
          <w:color w:val="000000"/>
          <w:sz w:val="20"/>
          <w:szCs w:val="20"/>
          <w:lang w:val="en-GB"/>
        </w:rPr>
        <w:t xml:space="preserve">%, while taxes on pollution and resources participated with </w:t>
      </w:r>
      <w:r w:rsidR="00A64231" w:rsidRPr="007E6BBC">
        <w:rPr>
          <w:rFonts w:ascii="Arial" w:hAnsi="Arial" w:cs="Arial"/>
          <w:color w:val="000000"/>
          <w:sz w:val="20"/>
          <w:szCs w:val="20"/>
          <w:lang w:val="en-GB"/>
        </w:rPr>
        <w:t>4</w:t>
      </w:r>
      <w:r w:rsidRPr="007E6BBC">
        <w:rPr>
          <w:rFonts w:ascii="Arial" w:hAnsi="Arial" w:cs="Arial"/>
          <w:color w:val="000000"/>
          <w:sz w:val="20"/>
          <w:szCs w:val="20"/>
          <w:lang w:val="en-GB"/>
        </w:rPr>
        <w:t>.</w:t>
      </w:r>
      <w:r w:rsidR="00A64231" w:rsidRPr="007E6BBC">
        <w:rPr>
          <w:rFonts w:ascii="Arial" w:hAnsi="Arial" w:cs="Arial"/>
          <w:color w:val="000000"/>
          <w:sz w:val="20"/>
          <w:szCs w:val="20"/>
          <w:lang w:val="en-GB"/>
        </w:rPr>
        <w:t>2</w:t>
      </w:r>
      <w:r w:rsidRPr="007E6BBC">
        <w:rPr>
          <w:rFonts w:ascii="Arial" w:hAnsi="Arial" w:cs="Arial"/>
          <w:color w:val="000000"/>
          <w:sz w:val="20"/>
          <w:szCs w:val="20"/>
          <w:lang w:val="en-GB"/>
        </w:rPr>
        <w:t>% and 1.</w:t>
      </w:r>
      <w:r w:rsidR="00A64231" w:rsidRPr="007E6BBC">
        <w:rPr>
          <w:rFonts w:ascii="Arial" w:hAnsi="Arial" w:cs="Arial"/>
          <w:color w:val="000000"/>
          <w:sz w:val="20"/>
          <w:szCs w:val="20"/>
          <w:lang w:val="en-GB"/>
        </w:rPr>
        <w:t>4</w:t>
      </w:r>
      <w:r w:rsidRPr="007E6BBC">
        <w:rPr>
          <w:rFonts w:ascii="Arial" w:hAnsi="Arial" w:cs="Arial"/>
          <w:color w:val="000000"/>
          <w:sz w:val="20"/>
          <w:szCs w:val="20"/>
          <w:lang w:val="en-GB"/>
        </w:rPr>
        <w:t>%, respectively.   </w:t>
      </w:r>
    </w:p>
    <w:p w:rsidR="000A1B52" w:rsidRPr="007E6BBC" w:rsidRDefault="000A1B52" w:rsidP="007E6BBC">
      <w:pPr>
        <w:pStyle w:val="NormalWeb"/>
        <w:spacing w:before="240" w:beforeAutospacing="0" w:after="240" w:afterAutospacing="0"/>
        <w:ind w:firstLine="397"/>
        <w:jc w:val="both"/>
        <w:rPr>
          <w:lang w:val="en-GB"/>
        </w:rPr>
      </w:pPr>
      <w:r w:rsidRPr="007E6BBC">
        <w:rPr>
          <w:rFonts w:ascii="Arial" w:hAnsi="Arial" w:cs="Arial"/>
          <w:color w:val="000000"/>
          <w:sz w:val="20"/>
          <w:szCs w:val="20"/>
          <w:lang w:val="en-GB"/>
        </w:rPr>
        <w:t>From the perspective of the entities paying the taxes, the largest share of taxes in 20</w:t>
      </w:r>
      <w:r w:rsidR="00A64231" w:rsidRPr="007E6BBC">
        <w:rPr>
          <w:rFonts w:ascii="Arial" w:hAnsi="Arial" w:cs="Arial"/>
          <w:color w:val="000000"/>
          <w:sz w:val="20"/>
          <w:szCs w:val="20"/>
          <w:lang w:val="en-GB"/>
        </w:rPr>
        <w:t>20</w:t>
      </w:r>
      <w:r w:rsidRPr="007E6BBC">
        <w:rPr>
          <w:rFonts w:ascii="Arial" w:hAnsi="Arial" w:cs="Arial"/>
          <w:color w:val="000000"/>
          <w:sz w:val="20"/>
          <w:szCs w:val="20"/>
          <w:lang w:val="en-GB"/>
        </w:rPr>
        <w:t xml:space="preserve"> wa</w:t>
      </w:r>
      <w:r w:rsidR="00A64231" w:rsidRPr="007E6BBC">
        <w:rPr>
          <w:rFonts w:ascii="Arial" w:hAnsi="Arial" w:cs="Arial"/>
          <w:color w:val="000000"/>
          <w:sz w:val="20"/>
          <w:szCs w:val="20"/>
          <w:lang w:val="en-GB"/>
        </w:rPr>
        <w:t>s paid by production units, 61.1</w:t>
      </w:r>
      <w:r w:rsidR="00F22D68" w:rsidRPr="007E6BBC">
        <w:rPr>
          <w:rFonts w:ascii="Arial" w:hAnsi="Arial" w:cs="Arial"/>
          <w:color w:val="000000"/>
          <w:sz w:val="20"/>
          <w:szCs w:val="20"/>
          <w:lang w:val="en-GB"/>
        </w:rPr>
        <w:t>%</w:t>
      </w:r>
      <w:r w:rsidRPr="007E6BBC">
        <w:rPr>
          <w:rFonts w:ascii="Arial" w:hAnsi="Arial" w:cs="Arial"/>
          <w:color w:val="000000"/>
          <w:sz w:val="20"/>
          <w:szCs w:val="20"/>
          <w:lang w:val="en-GB"/>
        </w:rPr>
        <w:t>, while the share of households as consumers in total revenue amounted to 38.</w:t>
      </w:r>
      <w:r w:rsidR="00A64231" w:rsidRPr="007E6BBC">
        <w:rPr>
          <w:rFonts w:ascii="Arial" w:hAnsi="Arial" w:cs="Arial"/>
          <w:color w:val="000000"/>
          <w:sz w:val="20"/>
          <w:szCs w:val="20"/>
          <w:lang w:val="en-GB"/>
        </w:rPr>
        <w:t>9</w:t>
      </w:r>
      <w:r w:rsidRPr="007E6BBC">
        <w:rPr>
          <w:rFonts w:ascii="Arial" w:hAnsi="Arial" w:cs="Arial"/>
          <w:color w:val="000000"/>
          <w:sz w:val="20"/>
          <w:szCs w:val="20"/>
          <w:lang w:val="en-GB"/>
        </w:rPr>
        <w:t>%. The rest of revenue was recorded as “not allocated”.</w:t>
      </w:r>
    </w:p>
    <w:p w:rsidR="000A1B52" w:rsidRPr="0048268B" w:rsidRDefault="000A1B52" w:rsidP="007E6BBC">
      <w:pPr>
        <w:pStyle w:val="NormalWeb"/>
        <w:spacing w:before="240" w:beforeAutospacing="0" w:after="240" w:afterAutospacing="0"/>
        <w:ind w:firstLine="397"/>
        <w:jc w:val="both"/>
        <w:rPr>
          <w:lang w:val="en-GB"/>
        </w:rPr>
      </w:pPr>
      <w:r w:rsidRPr="007E6BBC">
        <w:rPr>
          <w:rFonts w:ascii="Arial" w:hAnsi="Arial" w:cs="Arial"/>
          <w:color w:val="000000"/>
          <w:sz w:val="20"/>
          <w:szCs w:val="20"/>
          <w:lang w:val="en-GB"/>
        </w:rPr>
        <w:t>In 20</w:t>
      </w:r>
      <w:r w:rsidR="00A64231" w:rsidRPr="007E6BBC">
        <w:rPr>
          <w:rFonts w:ascii="Arial" w:hAnsi="Arial" w:cs="Arial"/>
          <w:color w:val="000000"/>
          <w:sz w:val="20"/>
          <w:szCs w:val="20"/>
          <w:lang w:val="en-GB"/>
        </w:rPr>
        <w:t>20</w:t>
      </w:r>
      <w:r w:rsidRPr="007E6BBC">
        <w:rPr>
          <w:rFonts w:ascii="Arial" w:hAnsi="Arial" w:cs="Arial"/>
          <w:color w:val="000000"/>
          <w:sz w:val="20"/>
          <w:szCs w:val="20"/>
          <w:lang w:val="en-GB"/>
        </w:rPr>
        <w:t>, share of environmental tax revenues in GDP was 4.</w:t>
      </w:r>
      <w:r w:rsidR="00A64231" w:rsidRPr="007E6BBC">
        <w:rPr>
          <w:rFonts w:ascii="Arial" w:hAnsi="Arial" w:cs="Arial"/>
          <w:color w:val="000000"/>
          <w:sz w:val="20"/>
          <w:szCs w:val="20"/>
          <w:lang w:val="en-GB"/>
        </w:rPr>
        <w:t>0</w:t>
      </w:r>
      <w:r w:rsidRPr="007E6BBC">
        <w:rPr>
          <w:rFonts w:ascii="Arial" w:hAnsi="Arial" w:cs="Arial"/>
          <w:color w:val="000000"/>
          <w:sz w:val="20"/>
          <w:szCs w:val="20"/>
          <w:lang w:val="en-GB"/>
        </w:rPr>
        <w:t>%, while the share of environmental tax revenues in total taxes and social contributions amounted to 1</w:t>
      </w:r>
      <w:r w:rsidR="00A64231" w:rsidRPr="007E6BBC">
        <w:rPr>
          <w:rFonts w:ascii="Arial" w:hAnsi="Arial" w:cs="Arial"/>
          <w:color w:val="000000"/>
          <w:sz w:val="20"/>
          <w:szCs w:val="20"/>
          <w:lang w:val="en-GB"/>
        </w:rPr>
        <w:t>0</w:t>
      </w:r>
      <w:r w:rsidRPr="007E6BBC">
        <w:rPr>
          <w:rFonts w:ascii="Arial" w:hAnsi="Arial" w:cs="Arial"/>
          <w:color w:val="000000"/>
          <w:sz w:val="20"/>
          <w:szCs w:val="20"/>
          <w:lang w:val="en-GB"/>
        </w:rPr>
        <w:t>.</w:t>
      </w:r>
      <w:r w:rsidR="00A64231" w:rsidRPr="007E6BBC">
        <w:rPr>
          <w:rFonts w:ascii="Arial" w:hAnsi="Arial" w:cs="Arial"/>
          <w:color w:val="000000"/>
          <w:sz w:val="20"/>
          <w:szCs w:val="20"/>
          <w:lang w:val="en-GB"/>
        </w:rPr>
        <w:t>3</w:t>
      </w:r>
      <w:r w:rsidRPr="007E6BBC">
        <w:rPr>
          <w:rFonts w:ascii="Arial" w:hAnsi="Arial" w:cs="Arial"/>
          <w:color w:val="000000"/>
          <w:sz w:val="20"/>
          <w:szCs w:val="20"/>
          <w:lang w:val="en-GB"/>
        </w:rPr>
        <w:t>%.</w:t>
      </w:r>
    </w:p>
    <w:p w:rsidR="00DD4530" w:rsidRPr="0048268B" w:rsidRDefault="00DD4530" w:rsidP="003A2657">
      <w:pPr>
        <w:spacing w:before="120" w:after="120" w:line="264" w:lineRule="auto"/>
        <w:ind w:firstLine="397"/>
        <w:jc w:val="both"/>
        <w:rPr>
          <w:szCs w:val="22"/>
        </w:rPr>
      </w:pPr>
    </w:p>
    <w:p w:rsidR="005E4DED" w:rsidRPr="0048268B" w:rsidRDefault="005E4DED" w:rsidP="004F50EB">
      <w:pPr>
        <w:jc w:val="center"/>
        <w:rPr>
          <w:szCs w:val="22"/>
        </w:rPr>
      </w:pPr>
    </w:p>
    <w:p w:rsidR="000144B8" w:rsidRPr="0048268B" w:rsidRDefault="000144B8" w:rsidP="00737CFC">
      <w:pPr>
        <w:jc w:val="both"/>
        <w:rPr>
          <w:szCs w:val="22"/>
        </w:rPr>
      </w:pPr>
    </w:p>
    <w:p w:rsidR="00B41A73" w:rsidRPr="0048268B" w:rsidRDefault="00B41A73" w:rsidP="003F2ECA">
      <w:pPr>
        <w:spacing w:line="276" w:lineRule="auto"/>
        <w:ind w:left="360"/>
        <w:jc w:val="center"/>
        <w:rPr>
          <w:b/>
        </w:rPr>
      </w:pPr>
    </w:p>
    <w:p w:rsidR="00383912" w:rsidRPr="0048268B" w:rsidRDefault="007E6BBC" w:rsidP="004C2185">
      <w:pPr>
        <w:spacing w:line="276" w:lineRule="auto"/>
        <w:ind w:left="360"/>
        <w:jc w:val="center"/>
        <w:rPr>
          <w:b/>
        </w:rPr>
      </w:pPr>
      <w:r>
        <w:rPr>
          <w:noProof/>
          <w:lang w:val="en-US"/>
        </w:rPr>
        <w:drawing>
          <wp:inline distT="0" distB="0" distL="0" distR="0">
            <wp:extent cx="5760000" cy="28800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25961" w:rsidRPr="0048268B">
        <w:rPr>
          <w:b/>
        </w:rPr>
        <w:br w:type="page"/>
      </w:r>
      <w:r w:rsidR="00383912" w:rsidRPr="0048268B">
        <w:rPr>
          <w:b/>
        </w:rPr>
        <w:lastRenderedPageBreak/>
        <w:t>1.  Environmental tax revenues, by types of taxes</w:t>
      </w:r>
    </w:p>
    <w:p w:rsidR="00383912" w:rsidRPr="0048268B" w:rsidRDefault="00383912" w:rsidP="007E6BBC">
      <w:pPr>
        <w:spacing w:before="60" w:after="20" w:line="276" w:lineRule="auto"/>
        <w:rPr>
          <w:b/>
          <w:sz w:val="18"/>
          <w:szCs w:val="18"/>
        </w:rPr>
      </w:pPr>
      <w:r w:rsidRPr="0048268B">
        <w:rPr>
          <w:b/>
          <w:sz w:val="18"/>
          <w:szCs w:val="18"/>
        </w:rPr>
        <w:t>Republic of Serbia</w:t>
      </w:r>
    </w:p>
    <w:tbl>
      <w:tblPr>
        <w:tblW w:w="10149" w:type="dxa"/>
        <w:jc w:val="center"/>
        <w:tblLayout w:type="fixed"/>
        <w:tblCellMar>
          <w:left w:w="28" w:type="dxa"/>
          <w:right w:w="28" w:type="dxa"/>
        </w:tblCellMar>
        <w:tblLook w:val="04A0" w:firstRow="1" w:lastRow="0" w:firstColumn="1" w:lastColumn="0" w:noHBand="0" w:noVBand="1"/>
      </w:tblPr>
      <w:tblGrid>
        <w:gridCol w:w="3345"/>
        <w:gridCol w:w="1701"/>
        <w:gridCol w:w="1701"/>
        <w:gridCol w:w="1701"/>
        <w:gridCol w:w="1701"/>
      </w:tblGrid>
      <w:tr w:rsidR="00383912" w:rsidRPr="0048268B" w:rsidTr="004C2185">
        <w:trPr>
          <w:trHeight w:val="20"/>
          <w:jc w:val="center"/>
        </w:trPr>
        <w:tc>
          <w:tcPr>
            <w:tcW w:w="3345"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noWrap/>
            <w:vAlign w:val="bottom"/>
          </w:tcPr>
          <w:p w:rsidR="00383912" w:rsidRPr="0048268B" w:rsidRDefault="00383912" w:rsidP="00383912">
            <w:pPr>
              <w:spacing w:before="120" w:after="120" w:line="276" w:lineRule="auto"/>
              <w:rPr>
                <w:color w:val="000000"/>
                <w:sz w:val="16"/>
                <w:szCs w:val="16"/>
              </w:rPr>
            </w:pPr>
            <w:r w:rsidRPr="0048268B">
              <w:rPr>
                <w:color w:val="000000"/>
                <w:sz w:val="16"/>
                <w:szCs w:val="16"/>
              </w:rPr>
              <w:t> </w:t>
            </w:r>
          </w:p>
        </w:tc>
        <w:tc>
          <w:tcPr>
            <w:tcW w:w="34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383912" w:rsidRPr="0048268B" w:rsidRDefault="00383912" w:rsidP="00383912">
            <w:pPr>
              <w:spacing w:before="120" w:after="120" w:line="252" w:lineRule="auto"/>
              <w:jc w:val="center"/>
              <w:rPr>
                <w:color w:val="000000"/>
                <w:sz w:val="16"/>
                <w:szCs w:val="16"/>
              </w:rPr>
            </w:pPr>
            <w:r w:rsidRPr="0048268B">
              <w:rPr>
                <w:color w:val="000000"/>
                <w:sz w:val="16"/>
                <w:szCs w:val="16"/>
              </w:rPr>
              <w:t>RSD mill.</w:t>
            </w:r>
          </w:p>
        </w:tc>
        <w:tc>
          <w:tcPr>
            <w:tcW w:w="34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rsidR="00383912" w:rsidRPr="0048268B" w:rsidRDefault="00383912" w:rsidP="00383912">
            <w:pPr>
              <w:spacing w:before="120" w:after="120" w:line="252" w:lineRule="auto"/>
              <w:jc w:val="center"/>
              <w:rPr>
                <w:color w:val="000000"/>
                <w:sz w:val="16"/>
                <w:szCs w:val="16"/>
              </w:rPr>
            </w:pPr>
            <w:r w:rsidRPr="0048268B">
              <w:rPr>
                <w:color w:val="000000"/>
                <w:sz w:val="16"/>
                <w:szCs w:val="16"/>
              </w:rPr>
              <w:t>Structure,  %</w:t>
            </w:r>
          </w:p>
        </w:tc>
      </w:tr>
      <w:tr w:rsidR="00EC5CE5" w:rsidRPr="0048268B" w:rsidTr="00BB5316">
        <w:trPr>
          <w:trHeight w:val="20"/>
          <w:jc w:val="center"/>
        </w:trPr>
        <w:tc>
          <w:tcPr>
            <w:tcW w:w="3345"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noWrap/>
            <w:vAlign w:val="bottom"/>
            <w:hideMark/>
          </w:tcPr>
          <w:p w:rsidR="00EC5CE5" w:rsidRPr="0048268B" w:rsidRDefault="00EC5CE5" w:rsidP="00EC5CE5">
            <w:pPr>
              <w:spacing w:before="120" w:after="120" w:line="276" w:lineRule="auto"/>
              <w:rPr>
                <w:color w:val="000000"/>
                <w:sz w:val="16"/>
                <w:szCs w:val="16"/>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hideMark/>
          </w:tcPr>
          <w:p w:rsidR="00EC5CE5" w:rsidRPr="0048268B" w:rsidRDefault="00EC5CE5" w:rsidP="00EC5CE5">
            <w:pPr>
              <w:spacing w:before="120" w:after="120" w:line="276" w:lineRule="auto"/>
              <w:jc w:val="center"/>
              <w:rPr>
                <w:color w:val="000000"/>
                <w:sz w:val="16"/>
                <w:szCs w:val="16"/>
              </w:rPr>
            </w:pPr>
            <w:r w:rsidRPr="0048268B">
              <w:rPr>
                <w:color w:val="000000"/>
                <w:sz w:val="16"/>
                <w:szCs w:val="16"/>
              </w:rPr>
              <w:t>2019</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rsidR="00EC5CE5" w:rsidRPr="0048268B" w:rsidRDefault="00EC5CE5" w:rsidP="00EC5CE5">
            <w:pPr>
              <w:spacing w:before="120" w:after="120" w:line="276" w:lineRule="auto"/>
              <w:jc w:val="center"/>
              <w:rPr>
                <w:color w:val="000000"/>
                <w:sz w:val="16"/>
                <w:szCs w:val="16"/>
              </w:rPr>
            </w:pPr>
            <w:r w:rsidRPr="0048268B">
              <w:rPr>
                <w:color w:val="000000"/>
                <w:sz w:val="16"/>
                <w:szCs w:val="16"/>
              </w:rPr>
              <w:t>2020</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C5CE5" w:rsidRPr="0048268B" w:rsidRDefault="00EC5CE5" w:rsidP="00EC5CE5">
            <w:pPr>
              <w:spacing w:before="120" w:after="120" w:line="276" w:lineRule="auto"/>
              <w:jc w:val="center"/>
              <w:rPr>
                <w:color w:val="000000"/>
                <w:sz w:val="16"/>
                <w:szCs w:val="16"/>
              </w:rPr>
            </w:pPr>
            <w:r w:rsidRPr="0048268B">
              <w:rPr>
                <w:color w:val="000000"/>
                <w:sz w:val="16"/>
                <w:szCs w:val="16"/>
              </w:rPr>
              <w:t>2019</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rsidR="00EC5CE5" w:rsidRPr="0048268B" w:rsidRDefault="00EC5CE5" w:rsidP="00EC5CE5">
            <w:pPr>
              <w:spacing w:before="120" w:after="120" w:line="276" w:lineRule="auto"/>
              <w:jc w:val="center"/>
              <w:rPr>
                <w:color w:val="000000"/>
                <w:sz w:val="16"/>
                <w:szCs w:val="16"/>
              </w:rPr>
            </w:pPr>
            <w:r w:rsidRPr="0048268B">
              <w:rPr>
                <w:color w:val="000000"/>
                <w:sz w:val="16"/>
                <w:szCs w:val="16"/>
              </w:rPr>
              <w:t>2020</w:t>
            </w:r>
          </w:p>
        </w:tc>
      </w:tr>
      <w:tr w:rsidR="00EC5CE5" w:rsidRPr="0048268B" w:rsidTr="00BB5316">
        <w:trPr>
          <w:trHeight w:val="20"/>
          <w:jc w:val="center"/>
        </w:trPr>
        <w:tc>
          <w:tcPr>
            <w:tcW w:w="3345" w:type="dxa"/>
            <w:tcBorders>
              <w:top w:val="single" w:sz="4" w:space="0" w:color="808080" w:themeColor="background1" w:themeShade="80"/>
              <w:left w:val="nil"/>
              <w:bottom w:val="nil"/>
              <w:right w:val="single" w:sz="4" w:space="0" w:color="808080" w:themeColor="background1" w:themeShade="80"/>
            </w:tcBorders>
            <w:shd w:val="clear" w:color="auto" w:fill="auto"/>
            <w:noWrap/>
            <w:vAlign w:val="bottom"/>
          </w:tcPr>
          <w:p w:rsidR="00EC5CE5" w:rsidRPr="0048268B" w:rsidRDefault="00EC5CE5" w:rsidP="00EC5CE5">
            <w:pPr>
              <w:rPr>
                <w:b/>
                <w:color w:val="000000"/>
                <w:sz w:val="16"/>
                <w:szCs w:val="16"/>
              </w:rPr>
            </w:pPr>
          </w:p>
        </w:tc>
        <w:tc>
          <w:tcPr>
            <w:tcW w:w="1701" w:type="dxa"/>
            <w:tcBorders>
              <w:top w:val="single" w:sz="4" w:space="0" w:color="808080" w:themeColor="background1" w:themeShade="80"/>
              <w:left w:val="single" w:sz="4" w:space="0" w:color="808080" w:themeColor="background1" w:themeShade="80"/>
              <w:right w:val="nil"/>
            </w:tcBorders>
            <w:shd w:val="clear" w:color="auto" w:fill="auto"/>
            <w:noWrap/>
            <w:vAlign w:val="bottom"/>
          </w:tcPr>
          <w:p w:rsidR="00EC5CE5" w:rsidRPr="0048268B" w:rsidRDefault="00EC5CE5" w:rsidP="00EC5CE5">
            <w:pPr>
              <w:jc w:val="center"/>
              <w:rPr>
                <w:b/>
                <w:color w:val="000000"/>
                <w:sz w:val="16"/>
                <w:szCs w:val="16"/>
              </w:rPr>
            </w:pPr>
          </w:p>
        </w:tc>
        <w:tc>
          <w:tcPr>
            <w:tcW w:w="1701" w:type="dxa"/>
            <w:tcBorders>
              <w:top w:val="single" w:sz="4" w:space="0" w:color="808080" w:themeColor="background1" w:themeShade="80"/>
              <w:left w:val="nil"/>
            </w:tcBorders>
            <w:shd w:val="clear" w:color="auto" w:fill="auto"/>
            <w:noWrap/>
            <w:vAlign w:val="bottom"/>
          </w:tcPr>
          <w:p w:rsidR="00EC5CE5" w:rsidRPr="0048268B" w:rsidRDefault="00EC5CE5" w:rsidP="00EC5CE5">
            <w:pPr>
              <w:jc w:val="center"/>
              <w:rPr>
                <w:b/>
                <w:color w:val="000000"/>
                <w:sz w:val="16"/>
                <w:szCs w:val="16"/>
              </w:rPr>
            </w:pPr>
          </w:p>
        </w:tc>
        <w:tc>
          <w:tcPr>
            <w:tcW w:w="1701" w:type="dxa"/>
            <w:tcBorders>
              <w:top w:val="single" w:sz="4" w:space="0" w:color="808080" w:themeColor="background1" w:themeShade="80"/>
              <w:left w:val="nil"/>
              <w:bottom w:val="nil"/>
              <w:right w:val="nil"/>
            </w:tcBorders>
          </w:tcPr>
          <w:p w:rsidR="00EC5CE5" w:rsidRPr="0048268B" w:rsidRDefault="00EC5CE5" w:rsidP="00EC5CE5">
            <w:pPr>
              <w:rPr>
                <w:b/>
                <w:color w:val="000000"/>
                <w:sz w:val="16"/>
                <w:szCs w:val="16"/>
              </w:rPr>
            </w:pPr>
          </w:p>
        </w:tc>
        <w:tc>
          <w:tcPr>
            <w:tcW w:w="1701" w:type="dxa"/>
            <w:tcBorders>
              <w:top w:val="single" w:sz="4" w:space="0" w:color="808080" w:themeColor="background1" w:themeShade="80"/>
              <w:left w:val="nil"/>
              <w:bottom w:val="nil"/>
              <w:right w:val="nil"/>
            </w:tcBorders>
          </w:tcPr>
          <w:p w:rsidR="00EC5CE5" w:rsidRPr="0048268B" w:rsidRDefault="00EC5CE5" w:rsidP="00EC5CE5">
            <w:pPr>
              <w:rPr>
                <w:b/>
                <w:color w:val="000000"/>
                <w:sz w:val="16"/>
                <w:szCs w:val="16"/>
              </w:rPr>
            </w:pPr>
          </w:p>
        </w:tc>
      </w:tr>
      <w:tr w:rsidR="00EC5CE5" w:rsidRPr="007E6BBC" w:rsidTr="00BB5316">
        <w:trPr>
          <w:trHeight w:val="20"/>
          <w:jc w:val="center"/>
        </w:trPr>
        <w:tc>
          <w:tcPr>
            <w:tcW w:w="3345" w:type="dxa"/>
            <w:tcBorders>
              <w:top w:val="nil"/>
              <w:left w:val="nil"/>
              <w:bottom w:val="nil"/>
              <w:right w:val="single" w:sz="4" w:space="0" w:color="808080" w:themeColor="background1" w:themeShade="80"/>
            </w:tcBorders>
            <w:shd w:val="clear" w:color="auto" w:fill="auto"/>
            <w:noWrap/>
          </w:tcPr>
          <w:p w:rsidR="00EC5CE5" w:rsidRPr="007E6BBC" w:rsidRDefault="00EC5CE5" w:rsidP="00EC5CE5">
            <w:pPr>
              <w:spacing w:line="252" w:lineRule="auto"/>
              <w:rPr>
                <w:b/>
                <w:color w:val="000000"/>
                <w:sz w:val="16"/>
                <w:szCs w:val="16"/>
              </w:rPr>
            </w:pPr>
            <w:r w:rsidRPr="007E6BBC">
              <w:rPr>
                <w:b/>
                <w:color w:val="000000"/>
                <w:sz w:val="16"/>
                <w:szCs w:val="16"/>
              </w:rPr>
              <w:t>Total</w:t>
            </w:r>
          </w:p>
        </w:tc>
        <w:tc>
          <w:tcPr>
            <w:tcW w:w="1701" w:type="dxa"/>
            <w:tcBorders>
              <w:left w:val="nil"/>
            </w:tcBorders>
            <w:shd w:val="clear" w:color="auto" w:fill="auto"/>
            <w:noWrap/>
            <w:vAlign w:val="center"/>
          </w:tcPr>
          <w:p w:rsidR="00EC5CE5" w:rsidRPr="007E6BBC" w:rsidRDefault="00EC5CE5" w:rsidP="00EC5CE5">
            <w:pPr>
              <w:spacing w:before="40" w:after="40"/>
              <w:ind w:right="454"/>
              <w:jc w:val="right"/>
              <w:rPr>
                <w:b/>
                <w:sz w:val="16"/>
                <w:szCs w:val="16"/>
              </w:rPr>
            </w:pPr>
            <w:r w:rsidRPr="007E6BBC">
              <w:rPr>
                <w:b/>
                <w:sz w:val="16"/>
                <w:szCs w:val="16"/>
              </w:rPr>
              <w:t>223716</w:t>
            </w:r>
            <w:r w:rsidR="007E6BBC">
              <w:rPr>
                <w:b/>
                <w:sz w:val="16"/>
                <w:szCs w:val="16"/>
              </w:rPr>
              <w:t>.</w:t>
            </w:r>
            <w:r w:rsidRPr="007E6BBC">
              <w:rPr>
                <w:b/>
                <w:sz w:val="16"/>
                <w:szCs w:val="16"/>
              </w:rPr>
              <w:t>2</w:t>
            </w:r>
          </w:p>
        </w:tc>
        <w:tc>
          <w:tcPr>
            <w:tcW w:w="1701" w:type="dxa"/>
            <w:tcBorders>
              <w:top w:val="nil"/>
              <w:left w:val="nil"/>
              <w:bottom w:val="nil"/>
            </w:tcBorders>
            <w:shd w:val="clear" w:color="auto" w:fill="auto"/>
            <w:noWrap/>
            <w:vAlign w:val="center"/>
          </w:tcPr>
          <w:p w:rsidR="00EC5CE5" w:rsidRPr="007E6BBC" w:rsidRDefault="00EC5CE5" w:rsidP="00EC5CE5">
            <w:pPr>
              <w:spacing w:before="40" w:after="40"/>
              <w:ind w:right="454"/>
              <w:jc w:val="right"/>
              <w:rPr>
                <w:b/>
                <w:sz w:val="16"/>
                <w:szCs w:val="16"/>
              </w:rPr>
            </w:pPr>
            <w:r w:rsidRPr="007E6BBC">
              <w:rPr>
                <w:b/>
                <w:color w:val="000000"/>
                <w:sz w:val="16"/>
                <w:szCs w:val="16"/>
              </w:rPr>
              <w:t>217890</w:t>
            </w:r>
            <w:r w:rsidR="007E6BBC">
              <w:rPr>
                <w:b/>
                <w:color w:val="000000"/>
                <w:sz w:val="16"/>
                <w:szCs w:val="16"/>
              </w:rPr>
              <w:t>.</w:t>
            </w:r>
            <w:r w:rsidRPr="007E6BBC">
              <w:rPr>
                <w:b/>
                <w:color w:val="000000"/>
                <w:sz w:val="16"/>
                <w:szCs w:val="16"/>
              </w:rPr>
              <w:t>6</w:t>
            </w:r>
          </w:p>
        </w:tc>
        <w:tc>
          <w:tcPr>
            <w:tcW w:w="1701" w:type="dxa"/>
            <w:tcBorders>
              <w:top w:val="nil"/>
              <w:left w:val="nil"/>
              <w:bottom w:val="nil"/>
              <w:right w:val="nil"/>
            </w:tcBorders>
            <w:vAlign w:val="center"/>
          </w:tcPr>
          <w:p w:rsidR="00EC5CE5" w:rsidRPr="007E6BBC" w:rsidRDefault="00EC5CE5" w:rsidP="00EC5CE5">
            <w:pPr>
              <w:spacing w:before="40" w:after="40"/>
              <w:ind w:right="454"/>
              <w:jc w:val="right"/>
              <w:rPr>
                <w:b/>
                <w:sz w:val="16"/>
                <w:szCs w:val="16"/>
              </w:rPr>
            </w:pPr>
            <w:r w:rsidRPr="007E6BBC">
              <w:rPr>
                <w:b/>
                <w:sz w:val="16"/>
                <w:szCs w:val="16"/>
              </w:rPr>
              <w:t>100</w:t>
            </w:r>
            <w:r w:rsidR="007E6BBC" w:rsidRPr="007E6BBC">
              <w:rPr>
                <w:b/>
                <w:sz w:val="16"/>
                <w:szCs w:val="16"/>
              </w:rPr>
              <w:t>.</w:t>
            </w:r>
            <w:r w:rsidRPr="007E6BBC">
              <w:rPr>
                <w:b/>
                <w:sz w:val="16"/>
                <w:szCs w:val="16"/>
              </w:rPr>
              <w:t>0</w:t>
            </w:r>
          </w:p>
        </w:tc>
        <w:tc>
          <w:tcPr>
            <w:tcW w:w="1701" w:type="dxa"/>
            <w:tcBorders>
              <w:top w:val="nil"/>
              <w:left w:val="nil"/>
              <w:bottom w:val="nil"/>
              <w:right w:val="nil"/>
            </w:tcBorders>
            <w:shd w:val="clear" w:color="auto" w:fill="auto"/>
            <w:vAlign w:val="center"/>
          </w:tcPr>
          <w:p w:rsidR="00EC5CE5" w:rsidRPr="007E6BBC" w:rsidRDefault="00EC5CE5" w:rsidP="00EC5CE5">
            <w:pPr>
              <w:spacing w:before="40" w:after="40"/>
              <w:ind w:right="454"/>
              <w:jc w:val="right"/>
              <w:rPr>
                <w:b/>
                <w:sz w:val="16"/>
                <w:szCs w:val="16"/>
              </w:rPr>
            </w:pPr>
            <w:r w:rsidRPr="007E6BBC">
              <w:rPr>
                <w:b/>
                <w:sz w:val="16"/>
                <w:szCs w:val="16"/>
              </w:rPr>
              <w:t>100</w:t>
            </w:r>
            <w:r w:rsidR="007E6BBC" w:rsidRPr="007E6BBC">
              <w:rPr>
                <w:b/>
                <w:sz w:val="16"/>
                <w:szCs w:val="16"/>
              </w:rPr>
              <w:t>.</w:t>
            </w:r>
            <w:r w:rsidRPr="007E6BBC">
              <w:rPr>
                <w:b/>
                <w:sz w:val="16"/>
                <w:szCs w:val="16"/>
              </w:rPr>
              <w:t>0</w:t>
            </w:r>
          </w:p>
        </w:tc>
      </w:tr>
      <w:tr w:rsidR="00EC5CE5" w:rsidRPr="0048268B" w:rsidTr="00BE34EC">
        <w:trPr>
          <w:trHeight w:val="20"/>
          <w:jc w:val="center"/>
        </w:trPr>
        <w:tc>
          <w:tcPr>
            <w:tcW w:w="3345" w:type="dxa"/>
            <w:tcBorders>
              <w:top w:val="nil"/>
              <w:left w:val="nil"/>
              <w:bottom w:val="nil"/>
              <w:right w:val="single" w:sz="4" w:space="0" w:color="808080" w:themeColor="background1" w:themeShade="80"/>
            </w:tcBorders>
            <w:shd w:val="clear" w:color="auto" w:fill="auto"/>
            <w:noWrap/>
          </w:tcPr>
          <w:p w:rsidR="00EC5CE5" w:rsidRPr="0048268B" w:rsidRDefault="00EC5CE5" w:rsidP="00EC5CE5">
            <w:pPr>
              <w:spacing w:line="252" w:lineRule="auto"/>
              <w:contextualSpacing/>
              <w:rPr>
                <w:color w:val="000000"/>
                <w:sz w:val="16"/>
                <w:szCs w:val="16"/>
              </w:rPr>
            </w:pPr>
          </w:p>
        </w:tc>
        <w:tc>
          <w:tcPr>
            <w:tcW w:w="1701" w:type="dxa"/>
            <w:tcBorders>
              <w:top w:val="nil"/>
              <w:left w:val="nil"/>
              <w:bottom w:val="nil"/>
            </w:tcBorders>
            <w:shd w:val="clear" w:color="auto" w:fill="auto"/>
            <w:noWrap/>
            <w:vAlign w:val="bottom"/>
          </w:tcPr>
          <w:p w:rsidR="00EC5CE5" w:rsidRPr="0048268B" w:rsidRDefault="00EC5CE5" w:rsidP="00EC5CE5">
            <w:pPr>
              <w:spacing w:before="40" w:after="40"/>
              <w:ind w:right="454"/>
              <w:jc w:val="right"/>
              <w:rPr>
                <w:sz w:val="16"/>
                <w:szCs w:val="16"/>
              </w:rPr>
            </w:pPr>
          </w:p>
        </w:tc>
        <w:tc>
          <w:tcPr>
            <w:tcW w:w="1701" w:type="dxa"/>
            <w:tcBorders>
              <w:top w:val="nil"/>
              <w:left w:val="nil"/>
              <w:bottom w:val="nil"/>
            </w:tcBorders>
            <w:shd w:val="clear" w:color="auto" w:fill="auto"/>
            <w:noWrap/>
            <w:vAlign w:val="bottom"/>
          </w:tcPr>
          <w:p w:rsidR="00EC5CE5" w:rsidRPr="0048268B" w:rsidRDefault="00EC5CE5" w:rsidP="00EC5CE5">
            <w:pPr>
              <w:spacing w:before="40" w:after="40"/>
              <w:ind w:right="454"/>
              <w:jc w:val="right"/>
              <w:rPr>
                <w:b/>
                <w:sz w:val="16"/>
                <w:szCs w:val="16"/>
              </w:rPr>
            </w:pPr>
          </w:p>
        </w:tc>
        <w:tc>
          <w:tcPr>
            <w:tcW w:w="1701" w:type="dxa"/>
            <w:tcBorders>
              <w:top w:val="nil"/>
              <w:left w:val="nil"/>
              <w:bottom w:val="nil"/>
              <w:right w:val="nil"/>
            </w:tcBorders>
            <w:vAlign w:val="center"/>
          </w:tcPr>
          <w:p w:rsidR="00EC5CE5" w:rsidRPr="0048268B" w:rsidRDefault="00EC5CE5" w:rsidP="00EC5CE5">
            <w:pPr>
              <w:spacing w:before="40" w:after="40"/>
              <w:ind w:right="454"/>
              <w:jc w:val="right"/>
              <w:rPr>
                <w:sz w:val="16"/>
                <w:szCs w:val="16"/>
              </w:rPr>
            </w:pPr>
          </w:p>
        </w:tc>
        <w:tc>
          <w:tcPr>
            <w:tcW w:w="1701" w:type="dxa"/>
            <w:tcBorders>
              <w:top w:val="nil"/>
              <w:left w:val="nil"/>
              <w:bottom w:val="nil"/>
              <w:right w:val="nil"/>
            </w:tcBorders>
            <w:shd w:val="clear" w:color="auto" w:fill="auto"/>
            <w:vAlign w:val="center"/>
          </w:tcPr>
          <w:p w:rsidR="00EC5CE5" w:rsidRPr="0048268B" w:rsidRDefault="00EC5CE5" w:rsidP="00EC5CE5">
            <w:pPr>
              <w:spacing w:before="40" w:after="40"/>
              <w:ind w:right="454"/>
              <w:jc w:val="right"/>
              <w:rPr>
                <w:b/>
                <w:sz w:val="16"/>
                <w:szCs w:val="16"/>
              </w:rPr>
            </w:pPr>
          </w:p>
        </w:tc>
      </w:tr>
      <w:tr w:rsidR="00EC5CE5" w:rsidRPr="0048268B" w:rsidTr="00BB5316">
        <w:trPr>
          <w:trHeight w:val="20"/>
          <w:jc w:val="center"/>
        </w:trPr>
        <w:tc>
          <w:tcPr>
            <w:tcW w:w="3345" w:type="dxa"/>
            <w:tcBorders>
              <w:top w:val="nil"/>
              <w:left w:val="nil"/>
              <w:bottom w:val="nil"/>
              <w:right w:val="single" w:sz="4" w:space="0" w:color="808080" w:themeColor="background1" w:themeShade="80"/>
            </w:tcBorders>
            <w:shd w:val="clear" w:color="auto" w:fill="auto"/>
            <w:noWrap/>
            <w:hideMark/>
          </w:tcPr>
          <w:p w:rsidR="00EC5CE5" w:rsidRPr="0048268B" w:rsidRDefault="00EC5CE5" w:rsidP="00EC5CE5">
            <w:pPr>
              <w:spacing w:before="40" w:after="40" w:line="252" w:lineRule="auto"/>
              <w:contextualSpacing/>
              <w:rPr>
                <w:color w:val="000000"/>
                <w:sz w:val="16"/>
                <w:szCs w:val="16"/>
              </w:rPr>
            </w:pPr>
            <w:r w:rsidRPr="0048268B">
              <w:rPr>
                <w:color w:val="000000"/>
                <w:sz w:val="16"/>
                <w:szCs w:val="16"/>
              </w:rPr>
              <w:t xml:space="preserve">Energy taxes </w:t>
            </w:r>
          </w:p>
        </w:tc>
        <w:tc>
          <w:tcPr>
            <w:tcW w:w="1701" w:type="dxa"/>
            <w:tcBorders>
              <w:top w:val="nil"/>
              <w:left w:val="nil"/>
              <w:bottom w:val="nil"/>
            </w:tcBorders>
            <w:shd w:val="clear" w:color="auto" w:fill="auto"/>
            <w:noWrap/>
            <w:vAlign w:val="center"/>
          </w:tcPr>
          <w:p w:rsidR="00EC5CE5" w:rsidRPr="0048268B" w:rsidRDefault="00EC5CE5" w:rsidP="00EC5CE5">
            <w:pPr>
              <w:spacing w:before="40" w:after="40"/>
              <w:ind w:right="454"/>
              <w:jc w:val="right"/>
              <w:rPr>
                <w:sz w:val="16"/>
                <w:szCs w:val="16"/>
              </w:rPr>
            </w:pPr>
            <w:r w:rsidRPr="0048268B">
              <w:rPr>
                <w:color w:val="000000"/>
                <w:sz w:val="16"/>
                <w:szCs w:val="16"/>
              </w:rPr>
              <w:t>192180</w:t>
            </w:r>
            <w:r w:rsidR="007E6BBC">
              <w:rPr>
                <w:color w:val="000000"/>
                <w:sz w:val="16"/>
                <w:szCs w:val="16"/>
              </w:rPr>
              <w:t>.</w:t>
            </w:r>
            <w:r w:rsidRPr="0048268B">
              <w:rPr>
                <w:color w:val="000000"/>
                <w:sz w:val="16"/>
                <w:szCs w:val="16"/>
              </w:rPr>
              <w:t>2</w:t>
            </w:r>
          </w:p>
        </w:tc>
        <w:tc>
          <w:tcPr>
            <w:tcW w:w="1701" w:type="dxa"/>
            <w:tcBorders>
              <w:top w:val="nil"/>
              <w:left w:val="nil"/>
              <w:bottom w:val="nil"/>
            </w:tcBorders>
            <w:shd w:val="clear" w:color="auto" w:fill="auto"/>
            <w:noWrap/>
            <w:vAlign w:val="center"/>
          </w:tcPr>
          <w:p w:rsidR="00EC5CE5" w:rsidRPr="0048268B" w:rsidRDefault="00EC5CE5" w:rsidP="00EC5CE5">
            <w:pPr>
              <w:spacing w:before="40" w:after="40"/>
              <w:ind w:right="454"/>
              <w:jc w:val="right"/>
              <w:rPr>
                <w:bCs/>
                <w:sz w:val="16"/>
                <w:szCs w:val="16"/>
              </w:rPr>
            </w:pPr>
            <w:r w:rsidRPr="0048268B">
              <w:rPr>
                <w:sz w:val="16"/>
                <w:szCs w:val="16"/>
              </w:rPr>
              <w:t>189557</w:t>
            </w:r>
            <w:r w:rsidR="007E6BBC">
              <w:rPr>
                <w:sz w:val="16"/>
                <w:szCs w:val="16"/>
              </w:rPr>
              <w:t>.</w:t>
            </w:r>
            <w:r w:rsidRPr="0048268B">
              <w:rPr>
                <w:sz w:val="16"/>
                <w:szCs w:val="16"/>
              </w:rPr>
              <w:t>9</w:t>
            </w:r>
          </w:p>
        </w:tc>
        <w:tc>
          <w:tcPr>
            <w:tcW w:w="1701" w:type="dxa"/>
            <w:tcBorders>
              <w:top w:val="nil"/>
              <w:left w:val="nil"/>
              <w:bottom w:val="nil"/>
              <w:right w:val="nil"/>
            </w:tcBorders>
            <w:vAlign w:val="center"/>
          </w:tcPr>
          <w:p w:rsidR="00EC5CE5" w:rsidRPr="0048268B" w:rsidRDefault="00EC5CE5" w:rsidP="00EC5CE5">
            <w:pPr>
              <w:spacing w:before="40" w:after="40"/>
              <w:ind w:right="454"/>
              <w:jc w:val="right"/>
              <w:rPr>
                <w:sz w:val="16"/>
                <w:szCs w:val="16"/>
              </w:rPr>
            </w:pPr>
            <w:r w:rsidRPr="0048268B">
              <w:rPr>
                <w:sz w:val="16"/>
                <w:szCs w:val="16"/>
              </w:rPr>
              <w:t>85</w:t>
            </w:r>
            <w:r w:rsidR="007E6BBC">
              <w:rPr>
                <w:sz w:val="16"/>
                <w:szCs w:val="16"/>
              </w:rPr>
              <w:t>.</w:t>
            </w:r>
            <w:r w:rsidRPr="0048268B">
              <w:rPr>
                <w:sz w:val="16"/>
                <w:szCs w:val="16"/>
              </w:rPr>
              <w:t>9</w:t>
            </w:r>
          </w:p>
        </w:tc>
        <w:tc>
          <w:tcPr>
            <w:tcW w:w="1701" w:type="dxa"/>
            <w:tcBorders>
              <w:top w:val="nil"/>
              <w:left w:val="nil"/>
              <w:bottom w:val="nil"/>
              <w:right w:val="nil"/>
            </w:tcBorders>
            <w:shd w:val="clear" w:color="auto" w:fill="auto"/>
            <w:vAlign w:val="center"/>
          </w:tcPr>
          <w:p w:rsidR="00EC5CE5" w:rsidRPr="0048268B" w:rsidRDefault="00EC5CE5" w:rsidP="00EC5CE5">
            <w:pPr>
              <w:spacing w:before="40" w:after="40"/>
              <w:ind w:right="454"/>
              <w:jc w:val="right"/>
              <w:rPr>
                <w:bCs/>
                <w:sz w:val="16"/>
                <w:szCs w:val="16"/>
              </w:rPr>
            </w:pPr>
            <w:r w:rsidRPr="0048268B">
              <w:rPr>
                <w:sz w:val="16"/>
                <w:szCs w:val="16"/>
              </w:rPr>
              <w:t>87</w:t>
            </w:r>
            <w:r w:rsidR="007E6BBC">
              <w:rPr>
                <w:sz w:val="16"/>
                <w:szCs w:val="16"/>
              </w:rPr>
              <w:t>.</w:t>
            </w:r>
            <w:r w:rsidRPr="0048268B">
              <w:rPr>
                <w:sz w:val="16"/>
                <w:szCs w:val="16"/>
              </w:rPr>
              <w:t>0</w:t>
            </w:r>
          </w:p>
        </w:tc>
      </w:tr>
      <w:tr w:rsidR="00EC5CE5" w:rsidRPr="0048268B" w:rsidTr="00BB5316">
        <w:trPr>
          <w:trHeight w:val="20"/>
          <w:jc w:val="center"/>
        </w:trPr>
        <w:tc>
          <w:tcPr>
            <w:tcW w:w="3345" w:type="dxa"/>
            <w:tcBorders>
              <w:top w:val="nil"/>
              <w:left w:val="nil"/>
              <w:bottom w:val="nil"/>
              <w:right w:val="single" w:sz="4" w:space="0" w:color="808080" w:themeColor="background1" w:themeShade="80"/>
            </w:tcBorders>
            <w:shd w:val="clear" w:color="auto" w:fill="auto"/>
            <w:noWrap/>
            <w:hideMark/>
          </w:tcPr>
          <w:p w:rsidR="00EC5CE5" w:rsidRPr="0048268B" w:rsidRDefault="00EC5CE5" w:rsidP="00EC5CE5">
            <w:pPr>
              <w:spacing w:before="40" w:after="40" w:line="252" w:lineRule="auto"/>
              <w:contextualSpacing/>
              <w:rPr>
                <w:color w:val="000000"/>
                <w:sz w:val="16"/>
                <w:szCs w:val="16"/>
              </w:rPr>
            </w:pPr>
            <w:r w:rsidRPr="0048268B">
              <w:rPr>
                <w:color w:val="000000"/>
                <w:sz w:val="16"/>
                <w:szCs w:val="16"/>
              </w:rPr>
              <w:t xml:space="preserve">Transport taxes </w:t>
            </w:r>
          </w:p>
        </w:tc>
        <w:tc>
          <w:tcPr>
            <w:tcW w:w="1701" w:type="dxa"/>
            <w:tcBorders>
              <w:top w:val="nil"/>
              <w:left w:val="nil"/>
              <w:bottom w:val="nil"/>
            </w:tcBorders>
            <w:shd w:val="clear" w:color="auto" w:fill="auto"/>
            <w:noWrap/>
            <w:vAlign w:val="center"/>
          </w:tcPr>
          <w:p w:rsidR="00EC5CE5" w:rsidRPr="0048268B" w:rsidRDefault="00EC5CE5" w:rsidP="00EC5CE5">
            <w:pPr>
              <w:spacing w:before="40" w:after="40"/>
              <w:ind w:right="454"/>
              <w:jc w:val="right"/>
              <w:rPr>
                <w:sz w:val="16"/>
                <w:szCs w:val="16"/>
              </w:rPr>
            </w:pPr>
            <w:r w:rsidRPr="0048268B">
              <w:rPr>
                <w:sz w:val="16"/>
                <w:szCs w:val="16"/>
              </w:rPr>
              <w:t>15788</w:t>
            </w:r>
            <w:r w:rsidR="007E6BBC">
              <w:rPr>
                <w:sz w:val="16"/>
                <w:szCs w:val="16"/>
              </w:rPr>
              <w:t>.</w:t>
            </w:r>
            <w:r w:rsidRPr="0048268B">
              <w:rPr>
                <w:sz w:val="16"/>
                <w:szCs w:val="16"/>
              </w:rPr>
              <w:t>9</w:t>
            </w:r>
          </w:p>
        </w:tc>
        <w:tc>
          <w:tcPr>
            <w:tcW w:w="1701" w:type="dxa"/>
            <w:tcBorders>
              <w:top w:val="nil"/>
              <w:left w:val="nil"/>
              <w:bottom w:val="nil"/>
            </w:tcBorders>
            <w:shd w:val="clear" w:color="auto" w:fill="auto"/>
            <w:noWrap/>
            <w:vAlign w:val="center"/>
          </w:tcPr>
          <w:p w:rsidR="00EC5CE5" w:rsidRPr="0048268B" w:rsidRDefault="00EC5CE5" w:rsidP="00EC5CE5">
            <w:pPr>
              <w:spacing w:before="40" w:after="40"/>
              <w:ind w:right="454"/>
              <w:jc w:val="right"/>
              <w:rPr>
                <w:bCs/>
                <w:sz w:val="16"/>
                <w:szCs w:val="16"/>
              </w:rPr>
            </w:pPr>
            <w:r w:rsidRPr="0048268B">
              <w:rPr>
                <w:sz w:val="16"/>
                <w:szCs w:val="16"/>
              </w:rPr>
              <w:t>16275</w:t>
            </w:r>
            <w:r w:rsidR="007E6BBC">
              <w:rPr>
                <w:sz w:val="16"/>
                <w:szCs w:val="16"/>
              </w:rPr>
              <w:t>.</w:t>
            </w:r>
            <w:r w:rsidRPr="0048268B">
              <w:rPr>
                <w:sz w:val="16"/>
                <w:szCs w:val="16"/>
              </w:rPr>
              <w:t>1</w:t>
            </w:r>
          </w:p>
        </w:tc>
        <w:tc>
          <w:tcPr>
            <w:tcW w:w="1701" w:type="dxa"/>
            <w:tcBorders>
              <w:top w:val="nil"/>
              <w:left w:val="nil"/>
              <w:bottom w:val="nil"/>
              <w:right w:val="nil"/>
            </w:tcBorders>
            <w:vAlign w:val="center"/>
          </w:tcPr>
          <w:p w:rsidR="00EC5CE5" w:rsidRPr="0048268B" w:rsidRDefault="00EC5CE5" w:rsidP="00EC5CE5">
            <w:pPr>
              <w:spacing w:before="40" w:after="40"/>
              <w:ind w:right="454"/>
              <w:jc w:val="right"/>
              <w:rPr>
                <w:sz w:val="16"/>
                <w:szCs w:val="16"/>
              </w:rPr>
            </w:pPr>
            <w:r w:rsidRPr="0048268B">
              <w:rPr>
                <w:sz w:val="16"/>
                <w:szCs w:val="16"/>
              </w:rPr>
              <w:t>7</w:t>
            </w:r>
            <w:r w:rsidR="007E6BBC">
              <w:rPr>
                <w:sz w:val="16"/>
                <w:szCs w:val="16"/>
              </w:rPr>
              <w:t>.</w:t>
            </w:r>
            <w:r w:rsidRPr="0048268B">
              <w:rPr>
                <w:sz w:val="16"/>
                <w:szCs w:val="16"/>
              </w:rPr>
              <w:t>1</w:t>
            </w:r>
          </w:p>
        </w:tc>
        <w:tc>
          <w:tcPr>
            <w:tcW w:w="1701" w:type="dxa"/>
            <w:tcBorders>
              <w:top w:val="nil"/>
              <w:left w:val="nil"/>
              <w:bottom w:val="nil"/>
              <w:right w:val="nil"/>
            </w:tcBorders>
            <w:shd w:val="clear" w:color="auto" w:fill="auto"/>
            <w:vAlign w:val="center"/>
          </w:tcPr>
          <w:p w:rsidR="00EC5CE5" w:rsidRPr="0048268B" w:rsidRDefault="00EC5CE5" w:rsidP="00EC5CE5">
            <w:pPr>
              <w:spacing w:before="40" w:after="40"/>
              <w:ind w:right="454"/>
              <w:jc w:val="right"/>
              <w:rPr>
                <w:bCs/>
                <w:sz w:val="16"/>
                <w:szCs w:val="16"/>
              </w:rPr>
            </w:pPr>
            <w:r w:rsidRPr="0048268B">
              <w:rPr>
                <w:sz w:val="16"/>
                <w:szCs w:val="16"/>
              </w:rPr>
              <w:t>7</w:t>
            </w:r>
            <w:r w:rsidR="007E6BBC">
              <w:rPr>
                <w:sz w:val="16"/>
                <w:szCs w:val="16"/>
              </w:rPr>
              <w:t>.</w:t>
            </w:r>
            <w:r w:rsidRPr="0048268B">
              <w:rPr>
                <w:sz w:val="16"/>
                <w:szCs w:val="16"/>
              </w:rPr>
              <w:t>5</w:t>
            </w:r>
          </w:p>
        </w:tc>
      </w:tr>
      <w:tr w:rsidR="00EC5CE5" w:rsidRPr="0048268B" w:rsidTr="00BB5316">
        <w:trPr>
          <w:trHeight w:val="20"/>
          <w:jc w:val="center"/>
        </w:trPr>
        <w:tc>
          <w:tcPr>
            <w:tcW w:w="3345" w:type="dxa"/>
            <w:tcBorders>
              <w:top w:val="nil"/>
              <w:left w:val="nil"/>
              <w:bottom w:val="nil"/>
              <w:right w:val="single" w:sz="4" w:space="0" w:color="808080" w:themeColor="background1" w:themeShade="80"/>
            </w:tcBorders>
            <w:shd w:val="clear" w:color="auto" w:fill="auto"/>
            <w:noWrap/>
            <w:hideMark/>
          </w:tcPr>
          <w:p w:rsidR="00EC5CE5" w:rsidRPr="0048268B" w:rsidRDefault="00EC5CE5" w:rsidP="00EC5CE5">
            <w:pPr>
              <w:spacing w:before="40" w:after="40" w:line="252" w:lineRule="auto"/>
              <w:contextualSpacing/>
              <w:rPr>
                <w:color w:val="000000"/>
                <w:sz w:val="16"/>
                <w:szCs w:val="16"/>
              </w:rPr>
            </w:pPr>
            <w:r w:rsidRPr="0048268B">
              <w:rPr>
                <w:color w:val="000000"/>
                <w:sz w:val="16"/>
                <w:szCs w:val="16"/>
              </w:rPr>
              <w:t>Pollution taxes</w:t>
            </w:r>
          </w:p>
        </w:tc>
        <w:tc>
          <w:tcPr>
            <w:tcW w:w="1701" w:type="dxa"/>
            <w:tcBorders>
              <w:top w:val="nil"/>
              <w:left w:val="nil"/>
              <w:bottom w:val="nil"/>
            </w:tcBorders>
            <w:shd w:val="clear" w:color="auto" w:fill="auto"/>
            <w:noWrap/>
            <w:vAlign w:val="center"/>
          </w:tcPr>
          <w:p w:rsidR="00EC5CE5" w:rsidRPr="0048268B" w:rsidRDefault="00EC5CE5" w:rsidP="00EC5CE5">
            <w:pPr>
              <w:spacing w:before="40" w:after="40"/>
              <w:ind w:right="454"/>
              <w:jc w:val="right"/>
              <w:rPr>
                <w:sz w:val="16"/>
                <w:szCs w:val="16"/>
              </w:rPr>
            </w:pPr>
            <w:r w:rsidRPr="0048268B">
              <w:rPr>
                <w:sz w:val="16"/>
                <w:szCs w:val="16"/>
              </w:rPr>
              <w:t>12457</w:t>
            </w:r>
            <w:r w:rsidR="007E6BBC">
              <w:rPr>
                <w:sz w:val="16"/>
                <w:szCs w:val="16"/>
              </w:rPr>
              <w:t>.</w:t>
            </w:r>
            <w:r w:rsidRPr="0048268B">
              <w:rPr>
                <w:sz w:val="16"/>
                <w:szCs w:val="16"/>
              </w:rPr>
              <w:t>3</w:t>
            </w:r>
          </w:p>
        </w:tc>
        <w:tc>
          <w:tcPr>
            <w:tcW w:w="1701" w:type="dxa"/>
            <w:tcBorders>
              <w:top w:val="nil"/>
              <w:left w:val="nil"/>
              <w:bottom w:val="nil"/>
            </w:tcBorders>
            <w:shd w:val="clear" w:color="auto" w:fill="auto"/>
            <w:noWrap/>
            <w:vAlign w:val="center"/>
          </w:tcPr>
          <w:p w:rsidR="00EC5CE5" w:rsidRPr="0048268B" w:rsidRDefault="00EC5CE5" w:rsidP="00EC5CE5">
            <w:pPr>
              <w:spacing w:before="40" w:after="40"/>
              <w:ind w:right="454"/>
              <w:jc w:val="right"/>
              <w:rPr>
                <w:bCs/>
                <w:sz w:val="16"/>
                <w:szCs w:val="16"/>
              </w:rPr>
            </w:pPr>
            <w:r w:rsidRPr="0048268B">
              <w:rPr>
                <w:sz w:val="16"/>
                <w:szCs w:val="16"/>
              </w:rPr>
              <w:t>9069</w:t>
            </w:r>
            <w:r w:rsidR="007E6BBC">
              <w:rPr>
                <w:sz w:val="16"/>
                <w:szCs w:val="16"/>
              </w:rPr>
              <w:t>.</w:t>
            </w:r>
            <w:r w:rsidRPr="0048268B">
              <w:rPr>
                <w:sz w:val="16"/>
                <w:szCs w:val="16"/>
              </w:rPr>
              <w:t>1</w:t>
            </w:r>
          </w:p>
        </w:tc>
        <w:tc>
          <w:tcPr>
            <w:tcW w:w="1701" w:type="dxa"/>
            <w:tcBorders>
              <w:top w:val="nil"/>
              <w:left w:val="nil"/>
              <w:bottom w:val="nil"/>
              <w:right w:val="nil"/>
            </w:tcBorders>
            <w:vAlign w:val="center"/>
          </w:tcPr>
          <w:p w:rsidR="00EC5CE5" w:rsidRPr="0048268B" w:rsidRDefault="00EC5CE5" w:rsidP="00EC5CE5">
            <w:pPr>
              <w:spacing w:before="40" w:after="40"/>
              <w:ind w:right="454"/>
              <w:jc w:val="right"/>
              <w:rPr>
                <w:sz w:val="16"/>
                <w:szCs w:val="16"/>
              </w:rPr>
            </w:pPr>
            <w:r w:rsidRPr="0048268B">
              <w:rPr>
                <w:sz w:val="16"/>
                <w:szCs w:val="16"/>
              </w:rPr>
              <w:t>5</w:t>
            </w:r>
            <w:r w:rsidR="007E6BBC">
              <w:rPr>
                <w:sz w:val="16"/>
                <w:szCs w:val="16"/>
              </w:rPr>
              <w:t>.</w:t>
            </w:r>
            <w:r w:rsidRPr="0048268B">
              <w:rPr>
                <w:sz w:val="16"/>
                <w:szCs w:val="16"/>
              </w:rPr>
              <w:t>6</w:t>
            </w:r>
          </w:p>
        </w:tc>
        <w:tc>
          <w:tcPr>
            <w:tcW w:w="1701" w:type="dxa"/>
            <w:tcBorders>
              <w:top w:val="nil"/>
              <w:left w:val="nil"/>
              <w:bottom w:val="nil"/>
              <w:right w:val="nil"/>
            </w:tcBorders>
            <w:shd w:val="clear" w:color="auto" w:fill="auto"/>
            <w:vAlign w:val="center"/>
          </w:tcPr>
          <w:p w:rsidR="00EC5CE5" w:rsidRPr="0048268B" w:rsidRDefault="00EC5CE5" w:rsidP="00EC5CE5">
            <w:pPr>
              <w:spacing w:before="40" w:after="40"/>
              <w:ind w:right="454"/>
              <w:jc w:val="right"/>
              <w:rPr>
                <w:bCs/>
                <w:sz w:val="16"/>
                <w:szCs w:val="16"/>
              </w:rPr>
            </w:pPr>
            <w:r w:rsidRPr="0048268B">
              <w:rPr>
                <w:sz w:val="16"/>
                <w:szCs w:val="16"/>
              </w:rPr>
              <w:t>4</w:t>
            </w:r>
            <w:r w:rsidR="007E6BBC">
              <w:rPr>
                <w:sz w:val="16"/>
                <w:szCs w:val="16"/>
              </w:rPr>
              <w:t>.</w:t>
            </w:r>
            <w:r w:rsidRPr="0048268B">
              <w:rPr>
                <w:sz w:val="16"/>
                <w:szCs w:val="16"/>
              </w:rPr>
              <w:t>2</w:t>
            </w:r>
          </w:p>
        </w:tc>
      </w:tr>
      <w:tr w:rsidR="00EC5CE5" w:rsidRPr="0048268B" w:rsidTr="00BB5316">
        <w:trPr>
          <w:trHeight w:val="20"/>
          <w:jc w:val="center"/>
        </w:trPr>
        <w:tc>
          <w:tcPr>
            <w:tcW w:w="3345" w:type="dxa"/>
            <w:tcBorders>
              <w:top w:val="nil"/>
              <w:left w:val="nil"/>
              <w:bottom w:val="nil"/>
              <w:right w:val="single" w:sz="4" w:space="0" w:color="808080" w:themeColor="background1" w:themeShade="80"/>
            </w:tcBorders>
            <w:shd w:val="clear" w:color="auto" w:fill="auto"/>
            <w:noWrap/>
            <w:hideMark/>
          </w:tcPr>
          <w:p w:rsidR="00EC5CE5" w:rsidRPr="0048268B" w:rsidRDefault="00EC5CE5" w:rsidP="00EC5CE5">
            <w:pPr>
              <w:spacing w:before="40" w:after="40" w:line="252" w:lineRule="auto"/>
              <w:contextualSpacing/>
              <w:rPr>
                <w:color w:val="000000"/>
                <w:sz w:val="16"/>
                <w:szCs w:val="16"/>
              </w:rPr>
            </w:pPr>
            <w:r w:rsidRPr="0048268B">
              <w:rPr>
                <w:color w:val="000000"/>
                <w:sz w:val="16"/>
                <w:szCs w:val="16"/>
              </w:rPr>
              <w:t>Resource taxes</w:t>
            </w:r>
          </w:p>
        </w:tc>
        <w:tc>
          <w:tcPr>
            <w:tcW w:w="1701" w:type="dxa"/>
            <w:tcBorders>
              <w:top w:val="nil"/>
              <w:left w:val="nil"/>
              <w:bottom w:val="nil"/>
            </w:tcBorders>
            <w:shd w:val="clear" w:color="auto" w:fill="auto"/>
            <w:noWrap/>
            <w:vAlign w:val="center"/>
          </w:tcPr>
          <w:p w:rsidR="00EC5CE5" w:rsidRPr="0048268B" w:rsidRDefault="00EC5CE5" w:rsidP="00EC5CE5">
            <w:pPr>
              <w:spacing w:before="40" w:after="40"/>
              <w:ind w:right="454"/>
              <w:jc w:val="right"/>
              <w:rPr>
                <w:sz w:val="16"/>
                <w:szCs w:val="16"/>
              </w:rPr>
            </w:pPr>
            <w:r w:rsidRPr="0048268B">
              <w:rPr>
                <w:sz w:val="16"/>
                <w:szCs w:val="16"/>
              </w:rPr>
              <w:t>3289</w:t>
            </w:r>
            <w:r w:rsidR="007E6BBC">
              <w:rPr>
                <w:sz w:val="16"/>
                <w:szCs w:val="16"/>
              </w:rPr>
              <w:t>.</w:t>
            </w:r>
            <w:r w:rsidRPr="0048268B">
              <w:rPr>
                <w:sz w:val="16"/>
                <w:szCs w:val="16"/>
              </w:rPr>
              <w:t>7</w:t>
            </w:r>
          </w:p>
        </w:tc>
        <w:tc>
          <w:tcPr>
            <w:tcW w:w="1701" w:type="dxa"/>
            <w:tcBorders>
              <w:top w:val="nil"/>
              <w:left w:val="nil"/>
              <w:bottom w:val="nil"/>
            </w:tcBorders>
            <w:shd w:val="clear" w:color="auto" w:fill="auto"/>
            <w:noWrap/>
            <w:vAlign w:val="center"/>
          </w:tcPr>
          <w:p w:rsidR="00EC5CE5" w:rsidRPr="0048268B" w:rsidRDefault="00EC5CE5" w:rsidP="00EC5CE5">
            <w:pPr>
              <w:spacing w:before="40" w:after="40"/>
              <w:ind w:right="454"/>
              <w:jc w:val="right"/>
              <w:rPr>
                <w:bCs/>
                <w:sz w:val="16"/>
                <w:szCs w:val="16"/>
              </w:rPr>
            </w:pPr>
            <w:r w:rsidRPr="0048268B">
              <w:rPr>
                <w:sz w:val="16"/>
                <w:szCs w:val="16"/>
              </w:rPr>
              <w:t>2988</w:t>
            </w:r>
            <w:r w:rsidR="007E6BBC">
              <w:rPr>
                <w:sz w:val="16"/>
                <w:szCs w:val="16"/>
              </w:rPr>
              <w:t>.</w:t>
            </w:r>
            <w:r w:rsidRPr="0048268B">
              <w:rPr>
                <w:sz w:val="16"/>
                <w:szCs w:val="16"/>
              </w:rPr>
              <w:t>5</w:t>
            </w:r>
          </w:p>
        </w:tc>
        <w:tc>
          <w:tcPr>
            <w:tcW w:w="1701" w:type="dxa"/>
            <w:tcBorders>
              <w:top w:val="nil"/>
              <w:left w:val="nil"/>
              <w:bottom w:val="nil"/>
              <w:right w:val="nil"/>
            </w:tcBorders>
            <w:vAlign w:val="center"/>
          </w:tcPr>
          <w:p w:rsidR="00EC5CE5" w:rsidRPr="0048268B" w:rsidRDefault="00EC5CE5" w:rsidP="00EC5CE5">
            <w:pPr>
              <w:spacing w:before="40" w:after="40"/>
              <w:ind w:right="454"/>
              <w:jc w:val="right"/>
              <w:rPr>
                <w:sz w:val="16"/>
                <w:szCs w:val="16"/>
              </w:rPr>
            </w:pPr>
            <w:r w:rsidRPr="0048268B">
              <w:rPr>
                <w:sz w:val="16"/>
                <w:szCs w:val="16"/>
              </w:rPr>
              <w:t>1</w:t>
            </w:r>
            <w:r w:rsidR="007E6BBC">
              <w:rPr>
                <w:sz w:val="16"/>
                <w:szCs w:val="16"/>
              </w:rPr>
              <w:t>.</w:t>
            </w:r>
            <w:r w:rsidRPr="0048268B">
              <w:rPr>
                <w:sz w:val="16"/>
                <w:szCs w:val="16"/>
              </w:rPr>
              <w:t>5</w:t>
            </w:r>
          </w:p>
        </w:tc>
        <w:tc>
          <w:tcPr>
            <w:tcW w:w="1701" w:type="dxa"/>
            <w:tcBorders>
              <w:top w:val="nil"/>
              <w:left w:val="nil"/>
              <w:bottom w:val="nil"/>
              <w:right w:val="nil"/>
            </w:tcBorders>
            <w:shd w:val="clear" w:color="auto" w:fill="auto"/>
            <w:vAlign w:val="center"/>
          </w:tcPr>
          <w:p w:rsidR="00EC5CE5" w:rsidRPr="0048268B" w:rsidRDefault="00EC5CE5" w:rsidP="00EC5CE5">
            <w:pPr>
              <w:spacing w:before="40" w:after="40"/>
              <w:ind w:right="454"/>
              <w:jc w:val="right"/>
              <w:rPr>
                <w:bCs/>
                <w:sz w:val="16"/>
                <w:szCs w:val="16"/>
              </w:rPr>
            </w:pPr>
            <w:r w:rsidRPr="0048268B">
              <w:rPr>
                <w:sz w:val="16"/>
                <w:szCs w:val="16"/>
              </w:rPr>
              <w:t>1</w:t>
            </w:r>
            <w:r w:rsidR="007E6BBC">
              <w:rPr>
                <w:sz w:val="16"/>
                <w:szCs w:val="16"/>
              </w:rPr>
              <w:t>.</w:t>
            </w:r>
            <w:r w:rsidRPr="0048268B">
              <w:rPr>
                <w:sz w:val="16"/>
                <w:szCs w:val="16"/>
              </w:rPr>
              <w:t>4</w:t>
            </w:r>
          </w:p>
        </w:tc>
      </w:tr>
    </w:tbl>
    <w:p w:rsidR="00383912" w:rsidRPr="0048268B" w:rsidRDefault="00383912" w:rsidP="00383912">
      <w:pPr>
        <w:spacing w:line="276" w:lineRule="auto"/>
        <w:jc w:val="center"/>
        <w:rPr>
          <w:sz w:val="50"/>
          <w:szCs w:val="50"/>
        </w:rPr>
      </w:pPr>
    </w:p>
    <w:p w:rsidR="00383912" w:rsidRPr="0048268B" w:rsidRDefault="00383912" w:rsidP="004C2185">
      <w:pPr>
        <w:spacing w:line="252" w:lineRule="auto"/>
        <w:jc w:val="center"/>
        <w:rPr>
          <w:b/>
          <w:color w:val="FF0000"/>
        </w:rPr>
      </w:pPr>
      <w:r w:rsidRPr="0048268B">
        <w:rPr>
          <w:b/>
        </w:rPr>
        <w:t>2. Structure of environmental tax revenues from the perspective of the entities paying the taxes</w:t>
      </w:r>
    </w:p>
    <w:p w:rsidR="00383912" w:rsidRPr="0048268B" w:rsidRDefault="00383912" w:rsidP="007E6BBC">
      <w:pPr>
        <w:tabs>
          <w:tab w:val="center" w:pos="5102"/>
        </w:tabs>
        <w:spacing w:before="160" w:after="20" w:line="252" w:lineRule="auto"/>
        <w:rPr>
          <w:sz w:val="18"/>
          <w:szCs w:val="18"/>
        </w:rPr>
      </w:pPr>
      <w:r w:rsidRPr="0048268B">
        <w:rPr>
          <w:b/>
          <w:sz w:val="18"/>
          <w:szCs w:val="18"/>
        </w:rPr>
        <w:t>Republic of Serbia</w:t>
      </w:r>
      <w:r w:rsidRPr="0048268B">
        <w:rPr>
          <w:b/>
          <w:sz w:val="18"/>
          <w:szCs w:val="18"/>
        </w:rPr>
        <w:tab/>
      </w:r>
      <w:r w:rsidR="007E6BBC">
        <w:rPr>
          <w:b/>
          <w:sz w:val="18"/>
          <w:szCs w:val="18"/>
          <w:lang w:val="sr-Cyrl-RS"/>
        </w:rPr>
        <w:t xml:space="preserve">                                                                                                </w:t>
      </w:r>
      <w:r w:rsidRPr="0048268B">
        <w:rPr>
          <w:b/>
          <w:sz w:val="18"/>
          <w:szCs w:val="18"/>
        </w:rPr>
        <w:tab/>
      </w:r>
      <w:r w:rsidRPr="0048268B">
        <w:rPr>
          <w:b/>
          <w:sz w:val="18"/>
          <w:szCs w:val="18"/>
        </w:rPr>
        <w:tab/>
      </w:r>
      <w:r w:rsidRPr="0048268B">
        <w:rPr>
          <w:b/>
          <w:sz w:val="18"/>
          <w:szCs w:val="18"/>
        </w:rPr>
        <w:tab/>
      </w:r>
      <w:r w:rsidRPr="0048268B">
        <w:rPr>
          <w:b/>
          <w:sz w:val="18"/>
          <w:szCs w:val="18"/>
        </w:rPr>
        <w:tab/>
      </w:r>
      <w:r w:rsidRPr="0048268B">
        <w:rPr>
          <w:b/>
          <w:sz w:val="18"/>
          <w:szCs w:val="18"/>
        </w:rPr>
        <w:tab/>
      </w:r>
      <w:r w:rsidRPr="0048268B">
        <w:rPr>
          <w:b/>
          <w:sz w:val="18"/>
          <w:szCs w:val="18"/>
        </w:rPr>
        <w:tab/>
      </w:r>
      <w:r w:rsidRPr="0048268B">
        <w:rPr>
          <w:sz w:val="18"/>
          <w:szCs w:val="18"/>
        </w:rPr>
        <w:tab/>
      </w:r>
      <w:r w:rsidRPr="0048268B">
        <w:rPr>
          <w:sz w:val="18"/>
          <w:szCs w:val="18"/>
        </w:rPr>
        <w:tab/>
        <w:t>%</w:t>
      </w:r>
    </w:p>
    <w:tbl>
      <w:tblPr>
        <w:tblW w:w="10206" w:type="dxa"/>
        <w:jc w:val="center"/>
        <w:tblCellMar>
          <w:left w:w="28" w:type="dxa"/>
          <w:right w:w="28" w:type="dxa"/>
        </w:tblCellMar>
        <w:tblLook w:val="04A0" w:firstRow="1" w:lastRow="0" w:firstColumn="1" w:lastColumn="0" w:noHBand="0" w:noVBand="1"/>
      </w:tblPr>
      <w:tblGrid>
        <w:gridCol w:w="3402"/>
        <w:gridCol w:w="3402"/>
        <w:gridCol w:w="3402"/>
      </w:tblGrid>
      <w:tr w:rsidR="00383912" w:rsidRPr="0048268B" w:rsidTr="00EC5CE5">
        <w:trPr>
          <w:trHeight w:val="20"/>
          <w:jc w:val="center"/>
        </w:trPr>
        <w:tc>
          <w:tcPr>
            <w:tcW w:w="34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noWrap/>
            <w:vAlign w:val="bottom"/>
            <w:hideMark/>
          </w:tcPr>
          <w:p w:rsidR="00383912" w:rsidRPr="0048268B" w:rsidRDefault="00383912" w:rsidP="004C2185">
            <w:pPr>
              <w:spacing w:before="120" w:after="120"/>
              <w:rPr>
                <w:color w:val="000000"/>
                <w:sz w:val="16"/>
                <w:szCs w:val="16"/>
              </w:rPr>
            </w:pPr>
            <w:r w:rsidRPr="0048268B">
              <w:rPr>
                <w:color w:val="000000"/>
                <w:sz w:val="16"/>
                <w:szCs w:val="16"/>
              </w:rPr>
              <w:t> </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383912" w:rsidRPr="0048268B" w:rsidRDefault="00EC5CE5" w:rsidP="004C2185">
            <w:pPr>
              <w:spacing w:before="120" w:after="120"/>
              <w:jc w:val="center"/>
              <w:rPr>
                <w:color w:val="000000"/>
                <w:sz w:val="16"/>
                <w:szCs w:val="16"/>
              </w:rPr>
            </w:pPr>
            <w:r w:rsidRPr="0048268B">
              <w:rPr>
                <w:color w:val="000000"/>
                <w:sz w:val="16"/>
                <w:szCs w:val="16"/>
              </w:rPr>
              <w:t>2019</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hideMark/>
          </w:tcPr>
          <w:p w:rsidR="00383912" w:rsidRPr="0048268B" w:rsidRDefault="00EC5CE5" w:rsidP="004C2185">
            <w:pPr>
              <w:spacing w:before="120" w:after="120"/>
              <w:jc w:val="center"/>
              <w:rPr>
                <w:color w:val="000000"/>
                <w:sz w:val="16"/>
                <w:szCs w:val="16"/>
              </w:rPr>
            </w:pPr>
            <w:r w:rsidRPr="0048268B">
              <w:rPr>
                <w:color w:val="000000"/>
                <w:sz w:val="16"/>
                <w:szCs w:val="16"/>
              </w:rPr>
              <w:t>2020</w:t>
            </w:r>
          </w:p>
        </w:tc>
      </w:tr>
      <w:tr w:rsidR="00383912" w:rsidRPr="0048268B" w:rsidTr="00EC5CE5">
        <w:trPr>
          <w:trHeight w:val="20"/>
          <w:jc w:val="center"/>
        </w:trPr>
        <w:tc>
          <w:tcPr>
            <w:tcW w:w="3402" w:type="dxa"/>
            <w:tcBorders>
              <w:top w:val="single" w:sz="4" w:space="0" w:color="808080" w:themeColor="background1" w:themeShade="80"/>
              <w:left w:val="nil"/>
              <w:bottom w:val="nil"/>
              <w:right w:val="single" w:sz="4" w:space="0" w:color="808080" w:themeColor="background1" w:themeShade="80"/>
            </w:tcBorders>
            <w:shd w:val="clear" w:color="auto" w:fill="auto"/>
            <w:noWrap/>
            <w:vAlign w:val="bottom"/>
            <w:hideMark/>
          </w:tcPr>
          <w:p w:rsidR="00383912" w:rsidRPr="0048268B" w:rsidRDefault="00383912" w:rsidP="004C2185">
            <w:pPr>
              <w:rPr>
                <w:color w:val="000000"/>
                <w:sz w:val="16"/>
                <w:szCs w:val="16"/>
              </w:rPr>
            </w:pPr>
          </w:p>
        </w:tc>
        <w:tc>
          <w:tcPr>
            <w:tcW w:w="3402" w:type="dxa"/>
            <w:tcBorders>
              <w:top w:val="single" w:sz="4" w:space="0" w:color="808080" w:themeColor="background1" w:themeShade="80"/>
              <w:left w:val="single" w:sz="4" w:space="0" w:color="808080" w:themeColor="background1" w:themeShade="80"/>
              <w:right w:val="nil"/>
            </w:tcBorders>
            <w:shd w:val="clear" w:color="auto" w:fill="auto"/>
            <w:noWrap/>
            <w:vAlign w:val="bottom"/>
          </w:tcPr>
          <w:p w:rsidR="00383912" w:rsidRPr="0048268B" w:rsidRDefault="00383912" w:rsidP="004C2185">
            <w:pPr>
              <w:rPr>
                <w:color w:val="000000"/>
                <w:sz w:val="16"/>
                <w:szCs w:val="16"/>
              </w:rPr>
            </w:pPr>
          </w:p>
        </w:tc>
        <w:tc>
          <w:tcPr>
            <w:tcW w:w="3402" w:type="dxa"/>
            <w:tcBorders>
              <w:top w:val="single" w:sz="4" w:space="0" w:color="808080" w:themeColor="background1" w:themeShade="80"/>
              <w:left w:val="nil"/>
            </w:tcBorders>
            <w:shd w:val="clear" w:color="auto" w:fill="auto"/>
            <w:noWrap/>
            <w:vAlign w:val="bottom"/>
            <w:hideMark/>
          </w:tcPr>
          <w:p w:rsidR="00383912" w:rsidRPr="0048268B" w:rsidRDefault="00383912" w:rsidP="004C2185">
            <w:pPr>
              <w:rPr>
                <w:color w:val="000000"/>
                <w:sz w:val="16"/>
                <w:szCs w:val="16"/>
              </w:rPr>
            </w:pPr>
          </w:p>
        </w:tc>
      </w:tr>
      <w:tr w:rsidR="00EC5CE5" w:rsidRPr="007E6BBC" w:rsidTr="00383912">
        <w:trPr>
          <w:trHeight w:val="20"/>
          <w:jc w:val="center"/>
        </w:trPr>
        <w:tc>
          <w:tcPr>
            <w:tcW w:w="3402" w:type="dxa"/>
            <w:tcBorders>
              <w:top w:val="nil"/>
              <w:left w:val="nil"/>
              <w:bottom w:val="nil"/>
              <w:right w:val="single" w:sz="4" w:space="0" w:color="808080" w:themeColor="background1" w:themeShade="80"/>
            </w:tcBorders>
            <w:shd w:val="clear" w:color="auto" w:fill="auto"/>
            <w:noWrap/>
            <w:hideMark/>
          </w:tcPr>
          <w:p w:rsidR="00EC5CE5" w:rsidRPr="007E6BBC" w:rsidRDefault="00EC5CE5" w:rsidP="00EC5CE5">
            <w:pPr>
              <w:spacing w:line="252" w:lineRule="auto"/>
              <w:rPr>
                <w:b/>
                <w:color w:val="000000"/>
                <w:sz w:val="16"/>
                <w:szCs w:val="16"/>
              </w:rPr>
            </w:pPr>
            <w:r w:rsidRPr="007E6BBC">
              <w:rPr>
                <w:b/>
                <w:color w:val="000000"/>
                <w:sz w:val="16"/>
                <w:szCs w:val="16"/>
              </w:rPr>
              <w:t>Total</w:t>
            </w:r>
          </w:p>
        </w:tc>
        <w:tc>
          <w:tcPr>
            <w:tcW w:w="3402" w:type="dxa"/>
            <w:tcBorders>
              <w:top w:val="nil"/>
              <w:left w:val="single" w:sz="4" w:space="0" w:color="808080" w:themeColor="background1" w:themeShade="80"/>
              <w:bottom w:val="nil"/>
              <w:right w:val="nil"/>
            </w:tcBorders>
            <w:shd w:val="clear" w:color="auto" w:fill="auto"/>
            <w:noWrap/>
          </w:tcPr>
          <w:p w:rsidR="00EC5CE5" w:rsidRPr="007E6BBC" w:rsidRDefault="00EC5CE5" w:rsidP="00EC5CE5">
            <w:pPr>
              <w:spacing w:before="40" w:after="40"/>
              <w:ind w:right="1474"/>
              <w:jc w:val="right"/>
              <w:rPr>
                <w:b/>
                <w:sz w:val="16"/>
                <w:szCs w:val="16"/>
              </w:rPr>
            </w:pPr>
            <w:r w:rsidRPr="007E6BBC">
              <w:rPr>
                <w:b/>
                <w:sz w:val="16"/>
                <w:szCs w:val="16"/>
              </w:rPr>
              <w:t>100</w:t>
            </w:r>
            <w:r w:rsidR="007E6BBC" w:rsidRPr="007E6BBC">
              <w:rPr>
                <w:b/>
                <w:sz w:val="16"/>
                <w:szCs w:val="16"/>
              </w:rPr>
              <w:t>.</w:t>
            </w:r>
            <w:r w:rsidRPr="007E6BBC">
              <w:rPr>
                <w:b/>
                <w:sz w:val="16"/>
                <w:szCs w:val="16"/>
              </w:rPr>
              <w:t>0</w:t>
            </w:r>
          </w:p>
        </w:tc>
        <w:tc>
          <w:tcPr>
            <w:tcW w:w="3402" w:type="dxa"/>
            <w:tcBorders>
              <w:top w:val="nil"/>
              <w:left w:val="nil"/>
              <w:bottom w:val="nil"/>
            </w:tcBorders>
            <w:shd w:val="clear" w:color="auto" w:fill="auto"/>
            <w:noWrap/>
          </w:tcPr>
          <w:p w:rsidR="00EC5CE5" w:rsidRPr="007E6BBC" w:rsidRDefault="00EC5CE5" w:rsidP="00EC5CE5">
            <w:pPr>
              <w:spacing w:before="40" w:after="40"/>
              <w:ind w:right="1474"/>
              <w:jc w:val="right"/>
              <w:rPr>
                <w:b/>
                <w:sz w:val="16"/>
                <w:szCs w:val="16"/>
                <w:highlight w:val="yellow"/>
              </w:rPr>
            </w:pPr>
            <w:r w:rsidRPr="007E6BBC">
              <w:rPr>
                <w:b/>
                <w:sz w:val="16"/>
                <w:szCs w:val="16"/>
              </w:rPr>
              <w:t>100</w:t>
            </w:r>
            <w:r w:rsidR="007E6BBC" w:rsidRPr="007E6BBC">
              <w:rPr>
                <w:b/>
                <w:sz w:val="16"/>
                <w:szCs w:val="16"/>
              </w:rPr>
              <w:t>.</w:t>
            </w:r>
            <w:r w:rsidRPr="007E6BBC">
              <w:rPr>
                <w:b/>
                <w:sz w:val="16"/>
                <w:szCs w:val="16"/>
              </w:rPr>
              <w:t>0</w:t>
            </w:r>
          </w:p>
        </w:tc>
      </w:tr>
      <w:tr w:rsidR="00EC5CE5" w:rsidRPr="0048268B" w:rsidTr="00383912">
        <w:trPr>
          <w:trHeight w:val="20"/>
          <w:jc w:val="center"/>
        </w:trPr>
        <w:tc>
          <w:tcPr>
            <w:tcW w:w="3402" w:type="dxa"/>
            <w:tcBorders>
              <w:top w:val="nil"/>
              <w:left w:val="nil"/>
              <w:bottom w:val="nil"/>
              <w:right w:val="single" w:sz="4" w:space="0" w:color="808080" w:themeColor="background1" w:themeShade="80"/>
            </w:tcBorders>
            <w:shd w:val="clear" w:color="auto" w:fill="auto"/>
            <w:noWrap/>
          </w:tcPr>
          <w:p w:rsidR="00EC5CE5" w:rsidRPr="0048268B" w:rsidRDefault="00EC5CE5" w:rsidP="00EC5CE5">
            <w:pPr>
              <w:spacing w:before="40" w:after="40" w:line="252" w:lineRule="auto"/>
              <w:rPr>
                <w:color w:val="000000"/>
                <w:sz w:val="16"/>
                <w:szCs w:val="16"/>
              </w:rPr>
            </w:pPr>
            <w:r w:rsidRPr="0048268B">
              <w:rPr>
                <w:color w:val="000000"/>
                <w:sz w:val="16"/>
                <w:szCs w:val="16"/>
              </w:rPr>
              <w:t>Production units</w:t>
            </w:r>
          </w:p>
        </w:tc>
        <w:tc>
          <w:tcPr>
            <w:tcW w:w="3402" w:type="dxa"/>
            <w:tcBorders>
              <w:top w:val="nil"/>
              <w:left w:val="nil"/>
              <w:bottom w:val="nil"/>
            </w:tcBorders>
            <w:shd w:val="clear" w:color="auto" w:fill="auto"/>
            <w:noWrap/>
            <w:vAlign w:val="bottom"/>
          </w:tcPr>
          <w:p w:rsidR="00EC5CE5" w:rsidRPr="0048268B" w:rsidRDefault="00EC5CE5" w:rsidP="00EC5CE5">
            <w:pPr>
              <w:spacing w:before="40" w:after="40"/>
              <w:ind w:right="1474"/>
              <w:jc w:val="right"/>
              <w:rPr>
                <w:sz w:val="16"/>
                <w:szCs w:val="16"/>
              </w:rPr>
            </w:pPr>
            <w:r w:rsidRPr="0048268B">
              <w:rPr>
                <w:sz w:val="16"/>
                <w:szCs w:val="16"/>
              </w:rPr>
              <w:t>61</w:t>
            </w:r>
            <w:r w:rsidR="007E6BBC">
              <w:rPr>
                <w:sz w:val="16"/>
                <w:szCs w:val="16"/>
              </w:rPr>
              <w:t>.</w:t>
            </w:r>
            <w:r w:rsidRPr="0048268B">
              <w:rPr>
                <w:sz w:val="16"/>
                <w:szCs w:val="16"/>
              </w:rPr>
              <w:t>3</w:t>
            </w:r>
          </w:p>
        </w:tc>
        <w:tc>
          <w:tcPr>
            <w:tcW w:w="3402" w:type="dxa"/>
            <w:tcBorders>
              <w:top w:val="nil"/>
              <w:left w:val="nil"/>
              <w:bottom w:val="nil"/>
            </w:tcBorders>
            <w:shd w:val="clear" w:color="auto" w:fill="auto"/>
            <w:noWrap/>
            <w:vAlign w:val="bottom"/>
          </w:tcPr>
          <w:p w:rsidR="00EC5CE5" w:rsidRPr="0048268B" w:rsidRDefault="00EC5CE5" w:rsidP="00EC5CE5">
            <w:pPr>
              <w:spacing w:before="40" w:after="40"/>
              <w:ind w:right="1474"/>
              <w:jc w:val="right"/>
              <w:rPr>
                <w:sz w:val="16"/>
                <w:szCs w:val="16"/>
              </w:rPr>
            </w:pPr>
            <w:r w:rsidRPr="0048268B">
              <w:rPr>
                <w:sz w:val="16"/>
                <w:szCs w:val="16"/>
              </w:rPr>
              <w:t>61</w:t>
            </w:r>
            <w:r w:rsidR="007E6BBC">
              <w:rPr>
                <w:sz w:val="16"/>
                <w:szCs w:val="16"/>
              </w:rPr>
              <w:t>.</w:t>
            </w:r>
            <w:r w:rsidRPr="0048268B">
              <w:rPr>
                <w:sz w:val="16"/>
                <w:szCs w:val="16"/>
              </w:rPr>
              <w:t>1</w:t>
            </w:r>
          </w:p>
        </w:tc>
      </w:tr>
      <w:tr w:rsidR="00EC5CE5" w:rsidRPr="0048268B" w:rsidTr="00383912">
        <w:trPr>
          <w:trHeight w:val="20"/>
          <w:jc w:val="center"/>
        </w:trPr>
        <w:tc>
          <w:tcPr>
            <w:tcW w:w="3402" w:type="dxa"/>
            <w:tcBorders>
              <w:top w:val="nil"/>
              <w:left w:val="nil"/>
              <w:bottom w:val="nil"/>
              <w:right w:val="single" w:sz="4" w:space="0" w:color="808080" w:themeColor="background1" w:themeShade="80"/>
            </w:tcBorders>
            <w:shd w:val="clear" w:color="auto" w:fill="auto"/>
            <w:noWrap/>
            <w:hideMark/>
          </w:tcPr>
          <w:p w:rsidR="00EC5CE5" w:rsidRPr="0048268B" w:rsidRDefault="00EC5CE5" w:rsidP="00EC5CE5">
            <w:pPr>
              <w:spacing w:before="40" w:after="40" w:line="252" w:lineRule="auto"/>
              <w:rPr>
                <w:color w:val="000000"/>
                <w:sz w:val="16"/>
                <w:szCs w:val="16"/>
              </w:rPr>
            </w:pPr>
            <w:r w:rsidRPr="0048268B">
              <w:rPr>
                <w:color w:val="000000"/>
                <w:sz w:val="16"/>
                <w:szCs w:val="16"/>
              </w:rPr>
              <w:t>Households</w:t>
            </w:r>
          </w:p>
        </w:tc>
        <w:tc>
          <w:tcPr>
            <w:tcW w:w="3402" w:type="dxa"/>
            <w:tcBorders>
              <w:top w:val="nil"/>
              <w:left w:val="nil"/>
              <w:bottom w:val="nil"/>
            </w:tcBorders>
            <w:shd w:val="clear" w:color="auto" w:fill="auto"/>
            <w:noWrap/>
            <w:vAlign w:val="bottom"/>
          </w:tcPr>
          <w:p w:rsidR="00EC5CE5" w:rsidRPr="0048268B" w:rsidRDefault="00EC5CE5" w:rsidP="00EC5CE5">
            <w:pPr>
              <w:spacing w:before="40" w:after="40"/>
              <w:ind w:right="1474"/>
              <w:jc w:val="right"/>
              <w:rPr>
                <w:sz w:val="16"/>
                <w:szCs w:val="16"/>
              </w:rPr>
            </w:pPr>
            <w:r w:rsidRPr="0048268B">
              <w:rPr>
                <w:sz w:val="16"/>
                <w:szCs w:val="16"/>
              </w:rPr>
              <w:t>38</w:t>
            </w:r>
            <w:r w:rsidR="007E6BBC">
              <w:rPr>
                <w:sz w:val="16"/>
                <w:szCs w:val="16"/>
              </w:rPr>
              <w:t>.</w:t>
            </w:r>
            <w:r w:rsidRPr="0048268B">
              <w:rPr>
                <w:sz w:val="16"/>
                <w:szCs w:val="16"/>
              </w:rPr>
              <w:t>7</w:t>
            </w:r>
          </w:p>
        </w:tc>
        <w:tc>
          <w:tcPr>
            <w:tcW w:w="3402" w:type="dxa"/>
            <w:tcBorders>
              <w:top w:val="nil"/>
              <w:left w:val="nil"/>
              <w:bottom w:val="nil"/>
            </w:tcBorders>
            <w:shd w:val="clear" w:color="auto" w:fill="auto"/>
            <w:noWrap/>
            <w:vAlign w:val="bottom"/>
          </w:tcPr>
          <w:p w:rsidR="00EC5CE5" w:rsidRPr="0048268B" w:rsidRDefault="00EC5CE5" w:rsidP="00EC5CE5">
            <w:pPr>
              <w:spacing w:before="40" w:after="40"/>
              <w:ind w:right="1474"/>
              <w:jc w:val="right"/>
              <w:rPr>
                <w:sz w:val="16"/>
                <w:szCs w:val="16"/>
              </w:rPr>
            </w:pPr>
            <w:r w:rsidRPr="0048268B">
              <w:rPr>
                <w:sz w:val="16"/>
                <w:szCs w:val="16"/>
              </w:rPr>
              <w:t>38</w:t>
            </w:r>
            <w:r w:rsidR="007E6BBC">
              <w:rPr>
                <w:sz w:val="16"/>
                <w:szCs w:val="16"/>
              </w:rPr>
              <w:t>.</w:t>
            </w:r>
            <w:r w:rsidRPr="0048268B">
              <w:rPr>
                <w:sz w:val="16"/>
                <w:szCs w:val="16"/>
              </w:rPr>
              <w:t>9</w:t>
            </w:r>
          </w:p>
        </w:tc>
      </w:tr>
      <w:tr w:rsidR="00EC5CE5" w:rsidRPr="0048268B" w:rsidTr="00383912">
        <w:trPr>
          <w:trHeight w:val="20"/>
          <w:jc w:val="center"/>
        </w:trPr>
        <w:tc>
          <w:tcPr>
            <w:tcW w:w="3402" w:type="dxa"/>
            <w:tcBorders>
              <w:top w:val="nil"/>
              <w:left w:val="nil"/>
              <w:bottom w:val="nil"/>
              <w:right w:val="single" w:sz="4" w:space="0" w:color="808080" w:themeColor="background1" w:themeShade="80"/>
            </w:tcBorders>
            <w:shd w:val="clear" w:color="auto" w:fill="auto"/>
            <w:noWrap/>
            <w:hideMark/>
          </w:tcPr>
          <w:p w:rsidR="00EC5CE5" w:rsidRPr="0048268B" w:rsidRDefault="00EC5CE5" w:rsidP="00EC5CE5">
            <w:pPr>
              <w:spacing w:before="40" w:after="40" w:line="252" w:lineRule="auto"/>
              <w:rPr>
                <w:color w:val="000000"/>
                <w:sz w:val="16"/>
                <w:szCs w:val="16"/>
              </w:rPr>
            </w:pPr>
            <w:r w:rsidRPr="0048268B">
              <w:rPr>
                <w:color w:val="000000"/>
                <w:sz w:val="16"/>
                <w:szCs w:val="16"/>
              </w:rPr>
              <w:t>Not allocated</w:t>
            </w:r>
          </w:p>
        </w:tc>
        <w:tc>
          <w:tcPr>
            <w:tcW w:w="3402" w:type="dxa"/>
            <w:tcBorders>
              <w:top w:val="nil"/>
              <w:left w:val="nil"/>
              <w:bottom w:val="nil"/>
            </w:tcBorders>
            <w:shd w:val="clear" w:color="auto" w:fill="auto"/>
            <w:noWrap/>
            <w:vAlign w:val="bottom"/>
          </w:tcPr>
          <w:p w:rsidR="00EC5CE5" w:rsidRPr="0048268B" w:rsidRDefault="00EC5CE5" w:rsidP="00EC5CE5">
            <w:pPr>
              <w:spacing w:before="40" w:after="40"/>
              <w:ind w:right="1474"/>
              <w:jc w:val="right"/>
              <w:rPr>
                <w:sz w:val="16"/>
                <w:szCs w:val="16"/>
              </w:rPr>
            </w:pPr>
            <w:r w:rsidRPr="0048268B">
              <w:rPr>
                <w:sz w:val="16"/>
                <w:szCs w:val="16"/>
              </w:rPr>
              <w:t>0</w:t>
            </w:r>
            <w:r w:rsidR="007E6BBC">
              <w:rPr>
                <w:sz w:val="16"/>
                <w:szCs w:val="16"/>
              </w:rPr>
              <w:t>.</w:t>
            </w:r>
            <w:r w:rsidRPr="0048268B">
              <w:rPr>
                <w:sz w:val="16"/>
                <w:szCs w:val="16"/>
              </w:rPr>
              <w:t>0</w:t>
            </w:r>
          </w:p>
        </w:tc>
        <w:tc>
          <w:tcPr>
            <w:tcW w:w="3402" w:type="dxa"/>
            <w:tcBorders>
              <w:top w:val="nil"/>
              <w:left w:val="nil"/>
              <w:bottom w:val="nil"/>
            </w:tcBorders>
            <w:shd w:val="clear" w:color="auto" w:fill="auto"/>
            <w:noWrap/>
            <w:vAlign w:val="bottom"/>
          </w:tcPr>
          <w:p w:rsidR="00EC5CE5" w:rsidRPr="0048268B" w:rsidRDefault="00EC5CE5" w:rsidP="00EC5CE5">
            <w:pPr>
              <w:spacing w:before="40" w:after="40"/>
              <w:ind w:right="1474"/>
              <w:jc w:val="right"/>
              <w:rPr>
                <w:sz w:val="16"/>
                <w:szCs w:val="16"/>
              </w:rPr>
            </w:pPr>
            <w:r w:rsidRPr="0048268B">
              <w:rPr>
                <w:sz w:val="16"/>
                <w:szCs w:val="16"/>
              </w:rPr>
              <w:t>0</w:t>
            </w:r>
            <w:r w:rsidR="007E6BBC">
              <w:rPr>
                <w:sz w:val="16"/>
                <w:szCs w:val="16"/>
              </w:rPr>
              <w:t>.</w:t>
            </w:r>
            <w:r w:rsidRPr="0048268B">
              <w:rPr>
                <w:sz w:val="16"/>
                <w:szCs w:val="16"/>
              </w:rPr>
              <w:t>0</w:t>
            </w:r>
          </w:p>
        </w:tc>
      </w:tr>
    </w:tbl>
    <w:p w:rsidR="00383912" w:rsidRPr="0048268B" w:rsidRDefault="00383912" w:rsidP="00383912">
      <w:pPr>
        <w:spacing w:line="276" w:lineRule="auto"/>
        <w:jc w:val="center"/>
        <w:rPr>
          <w:sz w:val="50"/>
          <w:szCs w:val="50"/>
        </w:rPr>
      </w:pPr>
      <w:bookmarkStart w:id="0" w:name="_GoBack"/>
      <w:bookmarkEnd w:id="0"/>
    </w:p>
    <w:p w:rsidR="00383912" w:rsidRPr="0048268B" w:rsidRDefault="00383912" w:rsidP="004C2185">
      <w:pPr>
        <w:spacing w:line="252" w:lineRule="auto"/>
        <w:jc w:val="center"/>
        <w:rPr>
          <w:b/>
        </w:rPr>
      </w:pPr>
      <w:r w:rsidRPr="0048268B">
        <w:rPr>
          <w:b/>
        </w:rPr>
        <w:t xml:space="preserve">3.  Environmental tax revenues, indicators </w:t>
      </w:r>
    </w:p>
    <w:p w:rsidR="00383912" w:rsidRPr="0048268B" w:rsidRDefault="00383912" w:rsidP="007E6BBC">
      <w:pPr>
        <w:spacing w:before="60" w:after="20" w:line="276" w:lineRule="auto"/>
        <w:rPr>
          <w:b/>
          <w:sz w:val="18"/>
          <w:szCs w:val="18"/>
        </w:rPr>
      </w:pPr>
      <w:r w:rsidRPr="0048268B">
        <w:rPr>
          <w:b/>
          <w:sz w:val="18"/>
          <w:szCs w:val="18"/>
        </w:rPr>
        <w:t>Republic of Serbia</w:t>
      </w:r>
    </w:p>
    <w:tbl>
      <w:tblPr>
        <w:tblW w:w="10206" w:type="dxa"/>
        <w:jc w:val="center"/>
        <w:tblCellMar>
          <w:left w:w="28" w:type="dxa"/>
          <w:right w:w="28" w:type="dxa"/>
        </w:tblCellMar>
        <w:tblLook w:val="04A0" w:firstRow="1" w:lastRow="0" w:firstColumn="1" w:lastColumn="0" w:noHBand="0" w:noVBand="1"/>
      </w:tblPr>
      <w:tblGrid>
        <w:gridCol w:w="4536"/>
        <w:gridCol w:w="2835"/>
        <w:gridCol w:w="2835"/>
      </w:tblGrid>
      <w:tr w:rsidR="00383912" w:rsidRPr="0048268B" w:rsidTr="004C2185">
        <w:trPr>
          <w:trHeight w:val="20"/>
          <w:jc w:val="center"/>
        </w:trPr>
        <w:tc>
          <w:tcPr>
            <w:tcW w:w="453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noWrap/>
            <w:vAlign w:val="bottom"/>
            <w:hideMark/>
          </w:tcPr>
          <w:p w:rsidR="00383912" w:rsidRPr="0048268B" w:rsidRDefault="00383912" w:rsidP="004C2185">
            <w:pPr>
              <w:spacing w:before="120" w:after="120"/>
              <w:rPr>
                <w:color w:val="000000"/>
                <w:sz w:val="16"/>
                <w:szCs w:val="16"/>
              </w:rPr>
            </w:pPr>
            <w:r w:rsidRPr="0048268B">
              <w:rPr>
                <w:color w:val="000000"/>
                <w:sz w:val="16"/>
                <w:szCs w:val="16"/>
              </w:rPr>
              <w:t> </w:t>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383912" w:rsidRPr="0048268B" w:rsidRDefault="00EC5CE5" w:rsidP="004C2185">
            <w:pPr>
              <w:spacing w:before="120" w:after="120"/>
              <w:jc w:val="center"/>
              <w:rPr>
                <w:color w:val="000000"/>
                <w:sz w:val="16"/>
                <w:szCs w:val="16"/>
              </w:rPr>
            </w:pPr>
            <w:r w:rsidRPr="0048268B">
              <w:rPr>
                <w:color w:val="000000"/>
                <w:sz w:val="16"/>
                <w:szCs w:val="16"/>
              </w:rPr>
              <w:t>2019</w:t>
            </w: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noWrap/>
            <w:vAlign w:val="center"/>
            <w:hideMark/>
          </w:tcPr>
          <w:p w:rsidR="00383912" w:rsidRPr="0048268B" w:rsidRDefault="00EC5CE5" w:rsidP="004C2185">
            <w:pPr>
              <w:spacing w:before="120" w:after="120"/>
              <w:jc w:val="center"/>
              <w:rPr>
                <w:color w:val="000000"/>
                <w:sz w:val="16"/>
                <w:szCs w:val="16"/>
              </w:rPr>
            </w:pPr>
            <w:r w:rsidRPr="0048268B">
              <w:rPr>
                <w:color w:val="000000"/>
                <w:sz w:val="16"/>
                <w:szCs w:val="16"/>
              </w:rPr>
              <w:t>2020</w:t>
            </w:r>
          </w:p>
        </w:tc>
      </w:tr>
      <w:tr w:rsidR="00383912" w:rsidRPr="0048268B" w:rsidTr="004C2185">
        <w:trPr>
          <w:trHeight w:val="20"/>
          <w:jc w:val="center"/>
        </w:trPr>
        <w:tc>
          <w:tcPr>
            <w:tcW w:w="4536" w:type="dxa"/>
            <w:tcBorders>
              <w:top w:val="single" w:sz="4" w:space="0" w:color="808080" w:themeColor="background1" w:themeShade="80"/>
              <w:left w:val="nil"/>
              <w:bottom w:val="nil"/>
              <w:right w:val="single" w:sz="4" w:space="0" w:color="808080" w:themeColor="background1" w:themeShade="80"/>
            </w:tcBorders>
            <w:shd w:val="clear" w:color="auto" w:fill="auto"/>
            <w:noWrap/>
            <w:vAlign w:val="bottom"/>
            <w:hideMark/>
          </w:tcPr>
          <w:p w:rsidR="00383912" w:rsidRPr="0048268B" w:rsidRDefault="00383912" w:rsidP="004C2185">
            <w:pPr>
              <w:spacing w:line="276" w:lineRule="auto"/>
              <w:rPr>
                <w:color w:val="000000"/>
                <w:sz w:val="16"/>
                <w:szCs w:val="16"/>
              </w:rPr>
            </w:pPr>
          </w:p>
        </w:tc>
        <w:tc>
          <w:tcPr>
            <w:tcW w:w="2835" w:type="dxa"/>
            <w:tcBorders>
              <w:top w:val="single" w:sz="4" w:space="0" w:color="808080" w:themeColor="background1" w:themeShade="80"/>
              <w:left w:val="single" w:sz="4" w:space="0" w:color="808080" w:themeColor="background1" w:themeShade="80"/>
              <w:right w:val="nil"/>
            </w:tcBorders>
            <w:shd w:val="clear" w:color="auto" w:fill="auto"/>
            <w:noWrap/>
            <w:vAlign w:val="bottom"/>
            <w:hideMark/>
          </w:tcPr>
          <w:p w:rsidR="00383912" w:rsidRPr="0048268B" w:rsidRDefault="00383912" w:rsidP="004C2185">
            <w:pPr>
              <w:spacing w:line="276" w:lineRule="auto"/>
              <w:rPr>
                <w:color w:val="000000"/>
                <w:sz w:val="16"/>
                <w:szCs w:val="16"/>
              </w:rPr>
            </w:pPr>
            <w:r w:rsidRPr="0048268B">
              <w:rPr>
                <w:color w:val="000000"/>
                <w:sz w:val="16"/>
                <w:szCs w:val="16"/>
              </w:rPr>
              <w:t> </w:t>
            </w:r>
          </w:p>
        </w:tc>
        <w:tc>
          <w:tcPr>
            <w:tcW w:w="2835" w:type="dxa"/>
            <w:tcBorders>
              <w:top w:val="single" w:sz="4" w:space="0" w:color="808080" w:themeColor="background1" w:themeShade="80"/>
              <w:left w:val="nil"/>
            </w:tcBorders>
            <w:shd w:val="clear" w:color="auto" w:fill="auto"/>
            <w:noWrap/>
            <w:vAlign w:val="bottom"/>
            <w:hideMark/>
          </w:tcPr>
          <w:p w:rsidR="00383912" w:rsidRPr="0048268B" w:rsidRDefault="00383912" w:rsidP="004C2185">
            <w:pPr>
              <w:spacing w:line="276" w:lineRule="auto"/>
              <w:rPr>
                <w:color w:val="000000"/>
                <w:sz w:val="16"/>
                <w:szCs w:val="16"/>
              </w:rPr>
            </w:pPr>
          </w:p>
        </w:tc>
      </w:tr>
      <w:tr w:rsidR="00EC5CE5" w:rsidRPr="0048268B" w:rsidTr="004C2185">
        <w:trPr>
          <w:trHeight w:val="20"/>
          <w:jc w:val="center"/>
        </w:trPr>
        <w:tc>
          <w:tcPr>
            <w:tcW w:w="4536" w:type="dxa"/>
            <w:tcBorders>
              <w:top w:val="nil"/>
              <w:left w:val="nil"/>
              <w:bottom w:val="nil"/>
              <w:right w:val="single" w:sz="4" w:space="0" w:color="808080" w:themeColor="background1" w:themeShade="80"/>
            </w:tcBorders>
            <w:shd w:val="clear" w:color="auto" w:fill="auto"/>
            <w:noWrap/>
          </w:tcPr>
          <w:p w:rsidR="00EC5CE5" w:rsidRPr="0048268B" w:rsidRDefault="00EC5CE5" w:rsidP="00EC5CE5">
            <w:pPr>
              <w:spacing w:line="252" w:lineRule="auto"/>
              <w:rPr>
                <w:color w:val="000000"/>
                <w:sz w:val="16"/>
                <w:szCs w:val="16"/>
              </w:rPr>
            </w:pPr>
            <w:r w:rsidRPr="0048268B">
              <w:rPr>
                <w:color w:val="000000"/>
                <w:sz w:val="16"/>
                <w:szCs w:val="16"/>
              </w:rPr>
              <w:t xml:space="preserve">Share of environmental tax revenues in GDP, % </w:t>
            </w:r>
          </w:p>
        </w:tc>
        <w:tc>
          <w:tcPr>
            <w:tcW w:w="2835" w:type="dxa"/>
            <w:tcBorders>
              <w:top w:val="nil"/>
              <w:left w:val="single" w:sz="4" w:space="0" w:color="808080" w:themeColor="background1" w:themeShade="80"/>
              <w:bottom w:val="nil"/>
              <w:right w:val="nil"/>
            </w:tcBorders>
            <w:shd w:val="clear" w:color="auto" w:fill="auto"/>
            <w:noWrap/>
            <w:vAlign w:val="bottom"/>
          </w:tcPr>
          <w:p w:rsidR="00EC5CE5" w:rsidRPr="0048268B" w:rsidRDefault="00EC5CE5" w:rsidP="00EC5CE5">
            <w:pPr>
              <w:spacing w:line="276" w:lineRule="auto"/>
              <w:ind w:right="1191"/>
              <w:jc w:val="right"/>
              <w:rPr>
                <w:sz w:val="16"/>
                <w:szCs w:val="16"/>
              </w:rPr>
            </w:pPr>
            <w:r w:rsidRPr="0048268B">
              <w:rPr>
                <w:sz w:val="16"/>
                <w:szCs w:val="16"/>
              </w:rPr>
              <w:t>4</w:t>
            </w:r>
            <w:r w:rsidR="007E6BBC">
              <w:rPr>
                <w:sz w:val="16"/>
                <w:szCs w:val="16"/>
              </w:rPr>
              <w:t>.</w:t>
            </w:r>
            <w:r w:rsidRPr="0048268B">
              <w:rPr>
                <w:sz w:val="16"/>
                <w:szCs w:val="16"/>
              </w:rPr>
              <w:t>1</w:t>
            </w:r>
          </w:p>
        </w:tc>
        <w:tc>
          <w:tcPr>
            <w:tcW w:w="2835" w:type="dxa"/>
            <w:tcBorders>
              <w:top w:val="nil"/>
              <w:left w:val="nil"/>
              <w:bottom w:val="nil"/>
            </w:tcBorders>
            <w:shd w:val="clear" w:color="auto" w:fill="auto"/>
            <w:noWrap/>
            <w:vAlign w:val="bottom"/>
          </w:tcPr>
          <w:p w:rsidR="00EC5CE5" w:rsidRPr="0048268B" w:rsidRDefault="00EC5CE5" w:rsidP="00EC5CE5">
            <w:pPr>
              <w:spacing w:line="276" w:lineRule="auto"/>
              <w:ind w:right="1191"/>
              <w:jc w:val="right"/>
              <w:rPr>
                <w:sz w:val="16"/>
                <w:szCs w:val="16"/>
              </w:rPr>
            </w:pPr>
            <w:r w:rsidRPr="0048268B">
              <w:rPr>
                <w:sz w:val="16"/>
                <w:szCs w:val="16"/>
              </w:rPr>
              <w:t>4</w:t>
            </w:r>
            <w:r w:rsidR="007E6BBC">
              <w:rPr>
                <w:sz w:val="16"/>
                <w:szCs w:val="16"/>
              </w:rPr>
              <w:t>.</w:t>
            </w:r>
            <w:r w:rsidRPr="0048268B">
              <w:rPr>
                <w:sz w:val="16"/>
                <w:szCs w:val="16"/>
              </w:rPr>
              <w:t>0</w:t>
            </w:r>
          </w:p>
        </w:tc>
      </w:tr>
      <w:tr w:rsidR="00EC5CE5" w:rsidRPr="0048268B" w:rsidTr="004C2185">
        <w:trPr>
          <w:trHeight w:val="20"/>
          <w:jc w:val="center"/>
        </w:trPr>
        <w:tc>
          <w:tcPr>
            <w:tcW w:w="4536" w:type="dxa"/>
            <w:tcBorders>
              <w:top w:val="nil"/>
              <w:left w:val="nil"/>
              <w:bottom w:val="nil"/>
              <w:right w:val="single" w:sz="4" w:space="0" w:color="808080" w:themeColor="background1" w:themeShade="80"/>
            </w:tcBorders>
            <w:shd w:val="clear" w:color="auto" w:fill="auto"/>
            <w:noWrap/>
          </w:tcPr>
          <w:p w:rsidR="00EC5CE5" w:rsidRPr="0048268B" w:rsidRDefault="00EC5CE5" w:rsidP="00EC5CE5">
            <w:pPr>
              <w:spacing w:line="252" w:lineRule="auto"/>
              <w:rPr>
                <w:color w:val="000000"/>
                <w:sz w:val="16"/>
                <w:szCs w:val="16"/>
              </w:rPr>
            </w:pPr>
          </w:p>
        </w:tc>
        <w:tc>
          <w:tcPr>
            <w:tcW w:w="2835" w:type="dxa"/>
            <w:tcBorders>
              <w:top w:val="nil"/>
              <w:left w:val="single" w:sz="4" w:space="0" w:color="808080" w:themeColor="background1" w:themeShade="80"/>
              <w:bottom w:val="nil"/>
              <w:right w:val="nil"/>
            </w:tcBorders>
            <w:shd w:val="clear" w:color="auto" w:fill="auto"/>
            <w:noWrap/>
            <w:vAlign w:val="bottom"/>
          </w:tcPr>
          <w:p w:rsidR="00EC5CE5" w:rsidRPr="0048268B" w:rsidRDefault="00EC5CE5" w:rsidP="00EC5CE5">
            <w:pPr>
              <w:spacing w:line="276" w:lineRule="auto"/>
              <w:ind w:right="1191"/>
              <w:jc w:val="right"/>
              <w:rPr>
                <w:sz w:val="16"/>
                <w:szCs w:val="16"/>
              </w:rPr>
            </w:pPr>
          </w:p>
        </w:tc>
        <w:tc>
          <w:tcPr>
            <w:tcW w:w="2835" w:type="dxa"/>
            <w:tcBorders>
              <w:top w:val="nil"/>
              <w:left w:val="nil"/>
              <w:bottom w:val="nil"/>
            </w:tcBorders>
            <w:shd w:val="clear" w:color="auto" w:fill="auto"/>
            <w:noWrap/>
            <w:vAlign w:val="bottom"/>
          </w:tcPr>
          <w:p w:rsidR="00EC5CE5" w:rsidRPr="0048268B" w:rsidRDefault="00EC5CE5" w:rsidP="00EC5CE5">
            <w:pPr>
              <w:spacing w:line="276" w:lineRule="auto"/>
              <w:ind w:right="1191"/>
              <w:jc w:val="right"/>
              <w:rPr>
                <w:sz w:val="16"/>
                <w:szCs w:val="16"/>
              </w:rPr>
            </w:pPr>
          </w:p>
        </w:tc>
      </w:tr>
      <w:tr w:rsidR="00EC5CE5" w:rsidRPr="0048268B" w:rsidTr="004C2185">
        <w:trPr>
          <w:trHeight w:val="20"/>
          <w:jc w:val="center"/>
        </w:trPr>
        <w:tc>
          <w:tcPr>
            <w:tcW w:w="4536" w:type="dxa"/>
            <w:tcBorders>
              <w:top w:val="nil"/>
              <w:left w:val="nil"/>
              <w:bottom w:val="nil"/>
              <w:right w:val="single" w:sz="4" w:space="0" w:color="808080" w:themeColor="background1" w:themeShade="80"/>
            </w:tcBorders>
            <w:shd w:val="clear" w:color="auto" w:fill="auto"/>
            <w:noWrap/>
          </w:tcPr>
          <w:p w:rsidR="00EC5CE5" w:rsidRPr="0048268B" w:rsidRDefault="00EC5CE5" w:rsidP="00EC5CE5">
            <w:pPr>
              <w:spacing w:line="252" w:lineRule="auto"/>
              <w:rPr>
                <w:color w:val="000000"/>
                <w:sz w:val="16"/>
                <w:szCs w:val="16"/>
              </w:rPr>
            </w:pPr>
            <w:r w:rsidRPr="0048268B">
              <w:rPr>
                <w:color w:val="000000"/>
                <w:sz w:val="16"/>
                <w:szCs w:val="16"/>
              </w:rPr>
              <w:t>Share of environmental tax revenues in total taxes and social contributions, %</w:t>
            </w:r>
          </w:p>
        </w:tc>
        <w:tc>
          <w:tcPr>
            <w:tcW w:w="2835" w:type="dxa"/>
            <w:tcBorders>
              <w:top w:val="nil"/>
              <w:left w:val="single" w:sz="4" w:space="0" w:color="808080" w:themeColor="background1" w:themeShade="80"/>
              <w:bottom w:val="nil"/>
              <w:right w:val="nil"/>
            </w:tcBorders>
            <w:shd w:val="clear" w:color="auto" w:fill="auto"/>
            <w:noWrap/>
            <w:vAlign w:val="bottom"/>
          </w:tcPr>
          <w:p w:rsidR="00EC5CE5" w:rsidRPr="0048268B" w:rsidRDefault="00EC5CE5" w:rsidP="00EC5CE5">
            <w:pPr>
              <w:spacing w:line="276" w:lineRule="auto"/>
              <w:ind w:right="1191"/>
              <w:jc w:val="right"/>
              <w:rPr>
                <w:sz w:val="16"/>
                <w:szCs w:val="16"/>
              </w:rPr>
            </w:pPr>
            <w:r w:rsidRPr="0048268B">
              <w:rPr>
                <w:sz w:val="16"/>
                <w:szCs w:val="16"/>
              </w:rPr>
              <w:t>11</w:t>
            </w:r>
            <w:r w:rsidR="007E6BBC">
              <w:rPr>
                <w:sz w:val="16"/>
                <w:szCs w:val="16"/>
              </w:rPr>
              <w:t>.</w:t>
            </w:r>
            <w:r w:rsidRPr="0048268B">
              <w:rPr>
                <w:sz w:val="16"/>
                <w:szCs w:val="16"/>
              </w:rPr>
              <w:t>0</w:t>
            </w:r>
          </w:p>
        </w:tc>
        <w:tc>
          <w:tcPr>
            <w:tcW w:w="2835" w:type="dxa"/>
            <w:tcBorders>
              <w:top w:val="nil"/>
              <w:left w:val="nil"/>
              <w:bottom w:val="nil"/>
            </w:tcBorders>
            <w:shd w:val="clear" w:color="auto" w:fill="auto"/>
            <w:noWrap/>
            <w:vAlign w:val="bottom"/>
          </w:tcPr>
          <w:p w:rsidR="00EC5CE5" w:rsidRPr="0048268B" w:rsidRDefault="00EC5CE5" w:rsidP="00EC5CE5">
            <w:pPr>
              <w:spacing w:line="276" w:lineRule="auto"/>
              <w:ind w:right="1191"/>
              <w:jc w:val="right"/>
              <w:rPr>
                <w:sz w:val="16"/>
                <w:szCs w:val="16"/>
              </w:rPr>
            </w:pPr>
            <w:r w:rsidRPr="0048268B">
              <w:rPr>
                <w:sz w:val="16"/>
                <w:szCs w:val="16"/>
              </w:rPr>
              <w:t>10</w:t>
            </w:r>
            <w:r w:rsidR="007E6BBC">
              <w:rPr>
                <w:sz w:val="16"/>
                <w:szCs w:val="16"/>
              </w:rPr>
              <w:t>.</w:t>
            </w:r>
            <w:r w:rsidRPr="0048268B">
              <w:rPr>
                <w:sz w:val="16"/>
                <w:szCs w:val="16"/>
              </w:rPr>
              <w:t>3</w:t>
            </w:r>
          </w:p>
        </w:tc>
      </w:tr>
    </w:tbl>
    <w:p w:rsidR="00383912" w:rsidRPr="0048268B" w:rsidRDefault="00383912" w:rsidP="004604E8">
      <w:pPr>
        <w:spacing w:before="120" w:after="120"/>
        <w:ind w:firstLine="397"/>
        <w:rPr>
          <w:b/>
        </w:rPr>
      </w:pPr>
    </w:p>
    <w:p w:rsidR="00383912" w:rsidRPr="0048268B" w:rsidRDefault="00383912" w:rsidP="004604E8">
      <w:pPr>
        <w:spacing w:before="120" w:after="120"/>
        <w:ind w:firstLine="397"/>
        <w:rPr>
          <w:b/>
        </w:rPr>
      </w:pPr>
    </w:p>
    <w:p w:rsidR="004604E8" w:rsidRPr="0048268B" w:rsidRDefault="004604E8" w:rsidP="004604E8">
      <w:pPr>
        <w:spacing w:before="120" w:after="120"/>
        <w:ind w:firstLine="397"/>
        <w:rPr>
          <w:rFonts w:ascii="Calibri" w:hAnsi="Calibri" w:cs="Calibri"/>
          <w:color w:val="1F497D"/>
          <w:sz w:val="22"/>
          <w:szCs w:val="22"/>
        </w:rPr>
      </w:pPr>
      <w:r w:rsidRPr="0048268B">
        <w:t xml:space="preserve">Methodological explanations of income from environmental taxes are available on the website of the Statistical Office of the Republic of Serbia </w:t>
      </w:r>
      <w:hyperlink r:id="rId11" w:history="1">
        <w:r w:rsidRPr="0048268B">
          <w:rPr>
            <w:rStyle w:val="Hyperlink"/>
          </w:rPr>
          <w:t>http://www.stat.gov.rs/en-US/istrazivanja/methodology-and-documents/?a=25&amp;s=2503</w:t>
        </w:r>
      </w:hyperlink>
      <w:r w:rsidRPr="0048268B">
        <w:rPr>
          <w:color w:val="1F497D"/>
        </w:rPr>
        <w:t>.</w:t>
      </w:r>
    </w:p>
    <w:p w:rsidR="004604E8" w:rsidRPr="0048268B" w:rsidRDefault="004604E8" w:rsidP="008A2847">
      <w:pPr>
        <w:rPr>
          <w:color w:val="1F497D"/>
        </w:rPr>
      </w:pPr>
      <w:r w:rsidRPr="0048268B">
        <w:t>Data series of income from environmental taxes are obtainable on the website of the Statistical Office of the Republic of Serbia, in data base</w:t>
      </w:r>
      <w:hyperlink r:id="rId12" w:history="1">
        <w:r w:rsidR="008A2847" w:rsidRPr="0048268B">
          <w:rPr>
            <w:rStyle w:val="Hyperlink"/>
          </w:rPr>
          <w:t>http://data.stat.gov.rs/?caller=SDDB&amp;languageCode=en-US</w:t>
        </w:r>
      </w:hyperlink>
      <w:r w:rsidRPr="0048268B">
        <w:rPr>
          <w:color w:val="1F497D"/>
        </w:rPr>
        <w:t xml:space="preserve">. </w:t>
      </w:r>
    </w:p>
    <w:p w:rsidR="00B41A73" w:rsidRPr="0048268B" w:rsidRDefault="00B41A73" w:rsidP="002F6D07">
      <w:pPr>
        <w:spacing w:before="120" w:after="120" w:line="252" w:lineRule="auto"/>
        <w:ind w:firstLine="397"/>
        <w:jc w:val="both"/>
      </w:pPr>
      <w:r w:rsidRPr="0048268B">
        <w:t xml:space="preserve">Starting from 1999 the Statistical Office of the Republic of Serbia has not at disposal and may not provide available certain data relative to AP Kosovo and Metohia and therefore these data are not included in the coverage for the Republic of Serbia (total). </w:t>
      </w:r>
    </w:p>
    <w:p w:rsidR="00DF2BA2" w:rsidRPr="0048268B" w:rsidRDefault="00DF2BA2" w:rsidP="00B17B15">
      <w:pPr>
        <w:rPr>
          <w:sz w:val="16"/>
          <w:szCs w:val="16"/>
        </w:rPr>
      </w:pPr>
    </w:p>
    <w:p w:rsidR="008F724A" w:rsidRPr="0048268B" w:rsidRDefault="008F724A" w:rsidP="00B17B15">
      <w:pPr>
        <w:rPr>
          <w:sz w:val="16"/>
          <w:szCs w:val="16"/>
        </w:rPr>
      </w:pPr>
    </w:p>
    <w:p w:rsidR="008F724A" w:rsidRPr="0048268B" w:rsidRDefault="008F724A" w:rsidP="00B17B15">
      <w:pPr>
        <w:rPr>
          <w:sz w:val="16"/>
          <w:szCs w:val="16"/>
        </w:rPr>
      </w:pPr>
    </w:p>
    <w:p w:rsidR="00DF2BA2" w:rsidRPr="0048268B" w:rsidRDefault="00DF2BA2" w:rsidP="00B17B15">
      <w:pPr>
        <w:rPr>
          <w:sz w:val="16"/>
          <w:szCs w:val="16"/>
        </w:rPr>
      </w:pPr>
    </w:p>
    <w:p w:rsidR="00D32313" w:rsidRPr="0048268B" w:rsidRDefault="002E5032" w:rsidP="00B17B15">
      <w:pPr>
        <w:rPr>
          <w:sz w:val="16"/>
          <w:szCs w:val="16"/>
        </w:rPr>
      </w:pPr>
      <w:r>
        <w:pict>
          <v:line id="Line 3" o:spid="_x0000_s1026" style="position:absolute;z-index:251658240;visibility:visible;mso-position-horizontal-relative:char;mso-position-vertical-relative:line" from="23.25pt,8.25pt" to="492.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XIEw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" strokecolor="gray" strokeweight=".25pt"/>
        </w:pict>
      </w:r>
    </w:p>
    <w:p w:rsidR="00D32313" w:rsidRPr="0048268B" w:rsidRDefault="00D32313" w:rsidP="001E008D">
      <w:pPr>
        <w:jc w:val="center"/>
        <w:rPr>
          <w:sz w:val="2"/>
          <w:szCs w:val="2"/>
          <w:u w:val="single"/>
        </w:rPr>
      </w:pPr>
    </w:p>
    <w:p w:rsidR="00025741" w:rsidRPr="0048268B" w:rsidRDefault="00226BC9" w:rsidP="007E6BBC">
      <w:pPr>
        <w:spacing w:line="264" w:lineRule="auto"/>
        <w:jc w:val="center"/>
        <w:rPr>
          <w:sz w:val="18"/>
          <w:szCs w:val="18"/>
        </w:rPr>
      </w:pPr>
      <w:r w:rsidRPr="0048268B">
        <w:rPr>
          <w:sz w:val="18"/>
          <w:szCs w:val="18"/>
        </w:rPr>
        <w:t>Contact</w:t>
      </w:r>
      <w:r w:rsidR="00E152B7" w:rsidRPr="0048268B">
        <w:rPr>
          <w:sz w:val="18"/>
          <w:szCs w:val="18"/>
        </w:rPr>
        <w:t>:</w:t>
      </w:r>
      <w:r w:rsidR="007E6BBC">
        <w:rPr>
          <w:sz w:val="18"/>
          <w:szCs w:val="18"/>
          <w:lang w:val="sr-Cyrl-RS"/>
        </w:rPr>
        <w:t xml:space="preserve"> </w:t>
      </w:r>
      <w:hyperlink r:id="rId13" w:history="1">
        <w:r w:rsidR="00C14091" w:rsidRPr="007E6BBC">
          <w:rPr>
            <w:rStyle w:val="Hyperlink"/>
            <w:rFonts w:cs="Arial"/>
            <w:sz w:val="18"/>
            <w:szCs w:val="18"/>
            <w:u w:val="none"/>
          </w:rPr>
          <w:t>neda.cukavac@stat.gov.rs</w:t>
        </w:r>
      </w:hyperlink>
      <w:r w:rsidR="007E6BBC">
        <w:rPr>
          <w:rStyle w:val="Hyperlink"/>
          <w:rFonts w:cs="Arial"/>
          <w:sz w:val="18"/>
          <w:szCs w:val="18"/>
          <w:u w:val="none"/>
          <w:lang w:val="sr-Cyrl-RS"/>
        </w:rPr>
        <w:t xml:space="preserve">,  </w:t>
      </w:r>
      <w:r w:rsidRPr="0048268B">
        <w:rPr>
          <w:sz w:val="18"/>
          <w:szCs w:val="18"/>
        </w:rPr>
        <w:t>Phone</w:t>
      </w:r>
      <w:r w:rsidR="00D32313" w:rsidRPr="0048268B">
        <w:rPr>
          <w:sz w:val="18"/>
          <w:szCs w:val="18"/>
        </w:rPr>
        <w:t xml:space="preserve">: </w:t>
      </w:r>
      <w:r w:rsidR="00025741" w:rsidRPr="0048268B">
        <w:rPr>
          <w:sz w:val="18"/>
          <w:szCs w:val="18"/>
        </w:rPr>
        <w:t>011 3087-001</w:t>
      </w:r>
    </w:p>
    <w:p w:rsidR="00226BC9" w:rsidRPr="0048268B" w:rsidRDefault="00226BC9" w:rsidP="007E6BBC">
      <w:pPr>
        <w:spacing w:line="264" w:lineRule="auto"/>
        <w:jc w:val="center"/>
        <w:rPr>
          <w:sz w:val="18"/>
          <w:szCs w:val="18"/>
        </w:rPr>
      </w:pPr>
      <w:r w:rsidRPr="0048268B">
        <w:rPr>
          <w:sz w:val="18"/>
          <w:szCs w:val="18"/>
        </w:rPr>
        <w:t>Published and printed by</w:t>
      </w:r>
      <w:r w:rsidR="00D32313" w:rsidRPr="0048268B">
        <w:rPr>
          <w:sz w:val="18"/>
          <w:szCs w:val="18"/>
        </w:rPr>
        <w:t xml:space="preserve">: </w:t>
      </w:r>
      <w:r w:rsidRPr="0048268B">
        <w:rPr>
          <w:sz w:val="18"/>
          <w:szCs w:val="18"/>
        </w:rPr>
        <w:t>Statistical Office of the Republic of Serbia, 11050 Belgrade</w:t>
      </w:r>
      <w:r w:rsidR="002A3AF1" w:rsidRPr="0048268B">
        <w:rPr>
          <w:sz w:val="18"/>
          <w:szCs w:val="18"/>
        </w:rPr>
        <w:t>, Milana Rakica 5,</w:t>
      </w:r>
    </w:p>
    <w:p w:rsidR="004B001F" w:rsidRPr="0048268B" w:rsidRDefault="00226BC9" w:rsidP="007E6BBC">
      <w:pPr>
        <w:spacing w:line="264" w:lineRule="auto"/>
        <w:jc w:val="center"/>
        <w:rPr>
          <w:sz w:val="18"/>
          <w:szCs w:val="18"/>
        </w:rPr>
      </w:pPr>
      <w:r w:rsidRPr="0048268B">
        <w:rPr>
          <w:sz w:val="18"/>
          <w:szCs w:val="18"/>
        </w:rPr>
        <w:t>Phone</w:t>
      </w:r>
      <w:r w:rsidR="00D32313" w:rsidRPr="0048268B">
        <w:rPr>
          <w:sz w:val="18"/>
          <w:szCs w:val="18"/>
        </w:rPr>
        <w:t xml:space="preserve">: 011 2412-922 • </w:t>
      </w:r>
      <w:r w:rsidRPr="0048268B">
        <w:rPr>
          <w:sz w:val="18"/>
          <w:szCs w:val="18"/>
        </w:rPr>
        <w:t>Fax</w:t>
      </w:r>
      <w:r w:rsidR="00D32313" w:rsidRPr="0048268B">
        <w:rPr>
          <w:sz w:val="18"/>
          <w:szCs w:val="18"/>
        </w:rPr>
        <w:t>: 011 2411-260 • www</w:t>
      </w:r>
      <w:r w:rsidR="00E152B7" w:rsidRPr="0048268B">
        <w:rPr>
          <w:sz w:val="18"/>
          <w:szCs w:val="18"/>
        </w:rPr>
        <w:t>.</w:t>
      </w:r>
      <w:r w:rsidR="00D32313" w:rsidRPr="0048268B">
        <w:rPr>
          <w:sz w:val="18"/>
          <w:szCs w:val="18"/>
        </w:rPr>
        <w:t>stat</w:t>
      </w:r>
      <w:r w:rsidR="00E152B7" w:rsidRPr="0048268B">
        <w:rPr>
          <w:sz w:val="18"/>
          <w:szCs w:val="18"/>
        </w:rPr>
        <w:t>.</w:t>
      </w:r>
      <w:r w:rsidR="00D32313" w:rsidRPr="0048268B">
        <w:rPr>
          <w:sz w:val="18"/>
          <w:szCs w:val="18"/>
        </w:rPr>
        <w:t>gov</w:t>
      </w:r>
      <w:r w:rsidR="00E152B7" w:rsidRPr="0048268B">
        <w:rPr>
          <w:sz w:val="18"/>
          <w:szCs w:val="18"/>
        </w:rPr>
        <w:t>.</w:t>
      </w:r>
      <w:r w:rsidR="00D32313" w:rsidRPr="0048268B">
        <w:rPr>
          <w:sz w:val="18"/>
          <w:szCs w:val="18"/>
        </w:rPr>
        <w:t>rs</w:t>
      </w:r>
      <w:r w:rsidR="00D32313" w:rsidRPr="0048268B">
        <w:rPr>
          <w:sz w:val="18"/>
          <w:szCs w:val="18"/>
        </w:rPr>
        <w:br/>
      </w:r>
      <w:r w:rsidRPr="0048268B">
        <w:rPr>
          <w:sz w:val="18"/>
          <w:szCs w:val="18"/>
        </w:rPr>
        <w:t>Responsible</w:t>
      </w:r>
      <w:r w:rsidR="00D32313" w:rsidRPr="0048268B">
        <w:rPr>
          <w:sz w:val="18"/>
          <w:szCs w:val="18"/>
        </w:rPr>
        <w:t xml:space="preserve">: </w:t>
      </w:r>
      <w:r w:rsidRPr="0048268B">
        <w:rPr>
          <w:sz w:val="18"/>
          <w:szCs w:val="18"/>
        </w:rPr>
        <w:t>Dr</w:t>
      </w:r>
      <w:r w:rsidR="007E6BBC">
        <w:rPr>
          <w:sz w:val="18"/>
          <w:szCs w:val="18"/>
          <w:lang w:val="sr-Cyrl-RS"/>
        </w:rPr>
        <w:t xml:space="preserve"> </w:t>
      </w:r>
      <w:r w:rsidRPr="0048268B">
        <w:rPr>
          <w:sz w:val="18"/>
          <w:szCs w:val="18"/>
        </w:rPr>
        <w:t>Miladin Kovacevic</w:t>
      </w:r>
      <w:r w:rsidR="00180B4D" w:rsidRPr="0048268B">
        <w:rPr>
          <w:sz w:val="18"/>
          <w:szCs w:val="18"/>
        </w:rPr>
        <w:t xml:space="preserve">, </w:t>
      </w:r>
      <w:r w:rsidRPr="0048268B">
        <w:rPr>
          <w:sz w:val="18"/>
          <w:szCs w:val="18"/>
        </w:rPr>
        <w:t>Director</w:t>
      </w:r>
      <w:r w:rsidR="00D32313" w:rsidRPr="0048268B">
        <w:rPr>
          <w:sz w:val="18"/>
          <w:szCs w:val="18"/>
        </w:rPr>
        <w:br/>
      </w:r>
      <w:r w:rsidRPr="0048268B">
        <w:rPr>
          <w:sz w:val="18"/>
          <w:szCs w:val="18"/>
        </w:rPr>
        <w:t>Circulation</w:t>
      </w:r>
      <w:r w:rsidR="00D32313" w:rsidRPr="0048268B">
        <w:rPr>
          <w:sz w:val="18"/>
          <w:szCs w:val="18"/>
        </w:rPr>
        <w:t xml:space="preserve">: 20 ● </w:t>
      </w:r>
      <w:r w:rsidRPr="0048268B">
        <w:rPr>
          <w:sz w:val="18"/>
          <w:szCs w:val="18"/>
        </w:rPr>
        <w:t>Periodicity</w:t>
      </w:r>
      <w:r w:rsidR="00D32313" w:rsidRPr="0048268B">
        <w:rPr>
          <w:sz w:val="18"/>
          <w:szCs w:val="18"/>
        </w:rPr>
        <w:t xml:space="preserve">: </w:t>
      </w:r>
      <w:r w:rsidRPr="0048268B">
        <w:rPr>
          <w:sz w:val="18"/>
          <w:szCs w:val="18"/>
        </w:rPr>
        <w:t>annual</w:t>
      </w:r>
    </w:p>
    <w:sectPr w:rsidR="004B001F" w:rsidRPr="0048268B" w:rsidSect="000A1B52">
      <w:footerReference w:type="even" r:id="rId14"/>
      <w:footerReference w:type="default" r:id="rId15"/>
      <w:pgSz w:w="11907" w:h="16840" w:code="9"/>
      <w:pgMar w:top="907" w:right="851" w:bottom="90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032" w:rsidRDefault="002E5032">
      <w:r>
        <w:separator/>
      </w:r>
    </w:p>
  </w:endnote>
  <w:endnote w:type="continuationSeparator" w:id="0">
    <w:p w:rsidR="002E5032" w:rsidRDefault="002E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5210"/>
      <w:gridCol w:w="5211"/>
    </w:tblGrid>
    <w:tr w:rsidR="00D32313">
      <w:tc>
        <w:tcPr>
          <w:tcW w:w="5210" w:type="dxa"/>
          <w:tcBorders>
            <w:left w:val="nil"/>
            <w:bottom w:val="nil"/>
            <w:right w:val="nil"/>
          </w:tcBorders>
        </w:tcPr>
        <w:p w:rsidR="00D32313" w:rsidRPr="00AF23FB" w:rsidRDefault="001476C9" w:rsidP="00CB3327">
          <w:pPr>
            <w:spacing w:before="120"/>
            <w:rPr>
              <w:sz w:val="16"/>
              <w:szCs w:val="16"/>
            </w:rPr>
          </w:pPr>
          <w:r w:rsidRPr="00AF23FB">
            <w:rPr>
              <w:sz w:val="16"/>
              <w:szCs w:val="16"/>
            </w:rPr>
            <w:fldChar w:fldCharType="begin"/>
          </w:r>
          <w:r w:rsidR="00D32313" w:rsidRPr="00AF23FB">
            <w:rPr>
              <w:sz w:val="16"/>
              <w:szCs w:val="16"/>
            </w:rPr>
            <w:instrText xml:space="preserve"> PAGE </w:instrText>
          </w:r>
          <w:r w:rsidRPr="00AF23FB">
            <w:rPr>
              <w:sz w:val="16"/>
              <w:szCs w:val="16"/>
            </w:rPr>
            <w:fldChar w:fldCharType="separate"/>
          </w:r>
          <w:r w:rsidR="007E6BBC">
            <w:rPr>
              <w:noProof/>
              <w:sz w:val="16"/>
              <w:szCs w:val="16"/>
            </w:rPr>
            <w:t>2</w:t>
          </w:r>
          <w:r w:rsidRPr="00AF23FB">
            <w:rPr>
              <w:sz w:val="16"/>
              <w:szCs w:val="16"/>
            </w:rPr>
            <w:fldChar w:fldCharType="end"/>
          </w:r>
        </w:p>
      </w:tc>
      <w:tc>
        <w:tcPr>
          <w:tcW w:w="5211" w:type="dxa"/>
          <w:tcBorders>
            <w:left w:val="nil"/>
            <w:bottom w:val="nil"/>
          </w:tcBorders>
        </w:tcPr>
        <w:p w:rsidR="00D32313" w:rsidRPr="00180B4D" w:rsidRDefault="00EC0E74" w:rsidP="007E6BBC">
          <w:pPr>
            <w:spacing w:before="120"/>
            <w:jc w:val="right"/>
            <w:rPr>
              <w:sz w:val="16"/>
              <w:szCs w:val="16"/>
            </w:rPr>
          </w:pPr>
          <w:r>
            <w:rPr>
              <w:sz w:val="16"/>
              <w:szCs w:val="16"/>
            </w:rPr>
            <w:t>SRB</w:t>
          </w:r>
          <w:r w:rsidR="007E6BBC">
            <w:rPr>
              <w:sz w:val="16"/>
              <w:szCs w:val="16"/>
              <w:lang w:val="sr-Cyrl-RS"/>
            </w:rPr>
            <w:t xml:space="preserve">097 </w:t>
          </w:r>
          <w:r w:rsidR="001F3940">
            <w:rPr>
              <w:sz w:val="16"/>
              <w:szCs w:val="16"/>
            </w:rPr>
            <w:t>ZS93</w:t>
          </w:r>
          <w:r w:rsidR="007E6BBC">
            <w:rPr>
              <w:sz w:val="16"/>
              <w:szCs w:val="16"/>
              <w:lang w:val="sr-Cyrl-RS"/>
            </w:rPr>
            <w:t xml:space="preserve"> 150422</w:t>
          </w:r>
        </w:p>
      </w:tc>
    </w:tr>
  </w:tbl>
  <w:p w:rsidR="00D32313" w:rsidRPr="005C58EB" w:rsidRDefault="00D32313" w:rsidP="0041739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5210"/>
      <w:gridCol w:w="5211"/>
    </w:tblGrid>
    <w:tr w:rsidR="00D32313">
      <w:tc>
        <w:tcPr>
          <w:tcW w:w="5210" w:type="dxa"/>
          <w:tcBorders>
            <w:bottom w:val="nil"/>
            <w:right w:val="nil"/>
          </w:tcBorders>
        </w:tcPr>
        <w:p w:rsidR="00D32313" w:rsidRPr="00AF23FB" w:rsidRDefault="00D32313" w:rsidP="0090577F">
          <w:pPr>
            <w:spacing w:before="120"/>
            <w:rPr>
              <w:sz w:val="16"/>
              <w:szCs w:val="16"/>
              <w:lang w:val="sr-Latn-CS"/>
            </w:rPr>
          </w:pPr>
          <w:r w:rsidRPr="00AF23FB">
            <w:rPr>
              <w:sz w:val="16"/>
              <w:szCs w:val="16"/>
            </w:rPr>
            <w:t>СРБ</w:t>
          </w:r>
          <w:r>
            <w:rPr>
              <w:sz w:val="16"/>
              <w:szCs w:val="16"/>
              <w:lang w:val="sr-Cyrl-CS"/>
            </w:rPr>
            <w:t xml:space="preserve">170 </w:t>
          </w:r>
          <w:r w:rsidRPr="00AF23FB">
            <w:rPr>
              <w:sz w:val="16"/>
              <w:szCs w:val="16"/>
              <w:lang w:val="sr-Cyrl-CS"/>
            </w:rPr>
            <w:t xml:space="preserve">НР40 </w:t>
          </w:r>
          <w:r>
            <w:rPr>
              <w:sz w:val="16"/>
              <w:szCs w:val="16"/>
              <w:lang w:val="sr-Cyrl-CS"/>
            </w:rPr>
            <w:t>300614</w:t>
          </w:r>
        </w:p>
      </w:tc>
      <w:tc>
        <w:tcPr>
          <w:tcW w:w="5211" w:type="dxa"/>
          <w:tcBorders>
            <w:left w:val="nil"/>
            <w:bottom w:val="nil"/>
          </w:tcBorders>
        </w:tcPr>
        <w:p w:rsidR="00D32313" w:rsidRPr="00AF23FB" w:rsidRDefault="001476C9" w:rsidP="00CB3327">
          <w:pPr>
            <w:spacing w:before="120"/>
            <w:jc w:val="right"/>
            <w:rPr>
              <w:sz w:val="16"/>
              <w:szCs w:val="16"/>
            </w:rPr>
          </w:pPr>
          <w:r w:rsidRPr="00AF23FB">
            <w:rPr>
              <w:sz w:val="16"/>
              <w:szCs w:val="16"/>
            </w:rPr>
            <w:fldChar w:fldCharType="begin"/>
          </w:r>
          <w:r w:rsidR="00D32313" w:rsidRPr="00AF23FB">
            <w:rPr>
              <w:sz w:val="16"/>
              <w:szCs w:val="16"/>
            </w:rPr>
            <w:instrText xml:space="preserve"> PAGE </w:instrText>
          </w:r>
          <w:r w:rsidRPr="00AF23FB">
            <w:rPr>
              <w:sz w:val="16"/>
              <w:szCs w:val="16"/>
            </w:rPr>
            <w:fldChar w:fldCharType="separate"/>
          </w:r>
          <w:r w:rsidR="00A64231">
            <w:rPr>
              <w:noProof/>
              <w:sz w:val="16"/>
              <w:szCs w:val="16"/>
            </w:rPr>
            <w:t>3</w:t>
          </w:r>
          <w:r w:rsidRPr="00AF23FB">
            <w:rPr>
              <w:sz w:val="16"/>
              <w:szCs w:val="16"/>
            </w:rPr>
            <w:fldChar w:fldCharType="end"/>
          </w:r>
        </w:p>
      </w:tc>
    </w:tr>
  </w:tbl>
  <w:p w:rsidR="00D32313" w:rsidRPr="005C58EB" w:rsidRDefault="00D3231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032" w:rsidRDefault="002E5032">
      <w:r>
        <w:separator/>
      </w:r>
    </w:p>
  </w:footnote>
  <w:footnote w:type="continuationSeparator" w:id="0">
    <w:p w:rsidR="002E5032" w:rsidRDefault="002E5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A62654"/>
    <w:lvl w:ilvl="0">
      <w:start w:val="1"/>
      <w:numFmt w:val="decimal"/>
      <w:lvlText w:val="%1."/>
      <w:lvlJc w:val="left"/>
      <w:pPr>
        <w:tabs>
          <w:tab w:val="num" w:pos="360"/>
        </w:tabs>
        <w:ind w:left="360" w:hanging="360"/>
      </w:pPr>
      <w:rPr>
        <w:rFonts w:cs="Times New Roman"/>
      </w:rPr>
    </w:lvl>
  </w:abstractNum>
  <w:abstractNum w:abstractNumId="1" w15:restartNumberingAfterBreak="0">
    <w:nsid w:val="09D200FA"/>
    <w:multiLevelType w:val="hybridMultilevel"/>
    <w:tmpl w:val="FD52F51C"/>
    <w:lvl w:ilvl="0" w:tplc="0409000F">
      <w:start w:val="1"/>
      <w:numFmt w:val="decimal"/>
      <w:lvlText w:val="%1."/>
      <w:lvlJc w:val="left"/>
      <w:pPr>
        <w:ind w:left="45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2962AD4"/>
    <w:multiLevelType w:val="hybridMultilevel"/>
    <w:tmpl w:val="31528F70"/>
    <w:lvl w:ilvl="0" w:tplc="F3662B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9144F8A"/>
    <w:multiLevelType w:val="hybridMultilevel"/>
    <w:tmpl w:val="CA2EC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B461F"/>
    <w:multiLevelType w:val="hybridMultilevel"/>
    <w:tmpl w:val="312E0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40CC6"/>
    <w:multiLevelType w:val="hybridMultilevel"/>
    <w:tmpl w:val="906CE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
  </w:num>
  <w:num w:numId="19">
    <w:abstractNumId w:val="2"/>
  </w:num>
  <w:num w:numId="20">
    <w:abstractNumId w:val="5"/>
  </w:num>
  <w:num w:numId="21">
    <w:abstractNumId w:val="3"/>
  </w:num>
  <w:num w:numId="2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4"/>
  <w:doNotHyphenateCaps/>
  <w:evenAndOddHeaders/>
  <w:drawingGridHorizontalSpacing w:val="11"/>
  <w:drawingGridVerticalSpacing w:val="1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2E5F"/>
    <w:rsid w:val="00000071"/>
    <w:rsid w:val="000022E3"/>
    <w:rsid w:val="000034A9"/>
    <w:rsid w:val="000049E7"/>
    <w:rsid w:val="000053A6"/>
    <w:rsid w:val="00007FBD"/>
    <w:rsid w:val="00012086"/>
    <w:rsid w:val="00013CE2"/>
    <w:rsid w:val="000144B8"/>
    <w:rsid w:val="00014F3F"/>
    <w:rsid w:val="0001599D"/>
    <w:rsid w:val="00017AE7"/>
    <w:rsid w:val="00017FDD"/>
    <w:rsid w:val="00021878"/>
    <w:rsid w:val="00021C9B"/>
    <w:rsid w:val="00023215"/>
    <w:rsid w:val="00023B4C"/>
    <w:rsid w:val="00024949"/>
    <w:rsid w:val="00025741"/>
    <w:rsid w:val="000267D7"/>
    <w:rsid w:val="0003083D"/>
    <w:rsid w:val="000330F0"/>
    <w:rsid w:val="00035889"/>
    <w:rsid w:val="0004045B"/>
    <w:rsid w:val="00040BA0"/>
    <w:rsid w:val="00043588"/>
    <w:rsid w:val="000439EE"/>
    <w:rsid w:val="00043FF5"/>
    <w:rsid w:val="000443BC"/>
    <w:rsid w:val="00046A38"/>
    <w:rsid w:val="000471FF"/>
    <w:rsid w:val="00051DCC"/>
    <w:rsid w:val="00055943"/>
    <w:rsid w:val="00056369"/>
    <w:rsid w:val="00060123"/>
    <w:rsid w:val="00060D51"/>
    <w:rsid w:val="0006154E"/>
    <w:rsid w:val="00063B99"/>
    <w:rsid w:val="000664C2"/>
    <w:rsid w:val="00067EB3"/>
    <w:rsid w:val="000748B0"/>
    <w:rsid w:val="00075881"/>
    <w:rsid w:val="000766D4"/>
    <w:rsid w:val="000803DD"/>
    <w:rsid w:val="000830CA"/>
    <w:rsid w:val="00087B68"/>
    <w:rsid w:val="00094257"/>
    <w:rsid w:val="0009529F"/>
    <w:rsid w:val="00096829"/>
    <w:rsid w:val="000A1B52"/>
    <w:rsid w:val="000A1C7A"/>
    <w:rsid w:val="000A2156"/>
    <w:rsid w:val="000A6A3B"/>
    <w:rsid w:val="000C1BE1"/>
    <w:rsid w:val="000C1DD3"/>
    <w:rsid w:val="000C7ABF"/>
    <w:rsid w:val="000C7CC4"/>
    <w:rsid w:val="000D2620"/>
    <w:rsid w:val="000D3F70"/>
    <w:rsid w:val="000D4726"/>
    <w:rsid w:val="000D4AFE"/>
    <w:rsid w:val="000D53E2"/>
    <w:rsid w:val="000D67B0"/>
    <w:rsid w:val="000D6957"/>
    <w:rsid w:val="000D729B"/>
    <w:rsid w:val="000D7A37"/>
    <w:rsid w:val="000E0B38"/>
    <w:rsid w:val="000E1739"/>
    <w:rsid w:val="000E2BE2"/>
    <w:rsid w:val="000E3BB6"/>
    <w:rsid w:val="000E457C"/>
    <w:rsid w:val="000E4DEF"/>
    <w:rsid w:val="000E59D8"/>
    <w:rsid w:val="000F4AF7"/>
    <w:rsid w:val="000F57B1"/>
    <w:rsid w:val="000F5C52"/>
    <w:rsid w:val="000F5D85"/>
    <w:rsid w:val="000F62DC"/>
    <w:rsid w:val="0010039D"/>
    <w:rsid w:val="001034CA"/>
    <w:rsid w:val="001057A8"/>
    <w:rsid w:val="00110976"/>
    <w:rsid w:val="00110F39"/>
    <w:rsid w:val="001136A2"/>
    <w:rsid w:val="00120DC5"/>
    <w:rsid w:val="00121A10"/>
    <w:rsid w:val="00121A72"/>
    <w:rsid w:val="001245F5"/>
    <w:rsid w:val="00124E8D"/>
    <w:rsid w:val="00130CE3"/>
    <w:rsid w:val="00132AB5"/>
    <w:rsid w:val="00132ACA"/>
    <w:rsid w:val="00133AC4"/>
    <w:rsid w:val="0014018B"/>
    <w:rsid w:val="001403FB"/>
    <w:rsid w:val="00140772"/>
    <w:rsid w:val="00141480"/>
    <w:rsid w:val="00146F50"/>
    <w:rsid w:val="001476C9"/>
    <w:rsid w:val="001519C7"/>
    <w:rsid w:val="00151D72"/>
    <w:rsid w:val="00151E21"/>
    <w:rsid w:val="00152B09"/>
    <w:rsid w:val="0015561F"/>
    <w:rsid w:val="001577B8"/>
    <w:rsid w:val="00160D2D"/>
    <w:rsid w:val="00161C21"/>
    <w:rsid w:val="00161D65"/>
    <w:rsid w:val="00162FC7"/>
    <w:rsid w:val="0016393C"/>
    <w:rsid w:val="00163ABD"/>
    <w:rsid w:val="00165B24"/>
    <w:rsid w:val="00167D23"/>
    <w:rsid w:val="001709B3"/>
    <w:rsid w:val="00172BA5"/>
    <w:rsid w:val="00174C07"/>
    <w:rsid w:val="00174E1D"/>
    <w:rsid w:val="00177684"/>
    <w:rsid w:val="00180434"/>
    <w:rsid w:val="00180B4D"/>
    <w:rsid w:val="0018121E"/>
    <w:rsid w:val="00183169"/>
    <w:rsid w:val="0018415F"/>
    <w:rsid w:val="00184639"/>
    <w:rsid w:val="0018679C"/>
    <w:rsid w:val="001938A4"/>
    <w:rsid w:val="00194F9C"/>
    <w:rsid w:val="00196304"/>
    <w:rsid w:val="001A2928"/>
    <w:rsid w:val="001A31FA"/>
    <w:rsid w:val="001A3FF7"/>
    <w:rsid w:val="001A475B"/>
    <w:rsid w:val="001A5008"/>
    <w:rsid w:val="001A67C7"/>
    <w:rsid w:val="001A77B5"/>
    <w:rsid w:val="001B2E96"/>
    <w:rsid w:val="001B376E"/>
    <w:rsid w:val="001B416B"/>
    <w:rsid w:val="001B4E27"/>
    <w:rsid w:val="001B4F08"/>
    <w:rsid w:val="001C080E"/>
    <w:rsid w:val="001C094C"/>
    <w:rsid w:val="001C19D0"/>
    <w:rsid w:val="001C23EB"/>
    <w:rsid w:val="001C31AD"/>
    <w:rsid w:val="001C3719"/>
    <w:rsid w:val="001C38FC"/>
    <w:rsid w:val="001C68CF"/>
    <w:rsid w:val="001D086B"/>
    <w:rsid w:val="001D23DB"/>
    <w:rsid w:val="001E008D"/>
    <w:rsid w:val="001E0342"/>
    <w:rsid w:val="001E2578"/>
    <w:rsid w:val="001E3575"/>
    <w:rsid w:val="001E6D37"/>
    <w:rsid w:val="001E6EAA"/>
    <w:rsid w:val="001F2356"/>
    <w:rsid w:val="001F2E55"/>
    <w:rsid w:val="001F3940"/>
    <w:rsid w:val="001F3ABF"/>
    <w:rsid w:val="001F4387"/>
    <w:rsid w:val="001F6480"/>
    <w:rsid w:val="002002E6"/>
    <w:rsid w:val="00201B4B"/>
    <w:rsid w:val="00201EC0"/>
    <w:rsid w:val="00202C2C"/>
    <w:rsid w:val="00205188"/>
    <w:rsid w:val="00205B73"/>
    <w:rsid w:val="00210AC6"/>
    <w:rsid w:val="00212BB6"/>
    <w:rsid w:val="00214D2C"/>
    <w:rsid w:val="00214F7B"/>
    <w:rsid w:val="00220ABD"/>
    <w:rsid w:val="0022115A"/>
    <w:rsid w:val="00225696"/>
    <w:rsid w:val="00226BC9"/>
    <w:rsid w:val="002321D4"/>
    <w:rsid w:val="00233606"/>
    <w:rsid w:val="002338F2"/>
    <w:rsid w:val="0023398F"/>
    <w:rsid w:val="00233D2F"/>
    <w:rsid w:val="002425B3"/>
    <w:rsid w:val="00243857"/>
    <w:rsid w:val="00246009"/>
    <w:rsid w:val="00246177"/>
    <w:rsid w:val="00247186"/>
    <w:rsid w:val="0025206B"/>
    <w:rsid w:val="00254875"/>
    <w:rsid w:val="002577D1"/>
    <w:rsid w:val="00263312"/>
    <w:rsid w:val="0026582A"/>
    <w:rsid w:val="00266953"/>
    <w:rsid w:val="00270CA6"/>
    <w:rsid w:val="00275D4F"/>
    <w:rsid w:val="00276FD9"/>
    <w:rsid w:val="00277F75"/>
    <w:rsid w:val="002826B6"/>
    <w:rsid w:val="00282A06"/>
    <w:rsid w:val="00284F57"/>
    <w:rsid w:val="00285A7E"/>
    <w:rsid w:val="00285B0F"/>
    <w:rsid w:val="0028769D"/>
    <w:rsid w:val="0029008C"/>
    <w:rsid w:val="002961F4"/>
    <w:rsid w:val="002A3110"/>
    <w:rsid w:val="002A3AF1"/>
    <w:rsid w:val="002A58DA"/>
    <w:rsid w:val="002A7A06"/>
    <w:rsid w:val="002B092F"/>
    <w:rsid w:val="002B1F03"/>
    <w:rsid w:val="002B4BC9"/>
    <w:rsid w:val="002B54CB"/>
    <w:rsid w:val="002B7024"/>
    <w:rsid w:val="002C2C17"/>
    <w:rsid w:val="002C4EC4"/>
    <w:rsid w:val="002C6218"/>
    <w:rsid w:val="002D09FC"/>
    <w:rsid w:val="002D106C"/>
    <w:rsid w:val="002D2A8E"/>
    <w:rsid w:val="002D2C7C"/>
    <w:rsid w:val="002D5AF3"/>
    <w:rsid w:val="002D6BA4"/>
    <w:rsid w:val="002D72DD"/>
    <w:rsid w:val="002E0D7E"/>
    <w:rsid w:val="002E1E53"/>
    <w:rsid w:val="002E2F01"/>
    <w:rsid w:val="002E5032"/>
    <w:rsid w:val="002E619E"/>
    <w:rsid w:val="002E67FE"/>
    <w:rsid w:val="002E7BD2"/>
    <w:rsid w:val="002E7E9E"/>
    <w:rsid w:val="002F1F25"/>
    <w:rsid w:val="002F3B5A"/>
    <w:rsid w:val="002F575B"/>
    <w:rsid w:val="002F6D07"/>
    <w:rsid w:val="002F723C"/>
    <w:rsid w:val="002F7471"/>
    <w:rsid w:val="003014F9"/>
    <w:rsid w:val="00301F0D"/>
    <w:rsid w:val="00302C52"/>
    <w:rsid w:val="00303366"/>
    <w:rsid w:val="00304047"/>
    <w:rsid w:val="00305331"/>
    <w:rsid w:val="0030538A"/>
    <w:rsid w:val="003115B4"/>
    <w:rsid w:val="0031664D"/>
    <w:rsid w:val="00334507"/>
    <w:rsid w:val="00334669"/>
    <w:rsid w:val="00334C04"/>
    <w:rsid w:val="00337459"/>
    <w:rsid w:val="00337626"/>
    <w:rsid w:val="00341A43"/>
    <w:rsid w:val="00341AE4"/>
    <w:rsid w:val="00343BD4"/>
    <w:rsid w:val="00345F38"/>
    <w:rsid w:val="00346534"/>
    <w:rsid w:val="00346A68"/>
    <w:rsid w:val="003472A6"/>
    <w:rsid w:val="00357146"/>
    <w:rsid w:val="0036003E"/>
    <w:rsid w:val="003620E3"/>
    <w:rsid w:val="00362392"/>
    <w:rsid w:val="00362875"/>
    <w:rsid w:val="00364E7D"/>
    <w:rsid w:val="0036561A"/>
    <w:rsid w:val="0036589B"/>
    <w:rsid w:val="00367ABC"/>
    <w:rsid w:val="003712D8"/>
    <w:rsid w:val="00374EB9"/>
    <w:rsid w:val="00377012"/>
    <w:rsid w:val="003778DB"/>
    <w:rsid w:val="00377EA2"/>
    <w:rsid w:val="0038067D"/>
    <w:rsid w:val="00381838"/>
    <w:rsid w:val="00381EA9"/>
    <w:rsid w:val="00382772"/>
    <w:rsid w:val="00382789"/>
    <w:rsid w:val="00383912"/>
    <w:rsid w:val="003868DB"/>
    <w:rsid w:val="00386CE6"/>
    <w:rsid w:val="003870B9"/>
    <w:rsid w:val="00390467"/>
    <w:rsid w:val="00390972"/>
    <w:rsid w:val="00391A39"/>
    <w:rsid w:val="00392B6B"/>
    <w:rsid w:val="003948EC"/>
    <w:rsid w:val="003A2657"/>
    <w:rsid w:val="003A2F46"/>
    <w:rsid w:val="003A33A4"/>
    <w:rsid w:val="003A742D"/>
    <w:rsid w:val="003B1FF0"/>
    <w:rsid w:val="003B2385"/>
    <w:rsid w:val="003B2E9E"/>
    <w:rsid w:val="003B3064"/>
    <w:rsid w:val="003B602E"/>
    <w:rsid w:val="003C08A8"/>
    <w:rsid w:val="003C4653"/>
    <w:rsid w:val="003C4BC6"/>
    <w:rsid w:val="003C52A9"/>
    <w:rsid w:val="003C6D85"/>
    <w:rsid w:val="003D7C45"/>
    <w:rsid w:val="003E06F2"/>
    <w:rsid w:val="003E1A7D"/>
    <w:rsid w:val="003E21F9"/>
    <w:rsid w:val="003E2F6A"/>
    <w:rsid w:val="003E3C34"/>
    <w:rsid w:val="003E5A17"/>
    <w:rsid w:val="003E6600"/>
    <w:rsid w:val="003F2ECA"/>
    <w:rsid w:val="003F3CB9"/>
    <w:rsid w:val="0041219D"/>
    <w:rsid w:val="00412B5A"/>
    <w:rsid w:val="00413011"/>
    <w:rsid w:val="00413AB8"/>
    <w:rsid w:val="00415B92"/>
    <w:rsid w:val="00415C11"/>
    <w:rsid w:val="00416599"/>
    <w:rsid w:val="0041739D"/>
    <w:rsid w:val="004207A1"/>
    <w:rsid w:val="004207D9"/>
    <w:rsid w:val="004234AA"/>
    <w:rsid w:val="00423590"/>
    <w:rsid w:val="004243F4"/>
    <w:rsid w:val="00426795"/>
    <w:rsid w:val="0043154C"/>
    <w:rsid w:val="00431CD2"/>
    <w:rsid w:val="0043202E"/>
    <w:rsid w:val="00432F75"/>
    <w:rsid w:val="00433D51"/>
    <w:rsid w:val="00435E65"/>
    <w:rsid w:val="00436886"/>
    <w:rsid w:val="00437370"/>
    <w:rsid w:val="00441AE6"/>
    <w:rsid w:val="0044671B"/>
    <w:rsid w:val="004510FD"/>
    <w:rsid w:val="00456EB2"/>
    <w:rsid w:val="004604E8"/>
    <w:rsid w:val="00460900"/>
    <w:rsid w:val="004621A2"/>
    <w:rsid w:val="004644B3"/>
    <w:rsid w:val="00471E92"/>
    <w:rsid w:val="00476072"/>
    <w:rsid w:val="004806CB"/>
    <w:rsid w:val="00482144"/>
    <w:rsid w:val="0048268B"/>
    <w:rsid w:val="004835AE"/>
    <w:rsid w:val="004900E7"/>
    <w:rsid w:val="00490414"/>
    <w:rsid w:val="00493C46"/>
    <w:rsid w:val="00493CD5"/>
    <w:rsid w:val="004942D5"/>
    <w:rsid w:val="004946DA"/>
    <w:rsid w:val="004958A5"/>
    <w:rsid w:val="00495AFE"/>
    <w:rsid w:val="00495F8D"/>
    <w:rsid w:val="00496955"/>
    <w:rsid w:val="004A08EF"/>
    <w:rsid w:val="004A189B"/>
    <w:rsid w:val="004A3C5E"/>
    <w:rsid w:val="004A3F92"/>
    <w:rsid w:val="004A4AED"/>
    <w:rsid w:val="004A5992"/>
    <w:rsid w:val="004A61FF"/>
    <w:rsid w:val="004B001F"/>
    <w:rsid w:val="004B0A92"/>
    <w:rsid w:val="004B4B45"/>
    <w:rsid w:val="004B4CCA"/>
    <w:rsid w:val="004B56AF"/>
    <w:rsid w:val="004C2D9B"/>
    <w:rsid w:val="004C3134"/>
    <w:rsid w:val="004C39C2"/>
    <w:rsid w:val="004D2A23"/>
    <w:rsid w:val="004D5438"/>
    <w:rsid w:val="004D55BC"/>
    <w:rsid w:val="004D6373"/>
    <w:rsid w:val="004D648E"/>
    <w:rsid w:val="004D6FA5"/>
    <w:rsid w:val="004E19F5"/>
    <w:rsid w:val="004E1A2F"/>
    <w:rsid w:val="004E266D"/>
    <w:rsid w:val="004E2A2C"/>
    <w:rsid w:val="004E4946"/>
    <w:rsid w:val="004E5ADD"/>
    <w:rsid w:val="004F0F73"/>
    <w:rsid w:val="004F4449"/>
    <w:rsid w:val="004F4876"/>
    <w:rsid w:val="004F4A78"/>
    <w:rsid w:val="004F50EB"/>
    <w:rsid w:val="004F5F83"/>
    <w:rsid w:val="004F612F"/>
    <w:rsid w:val="004F62AE"/>
    <w:rsid w:val="00500F5E"/>
    <w:rsid w:val="00502C16"/>
    <w:rsid w:val="00503166"/>
    <w:rsid w:val="00503EC1"/>
    <w:rsid w:val="005044DC"/>
    <w:rsid w:val="00504807"/>
    <w:rsid w:val="005062DF"/>
    <w:rsid w:val="00506B13"/>
    <w:rsid w:val="0051192E"/>
    <w:rsid w:val="00513FAF"/>
    <w:rsid w:val="00514220"/>
    <w:rsid w:val="00516896"/>
    <w:rsid w:val="005178B9"/>
    <w:rsid w:val="0052041A"/>
    <w:rsid w:val="005208E4"/>
    <w:rsid w:val="00520A8A"/>
    <w:rsid w:val="00520D45"/>
    <w:rsid w:val="0052221E"/>
    <w:rsid w:val="00523EEB"/>
    <w:rsid w:val="005243E8"/>
    <w:rsid w:val="00524691"/>
    <w:rsid w:val="00526141"/>
    <w:rsid w:val="00526C33"/>
    <w:rsid w:val="00527173"/>
    <w:rsid w:val="0053192E"/>
    <w:rsid w:val="005323EF"/>
    <w:rsid w:val="005352A3"/>
    <w:rsid w:val="00542C1F"/>
    <w:rsid w:val="00543657"/>
    <w:rsid w:val="005452E1"/>
    <w:rsid w:val="00545EF3"/>
    <w:rsid w:val="00546D94"/>
    <w:rsid w:val="00547280"/>
    <w:rsid w:val="005571C3"/>
    <w:rsid w:val="00557DB8"/>
    <w:rsid w:val="005605E2"/>
    <w:rsid w:val="00561F21"/>
    <w:rsid w:val="00564063"/>
    <w:rsid w:val="00567ABC"/>
    <w:rsid w:val="00567C21"/>
    <w:rsid w:val="00570F35"/>
    <w:rsid w:val="0058196E"/>
    <w:rsid w:val="005831F5"/>
    <w:rsid w:val="00583314"/>
    <w:rsid w:val="00585FCA"/>
    <w:rsid w:val="00591460"/>
    <w:rsid w:val="00591F3B"/>
    <w:rsid w:val="00596A18"/>
    <w:rsid w:val="00596BF0"/>
    <w:rsid w:val="00597702"/>
    <w:rsid w:val="005A0711"/>
    <w:rsid w:val="005A1B06"/>
    <w:rsid w:val="005A28AB"/>
    <w:rsid w:val="005B323C"/>
    <w:rsid w:val="005B3CD8"/>
    <w:rsid w:val="005B6E72"/>
    <w:rsid w:val="005C10E4"/>
    <w:rsid w:val="005C4034"/>
    <w:rsid w:val="005C40DD"/>
    <w:rsid w:val="005C5161"/>
    <w:rsid w:val="005C58EB"/>
    <w:rsid w:val="005D188D"/>
    <w:rsid w:val="005D1BD4"/>
    <w:rsid w:val="005D2B45"/>
    <w:rsid w:val="005D4B7F"/>
    <w:rsid w:val="005E1D06"/>
    <w:rsid w:val="005E32BF"/>
    <w:rsid w:val="005E4DED"/>
    <w:rsid w:val="005E75B7"/>
    <w:rsid w:val="005F408E"/>
    <w:rsid w:val="005F4466"/>
    <w:rsid w:val="005F4A95"/>
    <w:rsid w:val="005F68E1"/>
    <w:rsid w:val="005F6D50"/>
    <w:rsid w:val="005F706E"/>
    <w:rsid w:val="00611B35"/>
    <w:rsid w:val="00612AB9"/>
    <w:rsid w:val="0061325C"/>
    <w:rsid w:val="00614C60"/>
    <w:rsid w:val="006176E0"/>
    <w:rsid w:val="006203B1"/>
    <w:rsid w:val="00620BE5"/>
    <w:rsid w:val="00626DB8"/>
    <w:rsid w:val="006272D3"/>
    <w:rsid w:val="00627E99"/>
    <w:rsid w:val="006351F0"/>
    <w:rsid w:val="006405A3"/>
    <w:rsid w:val="006409D1"/>
    <w:rsid w:val="00641917"/>
    <w:rsid w:val="00642344"/>
    <w:rsid w:val="00642F38"/>
    <w:rsid w:val="00645EDD"/>
    <w:rsid w:val="00646A6B"/>
    <w:rsid w:val="00651333"/>
    <w:rsid w:val="0065400E"/>
    <w:rsid w:val="00655270"/>
    <w:rsid w:val="00656214"/>
    <w:rsid w:val="00662ABE"/>
    <w:rsid w:val="00664432"/>
    <w:rsid w:val="00666439"/>
    <w:rsid w:val="006667C6"/>
    <w:rsid w:val="006669BD"/>
    <w:rsid w:val="0066708F"/>
    <w:rsid w:val="0066780A"/>
    <w:rsid w:val="006678B6"/>
    <w:rsid w:val="00670162"/>
    <w:rsid w:val="0067052F"/>
    <w:rsid w:val="006707A4"/>
    <w:rsid w:val="0067099B"/>
    <w:rsid w:val="0067119B"/>
    <w:rsid w:val="00672093"/>
    <w:rsid w:val="0067357E"/>
    <w:rsid w:val="00675B38"/>
    <w:rsid w:val="0067636C"/>
    <w:rsid w:val="00676E1B"/>
    <w:rsid w:val="00677A51"/>
    <w:rsid w:val="00686FCA"/>
    <w:rsid w:val="00687AA9"/>
    <w:rsid w:val="00687D62"/>
    <w:rsid w:val="00690432"/>
    <w:rsid w:val="006907C1"/>
    <w:rsid w:val="00690999"/>
    <w:rsid w:val="00690DF8"/>
    <w:rsid w:val="006926D5"/>
    <w:rsid w:val="00692C34"/>
    <w:rsid w:val="00693141"/>
    <w:rsid w:val="00694426"/>
    <w:rsid w:val="00694D9C"/>
    <w:rsid w:val="00697BF7"/>
    <w:rsid w:val="006A2E29"/>
    <w:rsid w:val="006A40AB"/>
    <w:rsid w:val="006A481E"/>
    <w:rsid w:val="006A4C91"/>
    <w:rsid w:val="006A7E8E"/>
    <w:rsid w:val="006B4529"/>
    <w:rsid w:val="006B4D05"/>
    <w:rsid w:val="006B52DB"/>
    <w:rsid w:val="006B53AB"/>
    <w:rsid w:val="006B5A54"/>
    <w:rsid w:val="006B7467"/>
    <w:rsid w:val="006B7517"/>
    <w:rsid w:val="006B7937"/>
    <w:rsid w:val="006C078D"/>
    <w:rsid w:val="006C3BF1"/>
    <w:rsid w:val="006C407C"/>
    <w:rsid w:val="006C50F2"/>
    <w:rsid w:val="006D01D0"/>
    <w:rsid w:val="006D362E"/>
    <w:rsid w:val="006D50C8"/>
    <w:rsid w:val="006D5C12"/>
    <w:rsid w:val="006E3135"/>
    <w:rsid w:val="006E3F73"/>
    <w:rsid w:val="006E4AD6"/>
    <w:rsid w:val="006E4EF6"/>
    <w:rsid w:val="006E5DB8"/>
    <w:rsid w:val="006E653F"/>
    <w:rsid w:val="006E6B4C"/>
    <w:rsid w:val="006E71DE"/>
    <w:rsid w:val="006E7AF4"/>
    <w:rsid w:val="006F027A"/>
    <w:rsid w:val="006F19F9"/>
    <w:rsid w:val="006F1C6D"/>
    <w:rsid w:val="006F2A80"/>
    <w:rsid w:val="006F35D2"/>
    <w:rsid w:val="006F48FC"/>
    <w:rsid w:val="006F7057"/>
    <w:rsid w:val="006F7059"/>
    <w:rsid w:val="007019DC"/>
    <w:rsid w:val="00704508"/>
    <w:rsid w:val="007058BC"/>
    <w:rsid w:val="00706F55"/>
    <w:rsid w:val="00707247"/>
    <w:rsid w:val="00707A41"/>
    <w:rsid w:val="0071482E"/>
    <w:rsid w:val="00714ABB"/>
    <w:rsid w:val="00717594"/>
    <w:rsid w:val="007251CE"/>
    <w:rsid w:val="00726F0E"/>
    <w:rsid w:val="00730B71"/>
    <w:rsid w:val="0073113A"/>
    <w:rsid w:val="007312D6"/>
    <w:rsid w:val="007327DD"/>
    <w:rsid w:val="00733B91"/>
    <w:rsid w:val="007366BE"/>
    <w:rsid w:val="007369FD"/>
    <w:rsid w:val="00737CFC"/>
    <w:rsid w:val="007405B2"/>
    <w:rsid w:val="007430BB"/>
    <w:rsid w:val="007431B3"/>
    <w:rsid w:val="00745F88"/>
    <w:rsid w:val="00750CA0"/>
    <w:rsid w:val="00751B92"/>
    <w:rsid w:val="00751EC2"/>
    <w:rsid w:val="00752777"/>
    <w:rsid w:val="0075301F"/>
    <w:rsid w:val="00754837"/>
    <w:rsid w:val="0075497F"/>
    <w:rsid w:val="00756066"/>
    <w:rsid w:val="007647EE"/>
    <w:rsid w:val="00767C6C"/>
    <w:rsid w:val="00770375"/>
    <w:rsid w:val="007706EE"/>
    <w:rsid w:val="00770F60"/>
    <w:rsid w:val="0077107B"/>
    <w:rsid w:val="0077734A"/>
    <w:rsid w:val="00777F56"/>
    <w:rsid w:val="00781FE8"/>
    <w:rsid w:val="00785B62"/>
    <w:rsid w:val="00787581"/>
    <w:rsid w:val="0079016D"/>
    <w:rsid w:val="00791F5B"/>
    <w:rsid w:val="007969EB"/>
    <w:rsid w:val="00796D48"/>
    <w:rsid w:val="007A0469"/>
    <w:rsid w:val="007A1F5A"/>
    <w:rsid w:val="007A4A07"/>
    <w:rsid w:val="007A4F94"/>
    <w:rsid w:val="007A551E"/>
    <w:rsid w:val="007A55F4"/>
    <w:rsid w:val="007A688D"/>
    <w:rsid w:val="007B2EE7"/>
    <w:rsid w:val="007B49CF"/>
    <w:rsid w:val="007B7834"/>
    <w:rsid w:val="007C3024"/>
    <w:rsid w:val="007C4A10"/>
    <w:rsid w:val="007C4D1D"/>
    <w:rsid w:val="007C4DE7"/>
    <w:rsid w:val="007C56DA"/>
    <w:rsid w:val="007C689F"/>
    <w:rsid w:val="007D33FB"/>
    <w:rsid w:val="007D3AA8"/>
    <w:rsid w:val="007D4AF9"/>
    <w:rsid w:val="007D7BD4"/>
    <w:rsid w:val="007D7CFA"/>
    <w:rsid w:val="007E03D6"/>
    <w:rsid w:val="007E0434"/>
    <w:rsid w:val="007E20B0"/>
    <w:rsid w:val="007E2A9A"/>
    <w:rsid w:val="007E2B86"/>
    <w:rsid w:val="007E2BD1"/>
    <w:rsid w:val="007E3FD2"/>
    <w:rsid w:val="007E4E6C"/>
    <w:rsid w:val="007E5B1D"/>
    <w:rsid w:val="007E6BBC"/>
    <w:rsid w:val="007E6E68"/>
    <w:rsid w:val="007E79B2"/>
    <w:rsid w:val="007F058D"/>
    <w:rsid w:val="007F1EB5"/>
    <w:rsid w:val="007F34C8"/>
    <w:rsid w:val="007F5A19"/>
    <w:rsid w:val="007F63EA"/>
    <w:rsid w:val="008114A9"/>
    <w:rsid w:val="00811CA6"/>
    <w:rsid w:val="0081236A"/>
    <w:rsid w:val="00812EC1"/>
    <w:rsid w:val="00813621"/>
    <w:rsid w:val="00813DB7"/>
    <w:rsid w:val="00814C4E"/>
    <w:rsid w:val="008174D7"/>
    <w:rsid w:val="008216A9"/>
    <w:rsid w:val="008234E6"/>
    <w:rsid w:val="00825961"/>
    <w:rsid w:val="008275FE"/>
    <w:rsid w:val="008278B9"/>
    <w:rsid w:val="00834660"/>
    <w:rsid w:val="008363C8"/>
    <w:rsid w:val="008378B7"/>
    <w:rsid w:val="00840E5A"/>
    <w:rsid w:val="00842531"/>
    <w:rsid w:val="008425C4"/>
    <w:rsid w:val="00843789"/>
    <w:rsid w:val="00846F7D"/>
    <w:rsid w:val="00850DA0"/>
    <w:rsid w:val="0085199B"/>
    <w:rsid w:val="00851B2B"/>
    <w:rsid w:val="0085315B"/>
    <w:rsid w:val="00856A49"/>
    <w:rsid w:val="008628A8"/>
    <w:rsid w:val="00864D10"/>
    <w:rsid w:val="00865950"/>
    <w:rsid w:val="0087146C"/>
    <w:rsid w:val="008728C7"/>
    <w:rsid w:val="008737BD"/>
    <w:rsid w:val="00875065"/>
    <w:rsid w:val="008776C0"/>
    <w:rsid w:val="008867F2"/>
    <w:rsid w:val="0089187A"/>
    <w:rsid w:val="00892C0C"/>
    <w:rsid w:val="00894655"/>
    <w:rsid w:val="008978C9"/>
    <w:rsid w:val="008A0A35"/>
    <w:rsid w:val="008A2847"/>
    <w:rsid w:val="008A2E23"/>
    <w:rsid w:val="008B09DD"/>
    <w:rsid w:val="008B5159"/>
    <w:rsid w:val="008B6E10"/>
    <w:rsid w:val="008C22D5"/>
    <w:rsid w:val="008C26D7"/>
    <w:rsid w:val="008C301D"/>
    <w:rsid w:val="008C3B72"/>
    <w:rsid w:val="008C3F5F"/>
    <w:rsid w:val="008C44B8"/>
    <w:rsid w:val="008D0328"/>
    <w:rsid w:val="008D2D98"/>
    <w:rsid w:val="008D31B9"/>
    <w:rsid w:val="008D69F1"/>
    <w:rsid w:val="008D798D"/>
    <w:rsid w:val="008E0361"/>
    <w:rsid w:val="008E1533"/>
    <w:rsid w:val="008E2125"/>
    <w:rsid w:val="008E5FDA"/>
    <w:rsid w:val="008E752B"/>
    <w:rsid w:val="008E7A21"/>
    <w:rsid w:val="008F3B65"/>
    <w:rsid w:val="008F6B7A"/>
    <w:rsid w:val="008F724A"/>
    <w:rsid w:val="00903DE7"/>
    <w:rsid w:val="00904BEC"/>
    <w:rsid w:val="0090577F"/>
    <w:rsid w:val="00906511"/>
    <w:rsid w:val="00910446"/>
    <w:rsid w:val="00913607"/>
    <w:rsid w:val="00920A16"/>
    <w:rsid w:val="0092477D"/>
    <w:rsid w:val="00925410"/>
    <w:rsid w:val="00926A05"/>
    <w:rsid w:val="00927951"/>
    <w:rsid w:val="009324E6"/>
    <w:rsid w:val="009325E3"/>
    <w:rsid w:val="009328A6"/>
    <w:rsid w:val="00933006"/>
    <w:rsid w:val="009334D2"/>
    <w:rsid w:val="00935F76"/>
    <w:rsid w:val="0093660D"/>
    <w:rsid w:val="00936FD5"/>
    <w:rsid w:val="00940DEA"/>
    <w:rsid w:val="00946A00"/>
    <w:rsid w:val="00947EB6"/>
    <w:rsid w:val="00950772"/>
    <w:rsid w:val="00952142"/>
    <w:rsid w:val="009524C3"/>
    <w:rsid w:val="00952711"/>
    <w:rsid w:val="009527DE"/>
    <w:rsid w:val="00953B72"/>
    <w:rsid w:val="00955404"/>
    <w:rsid w:val="00957B6A"/>
    <w:rsid w:val="00960774"/>
    <w:rsid w:val="009640F2"/>
    <w:rsid w:val="0096647B"/>
    <w:rsid w:val="00973F22"/>
    <w:rsid w:val="00974017"/>
    <w:rsid w:val="009822A0"/>
    <w:rsid w:val="00983FA1"/>
    <w:rsid w:val="00984A89"/>
    <w:rsid w:val="00984E11"/>
    <w:rsid w:val="0098501D"/>
    <w:rsid w:val="00986DC1"/>
    <w:rsid w:val="009917E3"/>
    <w:rsid w:val="00996FBB"/>
    <w:rsid w:val="009973F7"/>
    <w:rsid w:val="009A17EC"/>
    <w:rsid w:val="009A3AEC"/>
    <w:rsid w:val="009A408C"/>
    <w:rsid w:val="009B0771"/>
    <w:rsid w:val="009B0CBA"/>
    <w:rsid w:val="009B3128"/>
    <w:rsid w:val="009B74D1"/>
    <w:rsid w:val="009C0541"/>
    <w:rsid w:val="009C06F4"/>
    <w:rsid w:val="009C5794"/>
    <w:rsid w:val="009D0CE2"/>
    <w:rsid w:val="009D28E8"/>
    <w:rsid w:val="009D2E59"/>
    <w:rsid w:val="009D2F49"/>
    <w:rsid w:val="009D3151"/>
    <w:rsid w:val="009D4E86"/>
    <w:rsid w:val="009E18C4"/>
    <w:rsid w:val="009E1AB0"/>
    <w:rsid w:val="009E2639"/>
    <w:rsid w:val="009E336C"/>
    <w:rsid w:val="009E4B29"/>
    <w:rsid w:val="009E4CF4"/>
    <w:rsid w:val="009E4F9B"/>
    <w:rsid w:val="009F11AD"/>
    <w:rsid w:val="009F7393"/>
    <w:rsid w:val="00A01C8B"/>
    <w:rsid w:val="00A01CD8"/>
    <w:rsid w:val="00A01E04"/>
    <w:rsid w:val="00A061C6"/>
    <w:rsid w:val="00A16495"/>
    <w:rsid w:val="00A1772E"/>
    <w:rsid w:val="00A20D67"/>
    <w:rsid w:val="00A21344"/>
    <w:rsid w:val="00A22D30"/>
    <w:rsid w:val="00A233C0"/>
    <w:rsid w:val="00A25526"/>
    <w:rsid w:val="00A25E54"/>
    <w:rsid w:val="00A31387"/>
    <w:rsid w:val="00A35518"/>
    <w:rsid w:val="00A422A0"/>
    <w:rsid w:val="00A44A72"/>
    <w:rsid w:val="00A45F5D"/>
    <w:rsid w:val="00A50B8E"/>
    <w:rsid w:val="00A53981"/>
    <w:rsid w:val="00A56CB2"/>
    <w:rsid w:val="00A605C7"/>
    <w:rsid w:val="00A61C2D"/>
    <w:rsid w:val="00A62452"/>
    <w:rsid w:val="00A62EC1"/>
    <w:rsid w:val="00A64231"/>
    <w:rsid w:val="00A67D46"/>
    <w:rsid w:val="00A70D51"/>
    <w:rsid w:val="00A71196"/>
    <w:rsid w:val="00A7271D"/>
    <w:rsid w:val="00A74C66"/>
    <w:rsid w:val="00A7556A"/>
    <w:rsid w:val="00A764C6"/>
    <w:rsid w:val="00A77006"/>
    <w:rsid w:val="00A83B86"/>
    <w:rsid w:val="00A83C38"/>
    <w:rsid w:val="00A84CB0"/>
    <w:rsid w:val="00A84F98"/>
    <w:rsid w:val="00A9046A"/>
    <w:rsid w:val="00A90703"/>
    <w:rsid w:val="00A91736"/>
    <w:rsid w:val="00A921D9"/>
    <w:rsid w:val="00A92638"/>
    <w:rsid w:val="00A929A5"/>
    <w:rsid w:val="00A95BB2"/>
    <w:rsid w:val="00A97D8A"/>
    <w:rsid w:val="00AA0E77"/>
    <w:rsid w:val="00AA48C6"/>
    <w:rsid w:val="00AA54DC"/>
    <w:rsid w:val="00AA65BB"/>
    <w:rsid w:val="00AC3594"/>
    <w:rsid w:val="00AC43D9"/>
    <w:rsid w:val="00AC467A"/>
    <w:rsid w:val="00AC5148"/>
    <w:rsid w:val="00AC6C29"/>
    <w:rsid w:val="00AC703A"/>
    <w:rsid w:val="00AD0301"/>
    <w:rsid w:val="00AD15BC"/>
    <w:rsid w:val="00AD1873"/>
    <w:rsid w:val="00AD1BB9"/>
    <w:rsid w:val="00AD2E5F"/>
    <w:rsid w:val="00AD4DAB"/>
    <w:rsid w:val="00AE0EDD"/>
    <w:rsid w:val="00AE2A3D"/>
    <w:rsid w:val="00AE2ACD"/>
    <w:rsid w:val="00AE4134"/>
    <w:rsid w:val="00AE4E8D"/>
    <w:rsid w:val="00AE67F7"/>
    <w:rsid w:val="00AF15E8"/>
    <w:rsid w:val="00AF23FB"/>
    <w:rsid w:val="00B02624"/>
    <w:rsid w:val="00B02D0F"/>
    <w:rsid w:val="00B10603"/>
    <w:rsid w:val="00B13079"/>
    <w:rsid w:val="00B130CC"/>
    <w:rsid w:val="00B16C5A"/>
    <w:rsid w:val="00B17B15"/>
    <w:rsid w:val="00B211BF"/>
    <w:rsid w:val="00B235FB"/>
    <w:rsid w:val="00B23848"/>
    <w:rsid w:val="00B244DC"/>
    <w:rsid w:val="00B268A8"/>
    <w:rsid w:val="00B27091"/>
    <w:rsid w:val="00B2795C"/>
    <w:rsid w:val="00B331AB"/>
    <w:rsid w:val="00B331BE"/>
    <w:rsid w:val="00B34ED8"/>
    <w:rsid w:val="00B35F2A"/>
    <w:rsid w:val="00B3630C"/>
    <w:rsid w:val="00B36A95"/>
    <w:rsid w:val="00B41A73"/>
    <w:rsid w:val="00B43E08"/>
    <w:rsid w:val="00B4577D"/>
    <w:rsid w:val="00B46069"/>
    <w:rsid w:val="00B467F9"/>
    <w:rsid w:val="00B4700B"/>
    <w:rsid w:val="00B4738A"/>
    <w:rsid w:val="00B47D63"/>
    <w:rsid w:val="00B50286"/>
    <w:rsid w:val="00B51ED8"/>
    <w:rsid w:val="00B5334D"/>
    <w:rsid w:val="00B55D7E"/>
    <w:rsid w:val="00B62F12"/>
    <w:rsid w:val="00B63455"/>
    <w:rsid w:val="00B634A6"/>
    <w:rsid w:val="00B64573"/>
    <w:rsid w:val="00B65ABB"/>
    <w:rsid w:val="00B66676"/>
    <w:rsid w:val="00B71FD5"/>
    <w:rsid w:val="00B72218"/>
    <w:rsid w:val="00B7661A"/>
    <w:rsid w:val="00B8306B"/>
    <w:rsid w:val="00B86A39"/>
    <w:rsid w:val="00B910D8"/>
    <w:rsid w:val="00B916A3"/>
    <w:rsid w:val="00B91B1C"/>
    <w:rsid w:val="00B967F5"/>
    <w:rsid w:val="00BA2A4A"/>
    <w:rsid w:val="00BA4D95"/>
    <w:rsid w:val="00BA50A8"/>
    <w:rsid w:val="00BA6296"/>
    <w:rsid w:val="00BA6321"/>
    <w:rsid w:val="00BB38EB"/>
    <w:rsid w:val="00BB5316"/>
    <w:rsid w:val="00BB6A8F"/>
    <w:rsid w:val="00BC24DE"/>
    <w:rsid w:val="00BC5169"/>
    <w:rsid w:val="00BC5F23"/>
    <w:rsid w:val="00BC7440"/>
    <w:rsid w:val="00BD1820"/>
    <w:rsid w:val="00BD57EA"/>
    <w:rsid w:val="00BD6A3C"/>
    <w:rsid w:val="00BD757F"/>
    <w:rsid w:val="00BE0489"/>
    <w:rsid w:val="00BE366A"/>
    <w:rsid w:val="00BF0E24"/>
    <w:rsid w:val="00BF1973"/>
    <w:rsid w:val="00BF78B2"/>
    <w:rsid w:val="00C00D40"/>
    <w:rsid w:val="00C00FAD"/>
    <w:rsid w:val="00C024C8"/>
    <w:rsid w:val="00C0316A"/>
    <w:rsid w:val="00C0538D"/>
    <w:rsid w:val="00C0539B"/>
    <w:rsid w:val="00C12361"/>
    <w:rsid w:val="00C1239A"/>
    <w:rsid w:val="00C127A9"/>
    <w:rsid w:val="00C13D19"/>
    <w:rsid w:val="00C14091"/>
    <w:rsid w:val="00C149A4"/>
    <w:rsid w:val="00C14CCA"/>
    <w:rsid w:val="00C16831"/>
    <w:rsid w:val="00C17FF1"/>
    <w:rsid w:val="00C25926"/>
    <w:rsid w:val="00C27E77"/>
    <w:rsid w:val="00C31057"/>
    <w:rsid w:val="00C334B8"/>
    <w:rsid w:val="00C3359D"/>
    <w:rsid w:val="00C37F67"/>
    <w:rsid w:val="00C418F4"/>
    <w:rsid w:val="00C429B7"/>
    <w:rsid w:val="00C4348E"/>
    <w:rsid w:val="00C4611B"/>
    <w:rsid w:val="00C505AB"/>
    <w:rsid w:val="00C5184B"/>
    <w:rsid w:val="00C63242"/>
    <w:rsid w:val="00C6412F"/>
    <w:rsid w:val="00C67855"/>
    <w:rsid w:val="00C709E6"/>
    <w:rsid w:val="00C7178D"/>
    <w:rsid w:val="00C7452A"/>
    <w:rsid w:val="00C748FB"/>
    <w:rsid w:val="00C76AC2"/>
    <w:rsid w:val="00C80A70"/>
    <w:rsid w:val="00C82551"/>
    <w:rsid w:val="00C9256F"/>
    <w:rsid w:val="00C962F3"/>
    <w:rsid w:val="00C9704D"/>
    <w:rsid w:val="00CA16B2"/>
    <w:rsid w:val="00CA2F53"/>
    <w:rsid w:val="00CA57E2"/>
    <w:rsid w:val="00CA6096"/>
    <w:rsid w:val="00CA666A"/>
    <w:rsid w:val="00CA78C3"/>
    <w:rsid w:val="00CB091D"/>
    <w:rsid w:val="00CB3327"/>
    <w:rsid w:val="00CB4C98"/>
    <w:rsid w:val="00CC2991"/>
    <w:rsid w:val="00CC54BD"/>
    <w:rsid w:val="00CC7BEB"/>
    <w:rsid w:val="00CD02EA"/>
    <w:rsid w:val="00CD14AF"/>
    <w:rsid w:val="00CD30EB"/>
    <w:rsid w:val="00CD40C9"/>
    <w:rsid w:val="00CD4625"/>
    <w:rsid w:val="00CD53AE"/>
    <w:rsid w:val="00CD66CF"/>
    <w:rsid w:val="00CD6DB8"/>
    <w:rsid w:val="00CE00AF"/>
    <w:rsid w:val="00CE0B74"/>
    <w:rsid w:val="00CE27F3"/>
    <w:rsid w:val="00CE386F"/>
    <w:rsid w:val="00CE435A"/>
    <w:rsid w:val="00CE4F61"/>
    <w:rsid w:val="00CE57BC"/>
    <w:rsid w:val="00CE7EC0"/>
    <w:rsid w:val="00CF20F9"/>
    <w:rsid w:val="00CF261A"/>
    <w:rsid w:val="00CF3AE2"/>
    <w:rsid w:val="00CF55CE"/>
    <w:rsid w:val="00CF61AC"/>
    <w:rsid w:val="00CF74C4"/>
    <w:rsid w:val="00D02A56"/>
    <w:rsid w:val="00D03324"/>
    <w:rsid w:val="00D035E1"/>
    <w:rsid w:val="00D056E1"/>
    <w:rsid w:val="00D069DF"/>
    <w:rsid w:val="00D075D6"/>
    <w:rsid w:val="00D124E5"/>
    <w:rsid w:val="00D133B4"/>
    <w:rsid w:val="00D15375"/>
    <w:rsid w:val="00D15AAF"/>
    <w:rsid w:val="00D17000"/>
    <w:rsid w:val="00D20DCB"/>
    <w:rsid w:val="00D21338"/>
    <w:rsid w:val="00D25FB4"/>
    <w:rsid w:val="00D26CA0"/>
    <w:rsid w:val="00D3084A"/>
    <w:rsid w:val="00D31754"/>
    <w:rsid w:val="00D32313"/>
    <w:rsid w:val="00D32C5D"/>
    <w:rsid w:val="00D36AB4"/>
    <w:rsid w:val="00D44043"/>
    <w:rsid w:val="00D53260"/>
    <w:rsid w:val="00D535C5"/>
    <w:rsid w:val="00D56A1A"/>
    <w:rsid w:val="00D5704D"/>
    <w:rsid w:val="00D5713A"/>
    <w:rsid w:val="00D6629C"/>
    <w:rsid w:val="00D66EB9"/>
    <w:rsid w:val="00D72576"/>
    <w:rsid w:val="00D733D4"/>
    <w:rsid w:val="00D76DD4"/>
    <w:rsid w:val="00D810FE"/>
    <w:rsid w:val="00D84187"/>
    <w:rsid w:val="00D846C3"/>
    <w:rsid w:val="00D90437"/>
    <w:rsid w:val="00D92EE0"/>
    <w:rsid w:val="00D93DA8"/>
    <w:rsid w:val="00D940AD"/>
    <w:rsid w:val="00D948C3"/>
    <w:rsid w:val="00D95B1D"/>
    <w:rsid w:val="00D97A46"/>
    <w:rsid w:val="00DA14AE"/>
    <w:rsid w:val="00DA7C0E"/>
    <w:rsid w:val="00DB098C"/>
    <w:rsid w:val="00DB191B"/>
    <w:rsid w:val="00DB2B73"/>
    <w:rsid w:val="00DB3213"/>
    <w:rsid w:val="00DB36B5"/>
    <w:rsid w:val="00DB3E56"/>
    <w:rsid w:val="00DB7477"/>
    <w:rsid w:val="00DC3BE0"/>
    <w:rsid w:val="00DC695B"/>
    <w:rsid w:val="00DD0C1B"/>
    <w:rsid w:val="00DD27B3"/>
    <w:rsid w:val="00DD3E95"/>
    <w:rsid w:val="00DD4530"/>
    <w:rsid w:val="00DD46E1"/>
    <w:rsid w:val="00DD676A"/>
    <w:rsid w:val="00DE0F3B"/>
    <w:rsid w:val="00DF0777"/>
    <w:rsid w:val="00DF2BA2"/>
    <w:rsid w:val="00DF4A7D"/>
    <w:rsid w:val="00DF608C"/>
    <w:rsid w:val="00DF7733"/>
    <w:rsid w:val="00DF776C"/>
    <w:rsid w:val="00E01306"/>
    <w:rsid w:val="00E016E6"/>
    <w:rsid w:val="00E05F9B"/>
    <w:rsid w:val="00E0629B"/>
    <w:rsid w:val="00E12688"/>
    <w:rsid w:val="00E127B4"/>
    <w:rsid w:val="00E139E1"/>
    <w:rsid w:val="00E15256"/>
    <w:rsid w:val="00E152B7"/>
    <w:rsid w:val="00E15F89"/>
    <w:rsid w:val="00E173FF"/>
    <w:rsid w:val="00E17591"/>
    <w:rsid w:val="00E175CC"/>
    <w:rsid w:val="00E20C16"/>
    <w:rsid w:val="00E22698"/>
    <w:rsid w:val="00E22DB5"/>
    <w:rsid w:val="00E250C1"/>
    <w:rsid w:val="00E34C75"/>
    <w:rsid w:val="00E364D5"/>
    <w:rsid w:val="00E50CEE"/>
    <w:rsid w:val="00E5101F"/>
    <w:rsid w:val="00E540AC"/>
    <w:rsid w:val="00E558B9"/>
    <w:rsid w:val="00E55DD4"/>
    <w:rsid w:val="00E56FC5"/>
    <w:rsid w:val="00E60CE4"/>
    <w:rsid w:val="00E610E9"/>
    <w:rsid w:val="00E63062"/>
    <w:rsid w:val="00E64836"/>
    <w:rsid w:val="00E654D8"/>
    <w:rsid w:val="00E67436"/>
    <w:rsid w:val="00E70E1F"/>
    <w:rsid w:val="00E7109F"/>
    <w:rsid w:val="00E7276B"/>
    <w:rsid w:val="00E76818"/>
    <w:rsid w:val="00E77F09"/>
    <w:rsid w:val="00E85DB4"/>
    <w:rsid w:val="00E86DAD"/>
    <w:rsid w:val="00E923B9"/>
    <w:rsid w:val="00E929B7"/>
    <w:rsid w:val="00E93085"/>
    <w:rsid w:val="00E94D14"/>
    <w:rsid w:val="00EA017B"/>
    <w:rsid w:val="00EA44EC"/>
    <w:rsid w:val="00EA6DFC"/>
    <w:rsid w:val="00EA7C4C"/>
    <w:rsid w:val="00EB00E6"/>
    <w:rsid w:val="00EB0300"/>
    <w:rsid w:val="00EB2BE5"/>
    <w:rsid w:val="00EB4CF9"/>
    <w:rsid w:val="00EB7423"/>
    <w:rsid w:val="00EC0E74"/>
    <w:rsid w:val="00EC3FD1"/>
    <w:rsid w:val="00EC4F79"/>
    <w:rsid w:val="00EC5CE5"/>
    <w:rsid w:val="00ED1D99"/>
    <w:rsid w:val="00ED47C5"/>
    <w:rsid w:val="00ED4A99"/>
    <w:rsid w:val="00ED68B8"/>
    <w:rsid w:val="00ED6916"/>
    <w:rsid w:val="00EE1B0B"/>
    <w:rsid w:val="00EE4B4A"/>
    <w:rsid w:val="00EE6026"/>
    <w:rsid w:val="00EF29A3"/>
    <w:rsid w:val="00EF3E24"/>
    <w:rsid w:val="00EF554A"/>
    <w:rsid w:val="00EF72A9"/>
    <w:rsid w:val="00F02694"/>
    <w:rsid w:val="00F04662"/>
    <w:rsid w:val="00F0556D"/>
    <w:rsid w:val="00F118FC"/>
    <w:rsid w:val="00F17AB2"/>
    <w:rsid w:val="00F17C85"/>
    <w:rsid w:val="00F210D6"/>
    <w:rsid w:val="00F22D68"/>
    <w:rsid w:val="00F233A7"/>
    <w:rsid w:val="00F263F2"/>
    <w:rsid w:val="00F27D4C"/>
    <w:rsid w:val="00F300A3"/>
    <w:rsid w:val="00F30233"/>
    <w:rsid w:val="00F31BC5"/>
    <w:rsid w:val="00F366B4"/>
    <w:rsid w:val="00F3776D"/>
    <w:rsid w:val="00F409D1"/>
    <w:rsid w:val="00F431D7"/>
    <w:rsid w:val="00F50635"/>
    <w:rsid w:val="00F50C5A"/>
    <w:rsid w:val="00F54717"/>
    <w:rsid w:val="00F554F4"/>
    <w:rsid w:val="00F5723D"/>
    <w:rsid w:val="00F57F01"/>
    <w:rsid w:val="00F612C9"/>
    <w:rsid w:val="00F62DCE"/>
    <w:rsid w:val="00F63F85"/>
    <w:rsid w:val="00F6719C"/>
    <w:rsid w:val="00F679E2"/>
    <w:rsid w:val="00F801A0"/>
    <w:rsid w:val="00F820E0"/>
    <w:rsid w:val="00F865F0"/>
    <w:rsid w:val="00F86959"/>
    <w:rsid w:val="00F91653"/>
    <w:rsid w:val="00F95EF8"/>
    <w:rsid w:val="00F97896"/>
    <w:rsid w:val="00FA00AA"/>
    <w:rsid w:val="00FA0483"/>
    <w:rsid w:val="00FA21E5"/>
    <w:rsid w:val="00FA280E"/>
    <w:rsid w:val="00FA43A1"/>
    <w:rsid w:val="00FA46FA"/>
    <w:rsid w:val="00FA5683"/>
    <w:rsid w:val="00FB10F0"/>
    <w:rsid w:val="00FB18A1"/>
    <w:rsid w:val="00FB371F"/>
    <w:rsid w:val="00FB4944"/>
    <w:rsid w:val="00FB53A6"/>
    <w:rsid w:val="00FB55F1"/>
    <w:rsid w:val="00FC021A"/>
    <w:rsid w:val="00FC0824"/>
    <w:rsid w:val="00FC56CB"/>
    <w:rsid w:val="00FD3731"/>
    <w:rsid w:val="00FE0F7A"/>
    <w:rsid w:val="00FE2339"/>
    <w:rsid w:val="00FE2ACF"/>
    <w:rsid w:val="00FE3B0F"/>
    <w:rsid w:val="00FE7F09"/>
    <w:rsid w:val="00FF037E"/>
    <w:rsid w:val="00FF1199"/>
    <w:rsid w:val="00FF3BEC"/>
    <w:rsid w:val="00FF42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036C43"/>
  <w15:docId w15:val="{74B9F334-9D55-48E8-83B2-DFFF9F40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0EB"/>
    <w:rPr>
      <w:rFonts w:ascii="Arial" w:hAnsi="Arial" w:cs="Arial"/>
      <w:lang w:val="en-GB"/>
    </w:rPr>
  </w:style>
  <w:style w:type="paragraph" w:styleId="Heading1">
    <w:name w:val="heading 1"/>
    <w:basedOn w:val="Normal"/>
    <w:next w:val="Normal"/>
    <w:link w:val="Heading1Char"/>
    <w:uiPriority w:val="99"/>
    <w:qFormat/>
    <w:rsid w:val="00626DB8"/>
    <w:pPr>
      <w:keepNext/>
      <w:spacing w:before="240" w:after="60"/>
      <w:outlineLvl w:val="0"/>
    </w:pPr>
    <w:rPr>
      <w:rFonts w:ascii="Cambria" w:hAnsi="Cambria" w:cs="Times New Roman"/>
      <w:b/>
      <w:kern w:val="32"/>
      <w:sz w:val="32"/>
    </w:rPr>
  </w:style>
  <w:style w:type="paragraph" w:styleId="Heading2">
    <w:name w:val="heading 2"/>
    <w:basedOn w:val="Normal"/>
    <w:next w:val="Normal"/>
    <w:link w:val="Heading2Char"/>
    <w:uiPriority w:val="99"/>
    <w:qFormat/>
    <w:rsid w:val="00626DB8"/>
    <w:pPr>
      <w:keepNext/>
      <w:spacing w:before="240" w:after="60"/>
      <w:outlineLvl w:val="1"/>
    </w:pPr>
    <w:rPr>
      <w:rFonts w:ascii="Cambria" w:hAnsi="Cambria" w:cs="Times New Roman"/>
      <w:b/>
      <w:i/>
      <w:sz w:val="28"/>
    </w:rPr>
  </w:style>
  <w:style w:type="paragraph" w:styleId="Heading3">
    <w:name w:val="heading 3"/>
    <w:basedOn w:val="Normal"/>
    <w:next w:val="Normal"/>
    <w:link w:val="Heading3Char"/>
    <w:uiPriority w:val="99"/>
    <w:qFormat/>
    <w:rsid w:val="00626DB8"/>
    <w:pPr>
      <w:keepNext/>
      <w:spacing w:before="240" w:after="60"/>
      <w:outlineLvl w:val="2"/>
    </w:pPr>
    <w:rPr>
      <w:rFonts w:ascii="Cambria" w:hAnsi="Cambria" w:cs="Times New Roman"/>
      <w:b/>
      <w:sz w:val="26"/>
    </w:rPr>
  </w:style>
  <w:style w:type="paragraph" w:styleId="Heading5">
    <w:name w:val="heading 5"/>
    <w:basedOn w:val="Normal"/>
    <w:next w:val="Normal"/>
    <w:link w:val="Heading5Char"/>
    <w:uiPriority w:val="99"/>
    <w:qFormat/>
    <w:rsid w:val="002577D1"/>
    <w:pPr>
      <w:spacing w:before="240" w:after="60"/>
      <w:outlineLvl w:val="4"/>
    </w:pPr>
    <w:rPr>
      <w:rFonts w:ascii="Calibri" w:hAnsi="Calibri" w:cs="Times New Roman"/>
      <w:b/>
      <w:i/>
      <w:sz w:val="26"/>
    </w:rPr>
  </w:style>
  <w:style w:type="paragraph" w:styleId="Heading6">
    <w:name w:val="heading 6"/>
    <w:basedOn w:val="Normal"/>
    <w:next w:val="Normal"/>
    <w:link w:val="Heading6Char"/>
    <w:uiPriority w:val="99"/>
    <w:qFormat/>
    <w:rsid w:val="002577D1"/>
    <w:pPr>
      <w:spacing w:before="240" w:after="60"/>
      <w:outlineLvl w:val="5"/>
    </w:pPr>
    <w:rPr>
      <w:rFonts w:ascii="Calibri" w:hAnsi="Calibri" w:cs="Times New Roman"/>
      <w:b/>
    </w:rPr>
  </w:style>
  <w:style w:type="paragraph" w:styleId="Heading7">
    <w:name w:val="heading 7"/>
    <w:basedOn w:val="Normal"/>
    <w:next w:val="Normal"/>
    <w:link w:val="Heading7Char"/>
    <w:uiPriority w:val="99"/>
    <w:qFormat/>
    <w:rsid w:val="005C4034"/>
    <w:pPr>
      <w:spacing w:before="240" w:after="60"/>
      <w:outlineLvl w:val="6"/>
    </w:pPr>
    <w:rPr>
      <w:rFonts w:ascii="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40BA0"/>
    <w:rPr>
      <w:rFonts w:ascii="Cambria" w:hAnsi="Cambria" w:cs="Times New Roman"/>
      <w:b/>
      <w:kern w:val="32"/>
      <w:sz w:val="32"/>
    </w:rPr>
  </w:style>
  <w:style w:type="character" w:customStyle="1" w:styleId="Heading2Char">
    <w:name w:val="Heading 2 Char"/>
    <w:link w:val="Heading2"/>
    <w:uiPriority w:val="99"/>
    <w:semiHidden/>
    <w:locked/>
    <w:rsid w:val="00040BA0"/>
    <w:rPr>
      <w:rFonts w:ascii="Cambria" w:hAnsi="Cambria" w:cs="Times New Roman"/>
      <w:b/>
      <w:i/>
      <w:sz w:val="28"/>
    </w:rPr>
  </w:style>
  <w:style w:type="character" w:customStyle="1" w:styleId="Heading3Char">
    <w:name w:val="Heading 3 Char"/>
    <w:link w:val="Heading3"/>
    <w:uiPriority w:val="99"/>
    <w:semiHidden/>
    <w:locked/>
    <w:rsid w:val="00040BA0"/>
    <w:rPr>
      <w:rFonts w:ascii="Cambria" w:hAnsi="Cambria" w:cs="Times New Roman"/>
      <w:b/>
      <w:sz w:val="26"/>
    </w:rPr>
  </w:style>
  <w:style w:type="character" w:customStyle="1" w:styleId="Heading5Char">
    <w:name w:val="Heading 5 Char"/>
    <w:link w:val="Heading5"/>
    <w:uiPriority w:val="99"/>
    <w:semiHidden/>
    <w:locked/>
    <w:rsid w:val="00040BA0"/>
    <w:rPr>
      <w:rFonts w:ascii="Calibri" w:hAnsi="Calibri" w:cs="Times New Roman"/>
      <w:b/>
      <w:i/>
      <w:sz w:val="26"/>
    </w:rPr>
  </w:style>
  <w:style w:type="character" w:customStyle="1" w:styleId="Heading6Char">
    <w:name w:val="Heading 6 Char"/>
    <w:link w:val="Heading6"/>
    <w:uiPriority w:val="99"/>
    <w:semiHidden/>
    <w:locked/>
    <w:rsid w:val="00040BA0"/>
    <w:rPr>
      <w:rFonts w:ascii="Calibri" w:hAnsi="Calibri" w:cs="Times New Roman"/>
      <w:b/>
    </w:rPr>
  </w:style>
  <w:style w:type="character" w:customStyle="1" w:styleId="Heading7Char">
    <w:name w:val="Heading 7 Char"/>
    <w:link w:val="Heading7"/>
    <w:uiPriority w:val="99"/>
    <w:semiHidden/>
    <w:locked/>
    <w:rsid w:val="00040BA0"/>
    <w:rPr>
      <w:rFonts w:ascii="Calibri" w:hAnsi="Calibri" w:cs="Times New Roman"/>
      <w:sz w:val="24"/>
    </w:rPr>
  </w:style>
  <w:style w:type="paragraph" w:customStyle="1" w:styleId="Naslovsaopstenja">
    <w:name w:val="Naslov saopstenja"/>
    <w:basedOn w:val="Title"/>
    <w:next w:val="Caption"/>
    <w:uiPriority w:val="99"/>
    <w:rsid w:val="006E7AF4"/>
    <w:pPr>
      <w:spacing w:after="0"/>
    </w:pPr>
    <w:rPr>
      <w:sz w:val="24"/>
      <w:szCs w:val="24"/>
    </w:rPr>
  </w:style>
  <w:style w:type="paragraph" w:styleId="Title">
    <w:name w:val="Title"/>
    <w:basedOn w:val="Normal"/>
    <w:link w:val="TitleChar"/>
    <w:uiPriority w:val="99"/>
    <w:qFormat/>
    <w:rsid w:val="003C4653"/>
    <w:pPr>
      <w:spacing w:before="240" w:after="60"/>
      <w:jc w:val="center"/>
      <w:outlineLvl w:val="0"/>
    </w:pPr>
    <w:rPr>
      <w:rFonts w:ascii="Cambria" w:hAnsi="Cambria" w:cs="Times New Roman"/>
      <w:b/>
      <w:kern w:val="28"/>
      <w:sz w:val="32"/>
    </w:rPr>
  </w:style>
  <w:style w:type="character" w:customStyle="1" w:styleId="TitleChar">
    <w:name w:val="Title Char"/>
    <w:link w:val="Title"/>
    <w:uiPriority w:val="99"/>
    <w:locked/>
    <w:rsid w:val="00040BA0"/>
    <w:rPr>
      <w:rFonts w:ascii="Cambria" w:hAnsi="Cambria" w:cs="Times New Roman"/>
      <w:b/>
      <w:kern w:val="28"/>
      <w:sz w:val="32"/>
    </w:rPr>
  </w:style>
  <w:style w:type="paragraph" w:styleId="Caption">
    <w:name w:val="caption"/>
    <w:basedOn w:val="Normal"/>
    <w:next w:val="Normal"/>
    <w:uiPriority w:val="99"/>
    <w:qFormat/>
    <w:rsid w:val="003C4653"/>
    <w:rPr>
      <w:b/>
      <w:bCs/>
    </w:rPr>
  </w:style>
  <w:style w:type="paragraph" w:customStyle="1" w:styleId="Podnaslovsopstenja">
    <w:name w:val="Podnaslov sopstenja"/>
    <w:basedOn w:val="Normal"/>
    <w:uiPriority w:val="99"/>
    <w:rsid w:val="006E7AF4"/>
    <w:pPr>
      <w:spacing w:after="120"/>
      <w:jc w:val="center"/>
    </w:pPr>
    <w:rPr>
      <w:b/>
      <w:bCs/>
      <w:sz w:val="22"/>
      <w:szCs w:val="22"/>
    </w:rPr>
  </w:style>
  <w:style w:type="paragraph" w:styleId="Subtitle">
    <w:name w:val="Subtitle"/>
    <w:basedOn w:val="Normal"/>
    <w:link w:val="SubtitleChar"/>
    <w:uiPriority w:val="99"/>
    <w:qFormat/>
    <w:rsid w:val="003C4653"/>
    <w:pPr>
      <w:spacing w:after="60"/>
      <w:jc w:val="center"/>
      <w:outlineLvl w:val="1"/>
    </w:pPr>
    <w:rPr>
      <w:rFonts w:ascii="Cambria" w:hAnsi="Cambria" w:cs="Times New Roman"/>
      <w:sz w:val="24"/>
    </w:rPr>
  </w:style>
  <w:style w:type="character" w:customStyle="1" w:styleId="SubtitleChar">
    <w:name w:val="Subtitle Char"/>
    <w:link w:val="Subtitle"/>
    <w:uiPriority w:val="99"/>
    <w:locked/>
    <w:rsid w:val="00040BA0"/>
    <w:rPr>
      <w:rFonts w:ascii="Cambria" w:hAnsi="Cambria" w:cs="Times New Roman"/>
      <w:sz w:val="24"/>
    </w:rPr>
  </w:style>
  <w:style w:type="paragraph" w:customStyle="1" w:styleId="NaslovMetodologijaiNapomena">
    <w:name w:val="Naslov Metodologija i Napomena"/>
    <w:basedOn w:val="Normal"/>
    <w:uiPriority w:val="99"/>
    <w:rsid w:val="00266953"/>
    <w:pPr>
      <w:spacing w:before="120" w:after="240"/>
      <w:jc w:val="center"/>
    </w:pPr>
    <w:rPr>
      <w:b/>
      <w:bCs/>
    </w:rPr>
  </w:style>
  <w:style w:type="paragraph" w:customStyle="1" w:styleId="TekstMetodologijaiNapomena">
    <w:name w:val="Tekst Metodologija i Napomena"/>
    <w:basedOn w:val="BodyTextFirstIndent"/>
    <w:next w:val="BodyText"/>
    <w:uiPriority w:val="99"/>
    <w:rsid w:val="00D66EB9"/>
    <w:pPr>
      <w:spacing w:before="120" w:after="0"/>
      <w:ind w:firstLine="397"/>
      <w:jc w:val="both"/>
    </w:pPr>
    <w:rPr>
      <w:lang w:val="sr-Cyrl-CS"/>
    </w:rPr>
  </w:style>
  <w:style w:type="paragraph" w:styleId="BodyText">
    <w:name w:val="Body Text"/>
    <w:basedOn w:val="Normal"/>
    <w:link w:val="BodyTextChar"/>
    <w:uiPriority w:val="99"/>
    <w:semiHidden/>
    <w:rsid w:val="00CD6DB8"/>
    <w:pPr>
      <w:spacing w:after="120"/>
    </w:pPr>
    <w:rPr>
      <w:rFonts w:cs="Times New Roman"/>
    </w:rPr>
  </w:style>
  <w:style w:type="character" w:customStyle="1" w:styleId="BodyTextChar">
    <w:name w:val="Body Text Char"/>
    <w:link w:val="BodyText"/>
    <w:uiPriority w:val="99"/>
    <w:semiHidden/>
    <w:locked/>
    <w:rsid w:val="00040BA0"/>
    <w:rPr>
      <w:rFonts w:ascii="Arial" w:hAnsi="Arial" w:cs="Times New Roman"/>
      <w:sz w:val="20"/>
    </w:rPr>
  </w:style>
  <w:style w:type="paragraph" w:styleId="BodyTextFirstIndent">
    <w:name w:val="Body Text First Indent"/>
    <w:basedOn w:val="BodyText"/>
    <w:link w:val="BodyTextFirstIndentChar"/>
    <w:uiPriority w:val="99"/>
    <w:semiHidden/>
    <w:rsid w:val="00CD6DB8"/>
    <w:pPr>
      <w:ind w:firstLine="210"/>
    </w:pPr>
  </w:style>
  <w:style w:type="character" w:customStyle="1" w:styleId="BodyTextFirstIndentChar">
    <w:name w:val="Body Text First Indent Char"/>
    <w:link w:val="BodyTextFirstIndent"/>
    <w:uiPriority w:val="99"/>
    <w:semiHidden/>
    <w:locked/>
    <w:rsid w:val="00040BA0"/>
    <w:rPr>
      <w:rFonts w:ascii="Arial" w:hAnsi="Arial" w:cs="Arial"/>
      <w:sz w:val="20"/>
      <w:szCs w:val="20"/>
    </w:rPr>
  </w:style>
  <w:style w:type="paragraph" w:styleId="ListNumber">
    <w:name w:val="List Number"/>
    <w:basedOn w:val="Normal"/>
    <w:uiPriority w:val="99"/>
    <w:semiHidden/>
    <w:rsid w:val="00D44043"/>
    <w:pPr>
      <w:tabs>
        <w:tab w:val="num" w:pos="360"/>
      </w:tabs>
      <w:ind w:left="360" w:hanging="360"/>
    </w:pPr>
  </w:style>
  <w:style w:type="paragraph" w:customStyle="1" w:styleId="Style1">
    <w:name w:val="Style1"/>
    <w:uiPriority w:val="99"/>
    <w:semiHidden/>
    <w:rsid w:val="004946DA"/>
    <w:rPr>
      <w:rFonts w:ascii="Arial" w:hAnsi="Arial" w:cs="Arial"/>
    </w:rPr>
  </w:style>
  <w:style w:type="paragraph" w:styleId="BodyTextIndent">
    <w:name w:val="Body Text Indent"/>
    <w:basedOn w:val="Normal"/>
    <w:link w:val="BodyTextIndentChar"/>
    <w:uiPriority w:val="99"/>
    <w:semiHidden/>
    <w:rsid w:val="00CD6DB8"/>
    <w:pPr>
      <w:spacing w:after="120"/>
      <w:ind w:left="283"/>
    </w:pPr>
    <w:rPr>
      <w:rFonts w:cs="Times New Roman"/>
    </w:rPr>
  </w:style>
  <w:style w:type="character" w:customStyle="1" w:styleId="BodyTextIndentChar">
    <w:name w:val="Body Text Indent Char"/>
    <w:link w:val="BodyTextIndent"/>
    <w:uiPriority w:val="99"/>
    <w:semiHidden/>
    <w:locked/>
    <w:rsid w:val="00040BA0"/>
    <w:rPr>
      <w:rFonts w:ascii="Arial" w:hAnsi="Arial" w:cs="Times New Roman"/>
      <w:sz w:val="20"/>
    </w:rPr>
  </w:style>
  <w:style w:type="paragraph" w:styleId="BodyTextIndent2">
    <w:name w:val="Body Text Indent 2"/>
    <w:basedOn w:val="Normal"/>
    <w:link w:val="BodyTextIndent2Char"/>
    <w:uiPriority w:val="99"/>
    <w:semiHidden/>
    <w:rsid w:val="00CD6DB8"/>
    <w:pPr>
      <w:spacing w:after="120" w:line="480" w:lineRule="auto"/>
      <w:ind w:left="283"/>
    </w:pPr>
    <w:rPr>
      <w:rFonts w:cs="Times New Roman"/>
    </w:rPr>
  </w:style>
  <w:style w:type="character" w:customStyle="1" w:styleId="BodyTextIndent2Char">
    <w:name w:val="Body Text Indent 2 Char"/>
    <w:link w:val="BodyTextIndent2"/>
    <w:uiPriority w:val="99"/>
    <w:semiHidden/>
    <w:locked/>
    <w:rsid w:val="00040BA0"/>
    <w:rPr>
      <w:rFonts w:ascii="Arial" w:hAnsi="Arial" w:cs="Times New Roman"/>
      <w:sz w:val="20"/>
    </w:rPr>
  </w:style>
  <w:style w:type="paragraph" w:styleId="BodyText3">
    <w:name w:val="Body Text 3"/>
    <w:basedOn w:val="Normal"/>
    <w:link w:val="BodyText3Char"/>
    <w:uiPriority w:val="99"/>
    <w:semiHidden/>
    <w:rsid w:val="00CD6DB8"/>
    <w:pPr>
      <w:spacing w:after="120"/>
    </w:pPr>
    <w:rPr>
      <w:rFonts w:cs="Times New Roman"/>
      <w:sz w:val="16"/>
    </w:rPr>
  </w:style>
  <w:style w:type="character" w:customStyle="1" w:styleId="BodyText3Char">
    <w:name w:val="Body Text 3 Char"/>
    <w:link w:val="BodyText3"/>
    <w:uiPriority w:val="99"/>
    <w:semiHidden/>
    <w:locked/>
    <w:rsid w:val="00040BA0"/>
    <w:rPr>
      <w:rFonts w:ascii="Arial" w:hAnsi="Arial" w:cs="Times New Roman"/>
      <w:sz w:val="16"/>
    </w:rPr>
  </w:style>
  <w:style w:type="paragraph" w:styleId="BodyTextFirstIndent2">
    <w:name w:val="Body Text First Indent 2"/>
    <w:basedOn w:val="BodyTextIndent"/>
    <w:link w:val="BodyTextFirstIndent2Char"/>
    <w:uiPriority w:val="99"/>
    <w:semiHidden/>
    <w:rsid w:val="00CD6DB8"/>
    <w:pPr>
      <w:ind w:firstLine="210"/>
    </w:pPr>
  </w:style>
  <w:style w:type="character" w:customStyle="1" w:styleId="BodyTextFirstIndent2Char">
    <w:name w:val="Body Text First Indent 2 Char"/>
    <w:link w:val="BodyTextFirstIndent2"/>
    <w:uiPriority w:val="99"/>
    <w:semiHidden/>
    <w:locked/>
    <w:rsid w:val="00040BA0"/>
    <w:rPr>
      <w:rFonts w:ascii="Arial" w:hAnsi="Arial" w:cs="Arial"/>
      <w:sz w:val="20"/>
      <w:szCs w:val="20"/>
    </w:rPr>
  </w:style>
  <w:style w:type="paragraph" w:styleId="BodyTextIndent3">
    <w:name w:val="Body Text Indent 3"/>
    <w:basedOn w:val="Normal"/>
    <w:link w:val="BodyTextIndent3Char"/>
    <w:uiPriority w:val="99"/>
    <w:semiHidden/>
    <w:rsid w:val="00CD6DB8"/>
    <w:pPr>
      <w:spacing w:after="120"/>
      <w:ind w:left="283"/>
    </w:pPr>
    <w:rPr>
      <w:rFonts w:cs="Times New Roman"/>
      <w:sz w:val="16"/>
    </w:rPr>
  </w:style>
  <w:style w:type="character" w:customStyle="1" w:styleId="BodyTextIndent3Char">
    <w:name w:val="Body Text Indent 3 Char"/>
    <w:link w:val="BodyTextIndent3"/>
    <w:uiPriority w:val="99"/>
    <w:semiHidden/>
    <w:locked/>
    <w:rsid w:val="00040BA0"/>
    <w:rPr>
      <w:rFonts w:ascii="Arial" w:hAnsi="Arial" w:cs="Times New Roman"/>
      <w:sz w:val="16"/>
    </w:rPr>
  </w:style>
  <w:style w:type="paragraph" w:styleId="BalloonText">
    <w:name w:val="Balloon Text"/>
    <w:basedOn w:val="Normal"/>
    <w:link w:val="BalloonTextChar"/>
    <w:uiPriority w:val="99"/>
    <w:semiHidden/>
    <w:rsid w:val="00CD6DB8"/>
    <w:rPr>
      <w:rFonts w:ascii="Times New Roman" w:hAnsi="Times New Roman" w:cs="Times New Roman"/>
      <w:sz w:val="2"/>
    </w:rPr>
  </w:style>
  <w:style w:type="character" w:customStyle="1" w:styleId="BalloonTextChar">
    <w:name w:val="Balloon Text Char"/>
    <w:link w:val="BalloonText"/>
    <w:uiPriority w:val="99"/>
    <w:semiHidden/>
    <w:locked/>
    <w:rsid w:val="00040BA0"/>
    <w:rPr>
      <w:rFonts w:cs="Times New Roman"/>
      <w:sz w:val="2"/>
    </w:rPr>
  </w:style>
  <w:style w:type="paragraph" w:styleId="BodyText2">
    <w:name w:val="Body Text 2"/>
    <w:basedOn w:val="Normal"/>
    <w:link w:val="BodyText2Char"/>
    <w:uiPriority w:val="99"/>
    <w:semiHidden/>
    <w:rsid w:val="00CD6DB8"/>
    <w:pPr>
      <w:spacing w:after="120" w:line="480" w:lineRule="auto"/>
    </w:pPr>
    <w:rPr>
      <w:rFonts w:cs="Times New Roman"/>
    </w:rPr>
  </w:style>
  <w:style w:type="character" w:customStyle="1" w:styleId="BodyText2Char">
    <w:name w:val="Body Text 2 Char"/>
    <w:link w:val="BodyText2"/>
    <w:uiPriority w:val="99"/>
    <w:semiHidden/>
    <w:locked/>
    <w:rsid w:val="00040BA0"/>
    <w:rPr>
      <w:rFonts w:ascii="Arial" w:hAnsi="Arial" w:cs="Times New Roman"/>
      <w:sz w:val="20"/>
    </w:rPr>
  </w:style>
  <w:style w:type="paragraph" w:customStyle="1" w:styleId="StylePasusFirstline06cmBefore0ptAfter0pt">
    <w:name w:val="Style Pasus + First line:  06 cm Before:  0 pt After:  0 pt"/>
    <w:basedOn w:val="TekstMetodologijaiNapomena"/>
    <w:uiPriority w:val="99"/>
    <w:semiHidden/>
    <w:rsid w:val="004946DA"/>
    <w:pPr>
      <w:spacing w:before="0"/>
      <w:ind w:firstLine="340"/>
    </w:pPr>
  </w:style>
  <w:style w:type="paragraph" w:styleId="NormalIndent">
    <w:name w:val="Normal Indent"/>
    <w:basedOn w:val="Normal"/>
    <w:uiPriority w:val="99"/>
    <w:semiHidden/>
    <w:rsid w:val="004946DA"/>
    <w:pPr>
      <w:ind w:left="720"/>
    </w:pPr>
  </w:style>
  <w:style w:type="paragraph" w:customStyle="1" w:styleId="Naslovtabela">
    <w:name w:val="Naslov tabela"/>
    <w:basedOn w:val="Normal"/>
    <w:uiPriority w:val="99"/>
    <w:rsid w:val="00CF74C4"/>
    <w:pPr>
      <w:tabs>
        <w:tab w:val="left" w:pos="284"/>
      </w:tabs>
      <w:spacing w:before="120" w:after="120"/>
      <w:ind w:left="284" w:hanging="284"/>
      <w:jc w:val="center"/>
    </w:pPr>
    <w:rPr>
      <w:b/>
      <w:bCs/>
    </w:rPr>
  </w:style>
  <w:style w:type="table" w:styleId="TableGrid">
    <w:name w:val="Table Grid"/>
    <w:basedOn w:val="TableNormal"/>
    <w:uiPriority w:val="99"/>
    <w:semiHidden/>
    <w:rsid w:val="00D075D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semiHidden/>
    <w:rsid w:val="00120DC5"/>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List6">
    <w:name w:val="Table List 6"/>
    <w:basedOn w:val="TableNormal"/>
    <w:uiPriority w:val="99"/>
    <w:semiHidden/>
    <w:rsid w:val="00D075D6"/>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Elegant">
    <w:name w:val="Table Elegant"/>
    <w:basedOn w:val="TableNormal"/>
    <w:uiPriority w:val="99"/>
    <w:semiHidden/>
    <w:rsid w:val="00D075D6"/>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5D6"/>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ela-Zaglavlje">
    <w:name w:val="Tabela-Zaglavlje"/>
    <w:basedOn w:val="Normal"/>
    <w:uiPriority w:val="99"/>
    <w:rsid w:val="00C13D19"/>
    <w:pPr>
      <w:jc w:val="center"/>
    </w:pPr>
    <w:rPr>
      <w:sz w:val="16"/>
      <w:szCs w:val="16"/>
      <w:lang w:val="sr-Latn-CS"/>
    </w:rPr>
  </w:style>
  <w:style w:type="paragraph" w:customStyle="1" w:styleId="Tabela-Pretkolona">
    <w:name w:val="Tabela-Pretkolona"/>
    <w:basedOn w:val="Normal"/>
    <w:uiPriority w:val="99"/>
    <w:rsid w:val="00C13D19"/>
    <w:rPr>
      <w:sz w:val="16"/>
      <w:szCs w:val="16"/>
      <w:lang w:val="sr-Latn-CS"/>
    </w:rPr>
  </w:style>
  <w:style w:type="paragraph" w:customStyle="1" w:styleId="Tabela-PretkolonaI">
    <w:name w:val="Tabela-PretkolonaI"/>
    <w:basedOn w:val="Normal"/>
    <w:uiPriority w:val="99"/>
    <w:rsid w:val="00C13D19"/>
    <w:rPr>
      <w:i/>
      <w:iCs/>
      <w:sz w:val="16"/>
      <w:szCs w:val="16"/>
      <w:lang w:val="sr-Latn-CS"/>
    </w:rPr>
  </w:style>
  <w:style w:type="paragraph" w:customStyle="1" w:styleId="Tabela-PretkolonaB">
    <w:name w:val="Tabela-PretkolonaB"/>
    <w:basedOn w:val="Normal"/>
    <w:uiPriority w:val="99"/>
    <w:rsid w:val="00C13D19"/>
    <w:rPr>
      <w:b/>
      <w:bCs/>
      <w:sz w:val="16"/>
      <w:szCs w:val="16"/>
      <w:lang w:val="sr-Latn-CS"/>
    </w:rPr>
  </w:style>
  <w:style w:type="paragraph" w:customStyle="1" w:styleId="Tabela-Brojevi">
    <w:name w:val="Tabela-Brojevi"/>
    <w:basedOn w:val="Normal"/>
    <w:uiPriority w:val="99"/>
    <w:rsid w:val="00C13D19"/>
    <w:pPr>
      <w:jc w:val="right"/>
    </w:pPr>
    <w:rPr>
      <w:sz w:val="16"/>
      <w:szCs w:val="16"/>
      <w:lang w:val="sr-Latn-CS"/>
    </w:rPr>
  </w:style>
  <w:style w:type="paragraph" w:styleId="FootnoteText">
    <w:name w:val="footnote text"/>
    <w:basedOn w:val="Normal"/>
    <w:link w:val="FootnoteTextChar"/>
    <w:uiPriority w:val="99"/>
    <w:semiHidden/>
    <w:rsid w:val="00EC4F79"/>
    <w:rPr>
      <w:rFonts w:cs="Times New Roman"/>
    </w:rPr>
  </w:style>
  <w:style w:type="character" w:customStyle="1" w:styleId="FootnoteTextChar">
    <w:name w:val="Footnote Text Char"/>
    <w:link w:val="FootnoteText"/>
    <w:uiPriority w:val="99"/>
    <w:semiHidden/>
    <w:locked/>
    <w:rsid w:val="00040BA0"/>
    <w:rPr>
      <w:rFonts w:ascii="Arial" w:hAnsi="Arial" w:cs="Times New Roman"/>
      <w:sz w:val="20"/>
    </w:rPr>
  </w:style>
  <w:style w:type="paragraph" w:customStyle="1" w:styleId="Tabela-BrojeviI">
    <w:name w:val="Tabela-BrojeviI"/>
    <w:basedOn w:val="Normal"/>
    <w:uiPriority w:val="99"/>
    <w:rsid w:val="00C13D19"/>
    <w:pPr>
      <w:jc w:val="right"/>
    </w:pPr>
    <w:rPr>
      <w:i/>
      <w:iCs/>
      <w:sz w:val="16"/>
      <w:szCs w:val="16"/>
      <w:lang w:val="sr-Latn-CS"/>
    </w:rPr>
  </w:style>
  <w:style w:type="paragraph" w:customStyle="1" w:styleId="Tabela-BrojeviB">
    <w:name w:val="Tabela-BrojeviB"/>
    <w:basedOn w:val="Normal"/>
    <w:uiPriority w:val="99"/>
    <w:rsid w:val="00C13D19"/>
    <w:pPr>
      <w:jc w:val="right"/>
    </w:pPr>
    <w:rPr>
      <w:b/>
      <w:bCs/>
      <w:sz w:val="16"/>
      <w:szCs w:val="16"/>
      <w:lang w:val="sr-Latn-CS"/>
    </w:rPr>
  </w:style>
  <w:style w:type="paragraph" w:customStyle="1" w:styleId="Fusnota-Broj1">
    <w:name w:val="Fusnota-Broj1"/>
    <w:basedOn w:val="Normal"/>
    <w:uiPriority w:val="99"/>
    <w:rsid w:val="0041739D"/>
    <w:pPr>
      <w:tabs>
        <w:tab w:val="num" w:pos="360"/>
      </w:tabs>
      <w:ind w:left="360" w:hanging="360"/>
    </w:pPr>
    <w:rPr>
      <w:sz w:val="14"/>
      <w:szCs w:val="14"/>
      <w:vertAlign w:val="superscript"/>
      <w:lang w:val="sr-Latn-CS"/>
    </w:rPr>
  </w:style>
  <w:style w:type="paragraph" w:customStyle="1" w:styleId="Fusnota-Tekst1">
    <w:name w:val="Fusnota-Tekst1"/>
    <w:basedOn w:val="Normal"/>
    <w:uiPriority w:val="99"/>
    <w:rsid w:val="0041739D"/>
    <w:rPr>
      <w:sz w:val="14"/>
      <w:szCs w:val="14"/>
      <w:lang w:val="sr-Latn-CS"/>
    </w:rPr>
  </w:style>
  <w:style w:type="paragraph" w:customStyle="1" w:styleId="Naslovgrafikona">
    <w:name w:val="Naslov grafikona"/>
    <w:basedOn w:val="Normal"/>
    <w:next w:val="Normal"/>
    <w:uiPriority w:val="99"/>
    <w:rsid w:val="00CF74C4"/>
    <w:pPr>
      <w:framePr w:hSpace="181" w:wrap="auto" w:vAnchor="page" w:hAnchor="margin" w:xAlign="center" w:y="14176"/>
      <w:spacing w:before="120" w:after="120"/>
      <w:jc w:val="center"/>
    </w:pPr>
    <w:rPr>
      <w:b/>
      <w:bCs/>
      <w:lang w:val="ru-RU"/>
    </w:rPr>
  </w:style>
  <w:style w:type="paragraph" w:styleId="Header">
    <w:name w:val="header"/>
    <w:basedOn w:val="Normal"/>
    <w:link w:val="HeaderChar"/>
    <w:uiPriority w:val="99"/>
    <w:semiHidden/>
    <w:rsid w:val="00627E99"/>
    <w:pPr>
      <w:tabs>
        <w:tab w:val="center" w:pos="4703"/>
        <w:tab w:val="right" w:pos="9406"/>
      </w:tabs>
    </w:pPr>
    <w:rPr>
      <w:rFonts w:cs="Times New Roman"/>
    </w:rPr>
  </w:style>
  <w:style w:type="character" w:customStyle="1" w:styleId="HeaderChar">
    <w:name w:val="Header Char"/>
    <w:link w:val="Header"/>
    <w:uiPriority w:val="99"/>
    <w:semiHidden/>
    <w:locked/>
    <w:rsid w:val="00040BA0"/>
    <w:rPr>
      <w:rFonts w:ascii="Arial" w:hAnsi="Arial" w:cs="Times New Roman"/>
      <w:sz w:val="20"/>
    </w:rPr>
  </w:style>
  <w:style w:type="paragraph" w:styleId="Footer">
    <w:name w:val="footer"/>
    <w:basedOn w:val="Normal"/>
    <w:link w:val="FooterChar"/>
    <w:uiPriority w:val="99"/>
    <w:semiHidden/>
    <w:rsid w:val="00627E99"/>
    <w:pPr>
      <w:tabs>
        <w:tab w:val="center" w:pos="4703"/>
        <w:tab w:val="right" w:pos="9406"/>
      </w:tabs>
    </w:pPr>
    <w:rPr>
      <w:rFonts w:cs="Times New Roman"/>
    </w:rPr>
  </w:style>
  <w:style w:type="character" w:customStyle="1" w:styleId="FooterChar">
    <w:name w:val="Footer Char"/>
    <w:link w:val="Footer"/>
    <w:uiPriority w:val="99"/>
    <w:semiHidden/>
    <w:locked/>
    <w:rsid w:val="00040BA0"/>
    <w:rPr>
      <w:rFonts w:ascii="Arial" w:hAnsi="Arial" w:cs="Times New Roman"/>
      <w:sz w:val="20"/>
    </w:rPr>
  </w:style>
  <w:style w:type="paragraph" w:customStyle="1" w:styleId="CarCar">
    <w:name w:val="Car Car"/>
    <w:basedOn w:val="Normal"/>
    <w:uiPriority w:val="99"/>
    <w:rsid w:val="00614C60"/>
    <w:pPr>
      <w:spacing w:after="160" w:line="240" w:lineRule="exact"/>
    </w:pPr>
    <w:rPr>
      <w:rFonts w:ascii="Verdana" w:hAnsi="Verdana" w:cs="Verdana"/>
      <w:i/>
      <w:iCs/>
    </w:rPr>
  </w:style>
  <w:style w:type="character" w:styleId="Hyperlink">
    <w:name w:val="Hyperlink"/>
    <w:uiPriority w:val="99"/>
    <w:rsid w:val="00614C60"/>
    <w:rPr>
      <w:rFonts w:cs="Times New Roman"/>
      <w:color w:val="0000FF"/>
      <w:u w:val="single"/>
    </w:rPr>
  </w:style>
  <w:style w:type="character" w:styleId="FollowedHyperlink">
    <w:name w:val="FollowedHyperlink"/>
    <w:uiPriority w:val="99"/>
    <w:rsid w:val="00672093"/>
    <w:rPr>
      <w:rFonts w:cs="Times New Roman"/>
      <w:color w:val="800080"/>
      <w:u w:val="single"/>
    </w:rPr>
  </w:style>
  <w:style w:type="paragraph" w:styleId="ListParagraph">
    <w:name w:val="List Paragraph"/>
    <w:basedOn w:val="Normal"/>
    <w:uiPriority w:val="99"/>
    <w:qFormat/>
    <w:rsid w:val="005C40DD"/>
    <w:pPr>
      <w:ind w:left="720"/>
    </w:pPr>
  </w:style>
  <w:style w:type="character" w:customStyle="1" w:styleId="hps">
    <w:name w:val="hps"/>
    <w:uiPriority w:val="99"/>
    <w:rsid w:val="00056369"/>
    <w:rPr>
      <w:rFonts w:cs="Times New Roman"/>
    </w:rPr>
  </w:style>
  <w:style w:type="character" w:customStyle="1" w:styleId="atn">
    <w:name w:val="atn"/>
    <w:uiPriority w:val="99"/>
    <w:rsid w:val="00056369"/>
    <w:rPr>
      <w:rFonts w:cs="Times New Roman"/>
    </w:rPr>
  </w:style>
  <w:style w:type="paragraph" w:styleId="NormalWeb">
    <w:name w:val="Normal (Web)"/>
    <w:basedOn w:val="Normal"/>
    <w:uiPriority w:val="99"/>
    <w:semiHidden/>
    <w:unhideWhenUsed/>
    <w:rsid w:val="000A1B52"/>
    <w:pPr>
      <w:spacing w:before="100" w:beforeAutospacing="1" w:after="100" w:afterAutospacing="1"/>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2201">
      <w:bodyDiv w:val="1"/>
      <w:marLeft w:val="0"/>
      <w:marRight w:val="0"/>
      <w:marTop w:val="0"/>
      <w:marBottom w:val="0"/>
      <w:divBdr>
        <w:top w:val="none" w:sz="0" w:space="0" w:color="auto"/>
        <w:left w:val="none" w:sz="0" w:space="0" w:color="auto"/>
        <w:bottom w:val="none" w:sz="0" w:space="0" w:color="auto"/>
        <w:right w:val="none" w:sz="0" w:space="0" w:color="auto"/>
      </w:divBdr>
    </w:div>
    <w:div w:id="709762578">
      <w:bodyDiv w:val="1"/>
      <w:marLeft w:val="0"/>
      <w:marRight w:val="0"/>
      <w:marTop w:val="0"/>
      <w:marBottom w:val="0"/>
      <w:divBdr>
        <w:top w:val="none" w:sz="0" w:space="0" w:color="auto"/>
        <w:left w:val="none" w:sz="0" w:space="0" w:color="auto"/>
        <w:bottom w:val="none" w:sz="0" w:space="0" w:color="auto"/>
        <w:right w:val="none" w:sz="0" w:space="0" w:color="auto"/>
      </w:divBdr>
    </w:div>
    <w:div w:id="1056323364">
      <w:bodyDiv w:val="1"/>
      <w:marLeft w:val="0"/>
      <w:marRight w:val="0"/>
      <w:marTop w:val="0"/>
      <w:marBottom w:val="0"/>
      <w:divBdr>
        <w:top w:val="none" w:sz="0" w:space="0" w:color="auto"/>
        <w:left w:val="none" w:sz="0" w:space="0" w:color="auto"/>
        <w:bottom w:val="none" w:sz="0" w:space="0" w:color="auto"/>
        <w:right w:val="none" w:sz="0" w:space="0" w:color="auto"/>
      </w:divBdr>
    </w:div>
    <w:div w:id="1263295575">
      <w:bodyDiv w:val="1"/>
      <w:marLeft w:val="0"/>
      <w:marRight w:val="0"/>
      <w:marTop w:val="0"/>
      <w:marBottom w:val="0"/>
      <w:divBdr>
        <w:top w:val="none" w:sz="0" w:space="0" w:color="auto"/>
        <w:left w:val="none" w:sz="0" w:space="0" w:color="auto"/>
        <w:bottom w:val="none" w:sz="0" w:space="0" w:color="auto"/>
        <w:right w:val="none" w:sz="0" w:space="0" w:color="auto"/>
      </w:divBdr>
    </w:div>
    <w:div w:id="1744988894">
      <w:marLeft w:val="0"/>
      <w:marRight w:val="0"/>
      <w:marTop w:val="0"/>
      <w:marBottom w:val="0"/>
      <w:divBdr>
        <w:top w:val="none" w:sz="0" w:space="0" w:color="auto"/>
        <w:left w:val="none" w:sz="0" w:space="0" w:color="auto"/>
        <w:bottom w:val="none" w:sz="0" w:space="0" w:color="auto"/>
        <w:right w:val="none" w:sz="0" w:space="0" w:color="auto"/>
      </w:divBdr>
    </w:div>
    <w:div w:id="1744988895">
      <w:marLeft w:val="0"/>
      <w:marRight w:val="0"/>
      <w:marTop w:val="0"/>
      <w:marBottom w:val="0"/>
      <w:divBdr>
        <w:top w:val="none" w:sz="0" w:space="0" w:color="auto"/>
        <w:left w:val="none" w:sz="0" w:space="0" w:color="auto"/>
        <w:bottom w:val="none" w:sz="0" w:space="0" w:color="auto"/>
        <w:right w:val="none" w:sz="0" w:space="0" w:color="auto"/>
      </w:divBdr>
    </w:div>
    <w:div w:id="1744988896">
      <w:marLeft w:val="0"/>
      <w:marRight w:val="0"/>
      <w:marTop w:val="0"/>
      <w:marBottom w:val="0"/>
      <w:divBdr>
        <w:top w:val="none" w:sz="0" w:space="0" w:color="auto"/>
        <w:left w:val="none" w:sz="0" w:space="0" w:color="auto"/>
        <w:bottom w:val="none" w:sz="0" w:space="0" w:color="auto"/>
        <w:right w:val="none" w:sz="0" w:space="0" w:color="auto"/>
      </w:divBdr>
    </w:div>
    <w:div w:id="1744988897">
      <w:marLeft w:val="0"/>
      <w:marRight w:val="0"/>
      <w:marTop w:val="0"/>
      <w:marBottom w:val="0"/>
      <w:divBdr>
        <w:top w:val="none" w:sz="0" w:space="0" w:color="auto"/>
        <w:left w:val="none" w:sz="0" w:space="0" w:color="auto"/>
        <w:bottom w:val="none" w:sz="0" w:space="0" w:color="auto"/>
        <w:right w:val="none" w:sz="0" w:space="0" w:color="auto"/>
      </w:divBdr>
    </w:div>
    <w:div w:id="1744988898">
      <w:marLeft w:val="0"/>
      <w:marRight w:val="0"/>
      <w:marTop w:val="0"/>
      <w:marBottom w:val="0"/>
      <w:divBdr>
        <w:top w:val="none" w:sz="0" w:space="0" w:color="auto"/>
        <w:left w:val="none" w:sz="0" w:space="0" w:color="auto"/>
        <w:bottom w:val="none" w:sz="0" w:space="0" w:color="auto"/>
        <w:right w:val="none" w:sz="0" w:space="0" w:color="auto"/>
      </w:divBdr>
    </w:div>
    <w:div w:id="1744988899">
      <w:marLeft w:val="0"/>
      <w:marRight w:val="0"/>
      <w:marTop w:val="0"/>
      <w:marBottom w:val="0"/>
      <w:divBdr>
        <w:top w:val="none" w:sz="0" w:space="0" w:color="auto"/>
        <w:left w:val="none" w:sz="0" w:space="0" w:color="auto"/>
        <w:bottom w:val="none" w:sz="0" w:space="0" w:color="auto"/>
        <w:right w:val="none" w:sz="0" w:space="0" w:color="auto"/>
      </w:divBdr>
    </w:div>
    <w:div w:id="1744988900">
      <w:marLeft w:val="0"/>
      <w:marRight w:val="0"/>
      <w:marTop w:val="0"/>
      <w:marBottom w:val="0"/>
      <w:divBdr>
        <w:top w:val="none" w:sz="0" w:space="0" w:color="auto"/>
        <w:left w:val="none" w:sz="0" w:space="0" w:color="auto"/>
        <w:bottom w:val="none" w:sz="0" w:space="0" w:color="auto"/>
        <w:right w:val="none" w:sz="0" w:space="0" w:color="auto"/>
      </w:divBdr>
    </w:div>
    <w:div w:id="1744988901">
      <w:marLeft w:val="0"/>
      <w:marRight w:val="0"/>
      <w:marTop w:val="0"/>
      <w:marBottom w:val="0"/>
      <w:divBdr>
        <w:top w:val="none" w:sz="0" w:space="0" w:color="auto"/>
        <w:left w:val="none" w:sz="0" w:space="0" w:color="auto"/>
        <w:bottom w:val="none" w:sz="0" w:space="0" w:color="auto"/>
        <w:right w:val="none" w:sz="0" w:space="0" w:color="auto"/>
      </w:divBdr>
    </w:div>
    <w:div w:id="1744988902">
      <w:marLeft w:val="0"/>
      <w:marRight w:val="0"/>
      <w:marTop w:val="0"/>
      <w:marBottom w:val="0"/>
      <w:divBdr>
        <w:top w:val="none" w:sz="0" w:space="0" w:color="auto"/>
        <w:left w:val="none" w:sz="0" w:space="0" w:color="auto"/>
        <w:bottom w:val="none" w:sz="0" w:space="0" w:color="auto"/>
        <w:right w:val="none" w:sz="0" w:space="0" w:color="auto"/>
      </w:divBdr>
    </w:div>
    <w:div w:id="1744988903">
      <w:marLeft w:val="0"/>
      <w:marRight w:val="0"/>
      <w:marTop w:val="0"/>
      <w:marBottom w:val="0"/>
      <w:divBdr>
        <w:top w:val="none" w:sz="0" w:space="0" w:color="auto"/>
        <w:left w:val="none" w:sz="0" w:space="0" w:color="auto"/>
        <w:bottom w:val="none" w:sz="0" w:space="0" w:color="auto"/>
        <w:right w:val="none" w:sz="0" w:space="0" w:color="auto"/>
      </w:divBdr>
    </w:div>
    <w:div w:id="1744988904">
      <w:marLeft w:val="0"/>
      <w:marRight w:val="0"/>
      <w:marTop w:val="0"/>
      <w:marBottom w:val="0"/>
      <w:divBdr>
        <w:top w:val="none" w:sz="0" w:space="0" w:color="auto"/>
        <w:left w:val="none" w:sz="0" w:space="0" w:color="auto"/>
        <w:bottom w:val="none" w:sz="0" w:space="0" w:color="auto"/>
        <w:right w:val="none" w:sz="0" w:space="0" w:color="auto"/>
      </w:divBdr>
    </w:div>
    <w:div w:id="1744988905">
      <w:marLeft w:val="0"/>
      <w:marRight w:val="0"/>
      <w:marTop w:val="0"/>
      <w:marBottom w:val="0"/>
      <w:divBdr>
        <w:top w:val="none" w:sz="0" w:space="0" w:color="auto"/>
        <w:left w:val="none" w:sz="0" w:space="0" w:color="auto"/>
        <w:bottom w:val="none" w:sz="0" w:space="0" w:color="auto"/>
        <w:right w:val="none" w:sz="0" w:space="0" w:color="auto"/>
      </w:divBdr>
    </w:div>
    <w:div w:id="1744988906">
      <w:marLeft w:val="0"/>
      <w:marRight w:val="0"/>
      <w:marTop w:val="0"/>
      <w:marBottom w:val="0"/>
      <w:divBdr>
        <w:top w:val="none" w:sz="0" w:space="0" w:color="auto"/>
        <w:left w:val="none" w:sz="0" w:space="0" w:color="auto"/>
        <w:bottom w:val="none" w:sz="0" w:space="0" w:color="auto"/>
        <w:right w:val="none" w:sz="0" w:space="0" w:color="auto"/>
      </w:divBdr>
    </w:div>
    <w:div w:id="1744988907">
      <w:marLeft w:val="0"/>
      <w:marRight w:val="0"/>
      <w:marTop w:val="0"/>
      <w:marBottom w:val="0"/>
      <w:divBdr>
        <w:top w:val="none" w:sz="0" w:space="0" w:color="auto"/>
        <w:left w:val="none" w:sz="0" w:space="0" w:color="auto"/>
        <w:bottom w:val="none" w:sz="0" w:space="0" w:color="auto"/>
        <w:right w:val="none" w:sz="0" w:space="0" w:color="auto"/>
      </w:divBdr>
    </w:div>
    <w:div w:id="1744988908">
      <w:marLeft w:val="0"/>
      <w:marRight w:val="0"/>
      <w:marTop w:val="0"/>
      <w:marBottom w:val="0"/>
      <w:divBdr>
        <w:top w:val="none" w:sz="0" w:space="0" w:color="auto"/>
        <w:left w:val="none" w:sz="0" w:space="0" w:color="auto"/>
        <w:bottom w:val="none" w:sz="0" w:space="0" w:color="auto"/>
        <w:right w:val="none" w:sz="0" w:space="0" w:color="auto"/>
      </w:divBdr>
    </w:div>
    <w:div w:id="1744988909">
      <w:marLeft w:val="0"/>
      <w:marRight w:val="0"/>
      <w:marTop w:val="0"/>
      <w:marBottom w:val="0"/>
      <w:divBdr>
        <w:top w:val="none" w:sz="0" w:space="0" w:color="auto"/>
        <w:left w:val="none" w:sz="0" w:space="0" w:color="auto"/>
        <w:bottom w:val="none" w:sz="0" w:space="0" w:color="auto"/>
        <w:right w:val="none" w:sz="0" w:space="0" w:color="auto"/>
      </w:divBdr>
    </w:div>
    <w:div w:id="1744988910">
      <w:marLeft w:val="0"/>
      <w:marRight w:val="0"/>
      <w:marTop w:val="0"/>
      <w:marBottom w:val="0"/>
      <w:divBdr>
        <w:top w:val="none" w:sz="0" w:space="0" w:color="auto"/>
        <w:left w:val="none" w:sz="0" w:space="0" w:color="auto"/>
        <w:bottom w:val="none" w:sz="0" w:space="0" w:color="auto"/>
        <w:right w:val="none" w:sz="0" w:space="0" w:color="auto"/>
      </w:divBdr>
    </w:div>
    <w:div w:id="1744988911">
      <w:marLeft w:val="0"/>
      <w:marRight w:val="0"/>
      <w:marTop w:val="0"/>
      <w:marBottom w:val="0"/>
      <w:divBdr>
        <w:top w:val="none" w:sz="0" w:space="0" w:color="auto"/>
        <w:left w:val="none" w:sz="0" w:space="0" w:color="auto"/>
        <w:bottom w:val="none" w:sz="0" w:space="0" w:color="auto"/>
        <w:right w:val="none" w:sz="0" w:space="0" w:color="auto"/>
      </w:divBdr>
    </w:div>
    <w:div w:id="1744988912">
      <w:marLeft w:val="0"/>
      <w:marRight w:val="0"/>
      <w:marTop w:val="0"/>
      <w:marBottom w:val="0"/>
      <w:divBdr>
        <w:top w:val="none" w:sz="0" w:space="0" w:color="auto"/>
        <w:left w:val="none" w:sz="0" w:space="0" w:color="auto"/>
        <w:bottom w:val="none" w:sz="0" w:space="0" w:color="auto"/>
        <w:right w:val="none" w:sz="0" w:space="0" w:color="auto"/>
      </w:divBdr>
    </w:div>
    <w:div w:id="1744988913">
      <w:marLeft w:val="0"/>
      <w:marRight w:val="0"/>
      <w:marTop w:val="0"/>
      <w:marBottom w:val="0"/>
      <w:divBdr>
        <w:top w:val="none" w:sz="0" w:space="0" w:color="auto"/>
        <w:left w:val="none" w:sz="0" w:space="0" w:color="auto"/>
        <w:bottom w:val="none" w:sz="0" w:space="0" w:color="auto"/>
        <w:right w:val="none" w:sz="0" w:space="0" w:color="auto"/>
      </w:divBdr>
    </w:div>
    <w:div w:id="1744988914">
      <w:marLeft w:val="0"/>
      <w:marRight w:val="0"/>
      <w:marTop w:val="0"/>
      <w:marBottom w:val="0"/>
      <w:divBdr>
        <w:top w:val="none" w:sz="0" w:space="0" w:color="auto"/>
        <w:left w:val="none" w:sz="0" w:space="0" w:color="auto"/>
        <w:bottom w:val="none" w:sz="0" w:space="0" w:color="auto"/>
        <w:right w:val="none" w:sz="0" w:space="0" w:color="auto"/>
      </w:divBdr>
    </w:div>
    <w:div w:id="1744988915">
      <w:marLeft w:val="0"/>
      <w:marRight w:val="0"/>
      <w:marTop w:val="0"/>
      <w:marBottom w:val="0"/>
      <w:divBdr>
        <w:top w:val="none" w:sz="0" w:space="0" w:color="auto"/>
        <w:left w:val="none" w:sz="0" w:space="0" w:color="auto"/>
        <w:bottom w:val="none" w:sz="0" w:space="0" w:color="auto"/>
        <w:right w:val="none" w:sz="0" w:space="0" w:color="auto"/>
      </w:divBdr>
    </w:div>
    <w:div w:id="1744988916">
      <w:marLeft w:val="0"/>
      <w:marRight w:val="0"/>
      <w:marTop w:val="0"/>
      <w:marBottom w:val="0"/>
      <w:divBdr>
        <w:top w:val="none" w:sz="0" w:space="0" w:color="auto"/>
        <w:left w:val="none" w:sz="0" w:space="0" w:color="auto"/>
        <w:bottom w:val="none" w:sz="0" w:space="0" w:color="auto"/>
        <w:right w:val="none" w:sz="0" w:space="0" w:color="auto"/>
      </w:divBdr>
    </w:div>
    <w:div w:id="1744988917">
      <w:marLeft w:val="0"/>
      <w:marRight w:val="0"/>
      <w:marTop w:val="0"/>
      <w:marBottom w:val="0"/>
      <w:divBdr>
        <w:top w:val="none" w:sz="0" w:space="0" w:color="auto"/>
        <w:left w:val="none" w:sz="0" w:space="0" w:color="auto"/>
        <w:bottom w:val="none" w:sz="0" w:space="0" w:color="auto"/>
        <w:right w:val="none" w:sz="0" w:space="0" w:color="auto"/>
      </w:divBdr>
    </w:div>
    <w:div w:id="1744988918">
      <w:marLeft w:val="0"/>
      <w:marRight w:val="0"/>
      <w:marTop w:val="0"/>
      <w:marBottom w:val="0"/>
      <w:divBdr>
        <w:top w:val="none" w:sz="0" w:space="0" w:color="auto"/>
        <w:left w:val="none" w:sz="0" w:space="0" w:color="auto"/>
        <w:bottom w:val="none" w:sz="0" w:space="0" w:color="auto"/>
        <w:right w:val="none" w:sz="0" w:space="0" w:color="auto"/>
      </w:divBdr>
    </w:div>
    <w:div w:id="1744988919">
      <w:marLeft w:val="0"/>
      <w:marRight w:val="0"/>
      <w:marTop w:val="0"/>
      <w:marBottom w:val="0"/>
      <w:divBdr>
        <w:top w:val="none" w:sz="0" w:space="0" w:color="auto"/>
        <w:left w:val="none" w:sz="0" w:space="0" w:color="auto"/>
        <w:bottom w:val="none" w:sz="0" w:space="0" w:color="auto"/>
        <w:right w:val="none" w:sz="0" w:space="0" w:color="auto"/>
      </w:divBdr>
    </w:div>
    <w:div w:id="1744988920">
      <w:marLeft w:val="0"/>
      <w:marRight w:val="0"/>
      <w:marTop w:val="0"/>
      <w:marBottom w:val="0"/>
      <w:divBdr>
        <w:top w:val="none" w:sz="0" w:space="0" w:color="auto"/>
        <w:left w:val="none" w:sz="0" w:space="0" w:color="auto"/>
        <w:bottom w:val="none" w:sz="0" w:space="0" w:color="auto"/>
        <w:right w:val="none" w:sz="0" w:space="0" w:color="auto"/>
      </w:divBdr>
    </w:div>
    <w:div w:id="1744988921">
      <w:marLeft w:val="0"/>
      <w:marRight w:val="0"/>
      <w:marTop w:val="0"/>
      <w:marBottom w:val="0"/>
      <w:divBdr>
        <w:top w:val="none" w:sz="0" w:space="0" w:color="auto"/>
        <w:left w:val="none" w:sz="0" w:space="0" w:color="auto"/>
        <w:bottom w:val="none" w:sz="0" w:space="0" w:color="auto"/>
        <w:right w:val="none" w:sz="0" w:space="0" w:color="auto"/>
      </w:divBdr>
    </w:div>
    <w:div w:id="1744988922">
      <w:marLeft w:val="0"/>
      <w:marRight w:val="0"/>
      <w:marTop w:val="0"/>
      <w:marBottom w:val="0"/>
      <w:divBdr>
        <w:top w:val="none" w:sz="0" w:space="0" w:color="auto"/>
        <w:left w:val="none" w:sz="0" w:space="0" w:color="auto"/>
        <w:bottom w:val="none" w:sz="0" w:space="0" w:color="auto"/>
        <w:right w:val="none" w:sz="0" w:space="0" w:color="auto"/>
      </w:divBdr>
    </w:div>
    <w:div w:id="1744988923">
      <w:marLeft w:val="0"/>
      <w:marRight w:val="0"/>
      <w:marTop w:val="0"/>
      <w:marBottom w:val="0"/>
      <w:divBdr>
        <w:top w:val="none" w:sz="0" w:space="0" w:color="auto"/>
        <w:left w:val="none" w:sz="0" w:space="0" w:color="auto"/>
        <w:bottom w:val="none" w:sz="0" w:space="0" w:color="auto"/>
        <w:right w:val="none" w:sz="0" w:space="0" w:color="auto"/>
      </w:divBdr>
    </w:div>
    <w:div w:id="1744988924">
      <w:marLeft w:val="0"/>
      <w:marRight w:val="0"/>
      <w:marTop w:val="0"/>
      <w:marBottom w:val="0"/>
      <w:divBdr>
        <w:top w:val="none" w:sz="0" w:space="0" w:color="auto"/>
        <w:left w:val="none" w:sz="0" w:space="0" w:color="auto"/>
        <w:bottom w:val="none" w:sz="0" w:space="0" w:color="auto"/>
        <w:right w:val="none" w:sz="0" w:space="0" w:color="auto"/>
      </w:divBdr>
    </w:div>
    <w:div w:id="1744988925">
      <w:marLeft w:val="0"/>
      <w:marRight w:val="0"/>
      <w:marTop w:val="0"/>
      <w:marBottom w:val="0"/>
      <w:divBdr>
        <w:top w:val="none" w:sz="0" w:space="0" w:color="auto"/>
        <w:left w:val="none" w:sz="0" w:space="0" w:color="auto"/>
        <w:bottom w:val="none" w:sz="0" w:space="0" w:color="auto"/>
        <w:right w:val="none" w:sz="0" w:space="0" w:color="auto"/>
      </w:divBdr>
    </w:div>
    <w:div w:id="1744988926">
      <w:marLeft w:val="0"/>
      <w:marRight w:val="0"/>
      <w:marTop w:val="0"/>
      <w:marBottom w:val="0"/>
      <w:divBdr>
        <w:top w:val="none" w:sz="0" w:space="0" w:color="auto"/>
        <w:left w:val="none" w:sz="0" w:space="0" w:color="auto"/>
        <w:bottom w:val="none" w:sz="0" w:space="0" w:color="auto"/>
        <w:right w:val="none" w:sz="0" w:space="0" w:color="auto"/>
      </w:divBdr>
    </w:div>
    <w:div w:id="1744988927">
      <w:marLeft w:val="0"/>
      <w:marRight w:val="0"/>
      <w:marTop w:val="0"/>
      <w:marBottom w:val="0"/>
      <w:divBdr>
        <w:top w:val="none" w:sz="0" w:space="0" w:color="auto"/>
        <w:left w:val="none" w:sz="0" w:space="0" w:color="auto"/>
        <w:bottom w:val="none" w:sz="0" w:space="0" w:color="auto"/>
        <w:right w:val="none" w:sz="0" w:space="0" w:color="auto"/>
      </w:divBdr>
    </w:div>
    <w:div w:id="1744988928">
      <w:marLeft w:val="0"/>
      <w:marRight w:val="0"/>
      <w:marTop w:val="0"/>
      <w:marBottom w:val="0"/>
      <w:divBdr>
        <w:top w:val="none" w:sz="0" w:space="0" w:color="auto"/>
        <w:left w:val="none" w:sz="0" w:space="0" w:color="auto"/>
        <w:bottom w:val="none" w:sz="0" w:space="0" w:color="auto"/>
        <w:right w:val="none" w:sz="0" w:space="0" w:color="auto"/>
      </w:divBdr>
    </w:div>
    <w:div w:id="1744988929">
      <w:marLeft w:val="0"/>
      <w:marRight w:val="0"/>
      <w:marTop w:val="0"/>
      <w:marBottom w:val="0"/>
      <w:divBdr>
        <w:top w:val="none" w:sz="0" w:space="0" w:color="auto"/>
        <w:left w:val="none" w:sz="0" w:space="0" w:color="auto"/>
        <w:bottom w:val="none" w:sz="0" w:space="0" w:color="auto"/>
        <w:right w:val="none" w:sz="0" w:space="0" w:color="auto"/>
      </w:divBdr>
    </w:div>
    <w:div w:id="1744988930">
      <w:marLeft w:val="0"/>
      <w:marRight w:val="0"/>
      <w:marTop w:val="0"/>
      <w:marBottom w:val="0"/>
      <w:divBdr>
        <w:top w:val="none" w:sz="0" w:space="0" w:color="auto"/>
        <w:left w:val="none" w:sz="0" w:space="0" w:color="auto"/>
        <w:bottom w:val="none" w:sz="0" w:space="0" w:color="auto"/>
        <w:right w:val="none" w:sz="0" w:space="0" w:color="auto"/>
      </w:divBdr>
    </w:div>
    <w:div w:id="1744988931">
      <w:marLeft w:val="0"/>
      <w:marRight w:val="0"/>
      <w:marTop w:val="0"/>
      <w:marBottom w:val="0"/>
      <w:divBdr>
        <w:top w:val="none" w:sz="0" w:space="0" w:color="auto"/>
        <w:left w:val="none" w:sz="0" w:space="0" w:color="auto"/>
        <w:bottom w:val="none" w:sz="0" w:space="0" w:color="auto"/>
        <w:right w:val="none" w:sz="0" w:space="0" w:color="auto"/>
      </w:divBdr>
    </w:div>
    <w:div w:id="1744988932">
      <w:marLeft w:val="0"/>
      <w:marRight w:val="0"/>
      <w:marTop w:val="0"/>
      <w:marBottom w:val="0"/>
      <w:divBdr>
        <w:top w:val="none" w:sz="0" w:space="0" w:color="auto"/>
        <w:left w:val="none" w:sz="0" w:space="0" w:color="auto"/>
        <w:bottom w:val="none" w:sz="0" w:space="0" w:color="auto"/>
        <w:right w:val="none" w:sz="0" w:space="0" w:color="auto"/>
      </w:divBdr>
    </w:div>
    <w:div w:id="1744988933">
      <w:marLeft w:val="0"/>
      <w:marRight w:val="0"/>
      <w:marTop w:val="0"/>
      <w:marBottom w:val="0"/>
      <w:divBdr>
        <w:top w:val="none" w:sz="0" w:space="0" w:color="auto"/>
        <w:left w:val="none" w:sz="0" w:space="0" w:color="auto"/>
        <w:bottom w:val="none" w:sz="0" w:space="0" w:color="auto"/>
        <w:right w:val="none" w:sz="0" w:space="0" w:color="auto"/>
      </w:divBdr>
    </w:div>
    <w:div w:id="1744988934">
      <w:marLeft w:val="0"/>
      <w:marRight w:val="0"/>
      <w:marTop w:val="0"/>
      <w:marBottom w:val="0"/>
      <w:divBdr>
        <w:top w:val="none" w:sz="0" w:space="0" w:color="auto"/>
        <w:left w:val="none" w:sz="0" w:space="0" w:color="auto"/>
        <w:bottom w:val="none" w:sz="0" w:space="0" w:color="auto"/>
        <w:right w:val="none" w:sz="0" w:space="0" w:color="auto"/>
      </w:divBdr>
    </w:div>
    <w:div w:id="1744988935">
      <w:marLeft w:val="0"/>
      <w:marRight w:val="0"/>
      <w:marTop w:val="0"/>
      <w:marBottom w:val="0"/>
      <w:divBdr>
        <w:top w:val="none" w:sz="0" w:space="0" w:color="auto"/>
        <w:left w:val="none" w:sz="0" w:space="0" w:color="auto"/>
        <w:bottom w:val="none" w:sz="0" w:space="0" w:color="auto"/>
        <w:right w:val="none" w:sz="0" w:space="0" w:color="auto"/>
      </w:divBdr>
    </w:div>
    <w:div w:id="1744988936">
      <w:marLeft w:val="0"/>
      <w:marRight w:val="0"/>
      <w:marTop w:val="0"/>
      <w:marBottom w:val="0"/>
      <w:divBdr>
        <w:top w:val="none" w:sz="0" w:space="0" w:color="auto"/>
        <w:left w:val="none" w:sz="0" w:space="0" w:color="auto"/>
        <w:bottom w:val="none" w:sz="0" w:space="0" w:color="auto"/>
        <w:right w:val="none" w:sz="0" w:space="0" w:color="auto"/>
      </w:divBdr>
    </w:div>
    <w:div w:id="1744988937">
      <w:marLeft w:val="0"/>
      <w:marRight w:val="0"/>
      <w:marTop w:val="0"/>
      <w:marBottom w:val="0"/>
      <w:divBdr>
        <w:top w:val="none" w:sz="0" w:space="0" w:color="auto"/>
        <w:left w:val="none" w:sz="0" w:space="0" w:color="auto"/>
        <w:bottom w:val="none" w:sz="0" w:space="0" w:color="auto"/>
        <w:right w:val="none" w:sz="0" w:space="0" w:color="auto"/>
      </w:divBdr>
    </w:div>
    <w:div w:id="1744988938">
      <w:marLeft w:val="0"/>
      <w:marRight w:val="0"/>
      <w:marTop w:val="0"/>
      <w:marBottom w:val="0"/>
      <w:divBdr>
        <w:top w:val="none" w:sz="0" w:space="0" w:color="auto"/>
        <w:left w:val="none" w:sz="0" w:space="0" w:color="auto"/>
        <w:bottom w:val="none" w:sz="0" w:space="0" w:color="auto"/>
        <w:right w:val="none" w:sz="0" w:space="0" w:color="auto"/>
      </w:divBdr>
    </w:div>
    <w:div w:id="1744988939">
      <w:marLeft w:val="0"/>
      <w:marRight w:val="0"/>
      <w:marTop w:val="0"/>
      <w:marBottom w:val="0"/>
      <w:divBdr>
        <w:top w:val="none" w:sz="0" w:space="0" w:color="auto"/>
        <w:left w:val="none" w:sz="0" w:space="0" w:color="auto"/>
        <w:bottom w:val="none" w:sz="0" w:space="0" w:color="auto"/>
        <w:right w:val="none" w:sz="0" w:space="0" w:color="auto"/>
      </w:divBdr>
    </w:div>
    <w:div w:id="1744988940">
      <w:marLeft w:val="0"/>
      <w:marRight w:val="0"/>
      <w:marTop w:val="0"/>
      <w:marBottom w:val="0"/>
      <w:divBdr>
        <w:top w:val="none" w:sz="0" w:space="0" w:color="auto"/>
        <w:left w:val="none" w:sz="0" w:space="0" w:color="auto"/>
        <w:bottom w:val="none" w:sz="0" w:space="0" w:color="auto"/>
        <w:right w:val="none" w:sz="0" w:space="0" w:color="auto"/>
      </w:divBdr>
    </w:div>
    <w:div w:id="1744988941">
      <w:marLeft w:val="0"/>
      <w:marRight w:val="0"/>
      <w:marTop w:val="0"/>
      <w:marBottom w:val="0"/>
      <w:divBdr>
        <w:top w:val="none" w:sz="0" w:space="0" w:color="auto"/>
        <w:left w:val="none" w:sz="0" w:space="0" w:color="auto"/>
        <w:bottom w:val="none" w:sz="0" w:space="0" w:color="auto"/>
        <w:right w:val="none" w:sz="0" w:space="0" w:color="auto"/>
      </w:divBdr>
    </w:div>
    <w:div w:id="1744988942">
      <w:marLeft w:val="0"/>
      <w:marRight w:val="0"/>
      <w:marTop w:val="0"/>
      <w:marBottom w:val="0"/>
      <w:divBdr>
        <w:top w:val="none" w:sz="0" w:space="0" w:color="auto"/>
        <w:left w:val="none" w:sz="0" w:space="0" w:color="auto"/>
        <w:bottom w:val="none" w:sz="0" w:space="0" w:color="auto"/>
        <w:right w:val="none" w:sz="0" w:space="0" w:color="auto"/>
      </w:divBdr>
    </w:div>
    <w:div w:id="1744988943">
      <w:marLeft w:val="0"/>
      <w:marRight w:val="0"/>
      <w:marTop w:val="0"/>
      <w:marBottom w:val="0"/>
      <w:divBdr>
        <w:top w:val="none" w:sz="0" w:space="0" w:color="auto"/>
        <w:left w:val="none" w:sz="0" w:space="0" w:color="auto"/>
        <w:bottom w:val="none" w:sz="0" w:space="0" w:color="auto"/>
        <w:right w:val="none" w:sz="0" w:space="0" w:color="auto"/>
      </w:divBdr>
    </w:div>
    <w:div w:id="1744988944">
      <w:marLeft w:val="0"/>
      <w:marRight w:val="0"/>
      <w:marTop w:val="0"/>
      <w:marBottom w:val="0"/>
      <w:divBdr>
        <w:top w:val="none" w:sz="0" w:space="0" w:color="auto"/>
        <w:left w:val="none" w:sz="0" w:space="0" w:color="auto"/>
        <w:bottom w:val="none" w:sz="0" w:space="0" w:color="auto"/>
        <w:right w:val="none" w:sz="0" w:space="0" w:color="auto"/>
      </w:divBdr>
    </w:div>
    <w:div w:id="1744988945">
      <w:marLeft w:val="0"/>
      <w:marRight w:val="0"/>
      <w:marTop w:val="0"/>
      <w:marBottom w:val="0"/>
      <w:divBdr>
        <w:top w:val="none" w:sz="0" w:space="0" w:color="auto"/>
        <w:left w:val="none" w:sz="0" w:space="0" w:color="auto"/>
        <w:bottom w:val="none" w:sz="0" w:space="0" w:color="auto"/>
        <w:right w:val="none" w:sz="0" w:space="0" w:color="auto"/>
      </w:divBdr>
    </w:div>
    <w:div w:id="1744988946">
      <w:marLeft w:val="0"/>
      <w:marRight w:val="0"/>
      <w:marTop w:val="0"/>
      <w:marBottom w:val="0"/>
      <w:divBdr>
        <w:top w:val="none" w:sz="0" w:space="0" w:color="auto"/>
        <w:left w:val="none" w:sz="0" w:space="0" w:color="auto"/>
        <w:bottom w:val="none" w:sz="0" w:space="0" w:color="auto"/>
        <w:right w:val="none" w:sz="0" w:space="0" w:color="auto"/>
      </w:divBdr>
    </w:div>
    <w:div w:id="1744988947">
      <w:marLeft w:val="0"/>
      <w:marRight w:val="0"/>
      <w:marTop w:val="0"/>
      <w:marBottom w:val="0"/>
      <w:divBdr>
        <w:top w:val="none" w:sz="0" w:space="0" w:color="auto"/>
        <w:left w:val="none" w:sz="0" w:space="0" w:color="auto"/>
        <w:bottom w:val="none" w:sz="0" w:space="0" w:color="auto"/>
        <w:right w:val="none" w:sz="0" w:space="0" w:color="auto"/>
      </w:divBdr>
    </w:div>
    <w:div w:id="1744988948">
      <w:marLeft w:val="0"/>
      <w:marRight w:val="0"/>
      <w:marTop w:val="0"/>
      <w:marBottom w:val="0"/>
      <w:divBdr>
        <w:top w:val="none" w:sz="0" w:space="0" w:color="auto"/>
        <w:left w:val="none" w:sz="0" w:space="0" w:color="auto"/>
        <w:bottom w:val="none" w:sz="0" w:space="0" w:color="auto"/>
        <w:right w:val="none" w:sz="0" w:space="0" w:color="auto"/>
      </w:divBdr>
    </w:div>
    <w:div w:id="1744988949">
      <w:marLeft w:val="0"/>
      <w:marRight w:val="0"/>
      <w:marTop w:val="0"/>
      <w:marBottom w:val="0"/>
      <w:divBdr>
        <w:top w:val="none" w:sz="0" w:space="0" w:color="auto"/>
        <w:left w:val="none" w:sz="0" w:space="0" w:color="auto"/>
        <w:bottom w:val="none" w:sz="0" w:space="0" w:color="auto"/>
        <w:right w:val="none" w:sz="0" w:space="0" w:color="auto"/>
      </w:divBdr>
    </w:div>
    <w:div w:id="1744988950">
      <w:marLeft w:val="0"/>
      <w:marRight w:val="0"/>
      <w:marTop w:val="0"/>
      <w:marBottom w:val="0"/>
      <w:divBdr>
        <w:top w:val="none" w:sz="0" w:space="0" w:color="auto"/>
        <w:left w:val="none" w:sz="0" w:space="0" w:color="auto"/>
        <w:bottom w:val="none" w:sz="0" w:space="0" w:color="auto"/>
        <w:right w:val="none" w:sz="0" w:space="0" w:color="auto"/>
      </w:divBdr>
    </w:div>
    <w:div w:id="1744988951">
      <w:marLeft w:val="0"/>
      <w:marRight w:val="0"/>
      <w:marTop w:val="0"/>
      <w:marBottom w:val="0"/>
      <w:divBdr>
        <w:top w:val="none" w:sz="0" w:space="0" w:color="auto"/>
        <w:left w:val="none" w:sz="0" w:space="0" w:color="auto"/>
        <w:bottom w:val="none" w:sz="0" w:space="0" w:color="auto"/>
        <w:right w:val="none" w:sz="0" w:space="0" w:color="auto"/>
      </w:divBdr>
    </w:div>
    <w:div w:id="1744988952">
      <w:marLeft w:val="0"/>
      <w:marRight w:val="0"/>
      <w:marTop w:val="0"/>
      <w:marBottom w:val="0"/>
      <w:divBdr>
        <w:top w:val="none" w:sz="0" w:space="0" w:color="auto"/>
        <w:left w:val="none" w:sz="0" w:space="0" w:color="auto"/>
        <w:bottom w:val="none" w:sz="0" w:space="0" w:color="auto"/>
        <w:right w:val="none" w:sz="0" w:space="0" w:color="auto"/>
      </w:divBdr>
    </w:div>
    <w:div w:id="1744988953">
      <w:marLeft w:val="0"/>
      <w:marRight w:val="0"/>
      <w:marTop w:val="0"/>
      <w:marBottom w:val="0"/>
      <w:divBdr>
        <w:top w:val="none" w:sz="0" w:space="0" w:color="auto"/>
        <w:left w:val="none" w:sz="0" w:space="0" w:color="auto"/>
        <w:bottom w:val="none" w:sz="0" w:space="0" w:color="auto"/>
        <w:right w:val="none" w:sz="0" w:space="0" w:color="auto"/>
      </w:divBdr>
    </w:div>
    <w:div w:id="1744988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eda.cukavac@stat.gov.rs,dusanka.dostanic@stat.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stat.gov.rs/?caller=SDDB&amp;languageCode=en-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gov.rs/en-US/istrazivanja/methodology-and-documents/?a=25&amp;s=25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23mb11\Local%20Settings\Temporary%20Internet%20Files\Content.MSO\459B5632.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23%23%23%23%232022\Saopstenja\Ekologija\ZS93\Grafik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'grafikon-Saopstenje'!$A$36</c:f>
              <c:strCache>
                <c:ptCount val="1"/>
                <c:pt idx="0">
                  <c:v>Environmental tax revenue, RSD mill.</c:v>
                </c:pt>
              </c:strCache>
            </c:strRef>
          </c:tx>
          <c:spPr>
            <a:ln w="28575" cap="rnd">
              <a:solidFill>
                <a:schemeClr val="accent1"/>
              </a:solidFill>
              <a:round/>
            </a:ln>
            <a:effectLst/>
          </c:spPr>
          <c:marker>
            <c:symbol val="diamond"/>
            <c:size val="8"/>
            <c:spPr>
              <a:solidFill>
                <a:schemeClr val="accent1"/>
              </a:solidFill>
              <a:ln w="9525">
                <a:solidFill>
                  <a:schemeClr val="accent1"/>
                </a:solidFill>
              </a:ln>
              <a:effectLst/>
            </c:spPr>
          </c:marker>
          <c:cat>
            <c:numRef>
              <c:f>'grafikon-Saopstenje'!$E$11:$N$11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'grafikon-Saopstenje'!$E$12:$N$12</c:f>
              <c:numCache>
                <c:formatCode>0</c:formatCode>
                <c:ptCount val="10"/>
                <c:pt idx="0">
                  <c:v>111019.416</c:v>
                </c:pt>
                <c:pt idx="1">
                  <c:v>111146.25900000001</c:v>
                </c:pt>
                <c:pt idx="2">
                  <c:v>129772.916</c:v>
                </c:pt>
                <c:pt idx="3">
                  <c:v>152867.01699999999</c:v>
                </c:pt>
                <c:pt idx="4">
                  <c:v>167198.65000000002</c:v>
                </c:pt>
                <c:pt idx="5">
                  <c:v>186653.40000680948</c:v>
                </c:pt>
                <c:pt idx="6">
                  <c:v>195906.20127464356</c:v>
                </c:pt>
                <c:pt idx="7">
                  <c:v>211825.47100805325</c:v>
                </c:pt>
                <c:pt idx="8" formatCode="General">
                  <c:v>223716.22579778288</c:v>
                </c:pt>
                <c:pt idx="9" formatCode="General">
                  <c:v>217890.62422992275</c:v>
                </c:pt>
              </c:numCache>
            </c:numRef>
          </c:val>
          <c:smooth val="0"/>
          <c:extLst>
            <c:ext xmlns:c16="http://schemas.microsoft.com/office/drawing/2014/chart" uri="{C3380CC4-5D6E-409C-BE32-E72D297353CC}">
              <c16:uniqueId val="{00000000-FF52-459B-8338-98C74DBF0EBF}"/>
            </c:ext>
          </c:extLst>
        </c:ser>
        <c:dLbls>
          <c:showLegendKey val="0"/>
          <c:showVal val="0"/>
          <c:showCatName val="0"/>
          <c:showSerName val="0"/>
          <c:showPercent val="0"/>
          <c:showBubbleSize val="0"/>
        </c:dLbls>
        <c:marker val="1"/>
        <c:smooth val="0"/>
        <c:axId val="1668076575"/>
        <c:axId val="1668074495"/>
      </c:lineChart>
      <c:catAx>
        <c:axId val="1668076575"/>
        <c:scaling>
          <c:orientation val="minMax"/>
        </c:scaling>
        <c:delete val="0"/>
        <c:axPos val="b"/>
        <c:numFmt formatCode="General" sourceLinked="1"/>
        <c:majorTickMark val="out"/>
        <c:minorTickMark val="none"/>
        <c:tickLblPos val="nextTo"/>
        <c:spPr>
          <a:noFill/>
          <a:ln w="6350"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8074495"/>
        <c:crosses val="autoZero"/>
        <c:auto val="1"/>
        <c:lblAlgn val="ctr"/>
        <c:lblOffset val="100"/>
        <c:noMultiLvlLbl val="0"/>
      </c:catAx>
      <c:valAx>
        <c:axId val="1668074495"/>
        <c:scaling>
          <c:orientation val="minMax"/>
          <c:max val="250000"/>
        </c:scaling>
        <c:delete val="0"/>
        <c:axPos val="l"/>
        <c:majorGridlines>
          <c:spPr>
            <a:ln w="6350" cap="flat" cmpd="sng" algn="ctr">
              <a:solidFill>
                <a:schemeClr val="bg1">
                  <a:lumMod val="75000"/>
                </a:schemeClr>
              </a:solidFill>
              <a:round/>
            </a:ln>
            <a:effectLst/>
          </c:spPr>
        </c:majorGridlines>
        <c:numFmt formatCode="0" sourceLinked="1"/>
        <c:majorTickMark val="out"/>
        <c:minorTickMark val="none"/>
        <c:tickLblPos val="nextTo"/>
        <c:spPr>
          <a:noFill/>
          <a:ln w="6350">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8076575"/>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48E7C-CB71-4237-A56F-7EE1321D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459B5632.dot</Template>
  <TotalTime>60</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3327</CharactersWithSpaces>
  <SharedDoc>false</SharedDoc>
  <HLinks>
    <vt:vector size="18" baseType="variant">
      <vt:variant>
        <vt:i4>7667833</vt:i4>
      </vt:variant>
      <vt:variant>
        <vt:i4>6</vt:i4>
      </vt:variant>
      <vt:variant>
        <vt:i4>0</vt:i4>
      </vt:variant>
      <vt:variant>
        <vt:i4>5</vt:i4>
      </vt:variant>
      <vt:variant>
        <vt:lpwstr>mailto:neda.cukavac@stat.gov.rs,dusanka.dostanic@stat.gov.rs</vt:lpwstr>
      </vt:variant>
      <vt:variant>
        <vt:lpwstr/>
      </vt:variant>
      <vt:variant>
        <vt:i4>5701727</vt:i4>
      </vt:variant>
      <vt:variant>
        <vt:i4>3</vt:i4>
      </vt:variant>
      <vt:variant>
        <vt:i4>0</vt:i4>
      </vt:variant>
      <vt:variant>
        <vt:i4>5</vt:i4>
      </vt:variant>
      <vt:variant>
        <vt:lpwstr>http://webrzs.stat.gov.rs/WebSite/public/ReportView.aspx</vt:lpwstr>
      </vt:variant>
      <vt:variant>
        <vt:lpwstr/>
      </vt:variant>
      <vt:variant>
        <vt:i4>2883646</vt:i4>
      </vt:variant>
      <vt:variant>
        <vt:i4>0</vt:i4>
      </vt:variant>
      <vt:variant>
        <vt:i4>0</vt:i4>
      </vt:variant>
      <vt:variant>
        <vt:i4>5</vt:i4>
      </vt:variant>
      <vt:variant>
        <vt:lpwstr>http://webrzs.stat.gov.rs/WebSite/Public/PageView.aspx?pKey=64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e51id02</dc:creator>
  <cp:lastModifiedBy>Irena Dimic</cp:lastModifiedBy>
  <cp:revision>28</cp:revision>
  <cp:lastPrinted>2018-10-09T05:11:00Z</cp:lastPrinted>
  <dcterms:created xsi:type="dcterms:W3CDTF">2019-09-17T07:29:00Z</dcterms:created>
  <dcterms:modified xsi:type="dcterms:W3CDTF">2022-04-12T12:09:00Z</dcterms:modified>
</cp:coreProperties>
</file>