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0301CD" w:rsidRPr="00D810FE" w14:paraId="7F96DEC9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F31541" w14:textId="77777777" w:rsidR="000301CD" w:rsidRPr="00EB2BE5" w:rsidRDefault="000301CD" w:rsidP="00767ADD">
            <w:pPr>
              <w:rPr>
                <w:rFonts w:cs="Arial"/>
                <w:color w:val="808080"/>
                <w:szCs w:val="20"/>
                <w:lang w:val="sr-Cyrl-CS"/>
              </w:rPr>
            </w:pPr>
            <w:r>
              <w:rPr>
                <w:color w:val="808080"/>
                <w:sz w:val="8"/>
                <w:szCs w:val="8"/>
                <w:lang w:val="sr-Cyrl-CS"/>
              </w:rPr>
              <w:t xml:space="preserve">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F74ED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87F3B2D" wp14:editId="040DF91B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19050" t="0" r="9525" b="0"/>
                  <wp:wrapNone/>
                  <wp:docPr id="1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6E48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271A31E3" wp14:editId="32F8AA55">
                      <wp:extent cx="905510" cy="2159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5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FF94DE" id="AutoShape 1" o:spid="_x0000_s1026" style="width:71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C834A11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23BD18E3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8708479" w14:textId="77777777" w:rsidR="000301CD" w:rsidRPr="003E3C34" w:rsidRDefault="000301CD" w:rsidP="00036DC2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0301CD" w:rsidRPr="00D810FE" w14:paraId="07F30C6E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EDB423" w14:textId="77777777" w:rsidR="000301CD" w:rsidRPr="00EB2BE5" w:rsidRDefault="000301CD" w:rsidP="00036DC2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248AF2" w14:textId="77777777" w:rsidR="000301CD" w:rsidRPr="000301CD" w:rsidRDefault="000301CD" w:rsidP="00036DC2">
            <w:pPr>
              <w:jc w:val="right"/>
              <w:rPr>
                <w:b/>
                <w:color w:val="808080"/>
                <w:sz w:val="12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</w:rPr>
              <w:t>ПД10</w:t>
            </w:r>
          </w:p>
        </w:tc>
      </w:tr>
      <w:tr w:rsidR="000301CD" w:rsidRPr="00266953" w14:paraId="4C9CA779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9960" w14:textId="123649A4" w:rsidR="000301CD" w:rsidRPr="009D1088" w:rsidRDefault="000301CD" w:rsidP="00FB3317">
            <w:pPr>
              <w:rPr>
                <w:rFonts w:cs="Arial"/>
                <w:szCs w:val="20"/>
              </w:rPr>
            </w:pPr>
            <w:r w:rsidRPr="004F0AF6">
              <w:rPr>
                <w:rFonts w:cs="Arial"/>
                <w:szCs w:val="20"/>
                <w:lang w:val="ru-RU"/>
              </w:rPr>
              <w:t>број</w:t>
            </w:r>
            <w:r w:rsidRPr="004F0AF6">
              <w:rPr>
                <w:rFonts w:cs="Arial"/>
                <w:szCs w:val="20"/>
              </w:rPr>
              <w:t xml:space="preserve"> </w:t>
            </w:r>
            <w:r w:rsidR="008801D7" w:rsidRPr="004F0AF6">
              <w:rPr>
                <w:rFonts w:cs="Arial"/>
                <w:szCs w:val="20"/>
                <w:lang w:val="sr-Latn-RS"/>
              </w:rPr>
              <w:t>28</w:t>
            </w:r>
            <w:r w:rsidR="00FB3317" w:rsidRPr="004F0AF6">
              <w:rPr>
                <w:rFonts w:cs="Arial"/>
                <w:szCs w:val="20"/>
                <w:lang w:val="sr-Latn-RS"/>
              </w:rPr>
              <w:t>3</w:t>
            </w:r>
            <w:r w:rsidR="00736F0F" w:rsidRPr="000301CD">
              <w:rPr>
                <w:rFonts w:cs="Arial"/>
                <w:szCs w:val="20"/>
              </w:rPr>
              <w:t xml:space="preserve"> </w:t>
            </w:r>
            <w:r w:rsidRPr="000301CD">
              <w:rPr>
                <w:rFonts w:cs="Arial"/>
                <w:szCs w:val="20"/>
              </w:rPr>
              <w:t xml:space="preserve">- </w:t>
            </w:r>
            <w:r w:rsidRPr="003E3C34">
              <w:rPr>
                <w:rFonts w:cs="Arial"/>
                <w:szCs w:val="20"/>
                <w:lang w:val="ru-RU"/>
              </w:rPr>
              <w:t>год</w:t>
            </w:r>
            <w:r w:rsidRPr="000301CD">
              <w:rPr>
                <w:rFonts w:cs="Arial"/>
                <w:szCs w:val="20"/>
              </w:rPr>
              <w:t xml:space="preserve">. </w:t>
            </w:r>
            <w:r w:rsidRPr="004D66BB">
              <w:rPr>
                <w:rFonts w:cs="Arial"/>
                <w:szCs w:val="20"/>
              </w:rPr>
              <w:t>LX</w:t>
            </w:r>
            <w:r w:rsidR="00F1736F" w:rsidRPr="00F1736F">
              <w:rPr>
                <w:rFonts w:cs="Arial"/>
                <w:szCs w:val="20"/>
              </w:rPr>
              <w:t>X</w:t>
            </w:r>
            <w:r w:rsidRPr="004D66BB">
              <w:rPr>
                <w:rFonts w:cs="Arial"/>
                <w:szCs w:val="20"/>
                <w:lang w:val="sr-Cyrl-CS"/>
              </w:rPr>
              <w:t>,</w:t>
            </w:r>
            <w:r w:rsidRPr="00AC43D9">
              <w:rPr>
                <w:rFonts w:cs="Arial"/>
                <w:szCs w:val="20"/>
              </w:rPr>
              <w:t xml:space="preserve"> </w:t>
            </w:r>
            <w:r w:rsidR="008801D7">
              <w:rPr>
                <w:rFonts w:cs="Arial"/>
                <w:szCs w:val="20"/>
                <w:lang w:val="sr-Latn-RS"/>
              </w:rPr>
              <w:t>15</w:t>
            </w:r>
            <w:r w:rsidR="008801D7">
              <w:rPr>
                <w:rFonts w:cs="Arial"/>
                <w:szCs w:val="20"/>
                <w:lang w:val="sr-Latn-CS"/>
              </w:rPr>
              <w:t>.10</w:t>
            </w:r>
            <w:r w:rsidR="00E955AC">
              <w:rPr>
                <w:rFonts w:cs="Arial"/>
                <w:szCs w:val="20"/>
                <w:lang w:val="sr-Latn-CS"/>
              </w:rPr>
              <w:t>.2020</w:t>
            </w:r>
            <w:r w:rsidR="00AB7113">
              <w:rPr>
                <w:rFonts w:cs="Arial"/>
                <w:szCs w:val="20"/>
                <w:lang w:val="sr-Latn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C14D" w14:textId="77777777" w:rsidR="000301CD" w:rsidRPr="00266953" w:rsidRDefault="000301CD" w:rsidP="00036DC2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0301CD" w:rsidRPr="00D810FE" w14:paraId="1966522F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0D1BA94" w14:textId="77777777" w:rsidR="000301CD" w:rsidRPr="00F90DAF" w:rsidRDefault="000301CD" w:rsidP="00AD6545">
            <w:pPr>
              <w:rPr>
                <w:b/>
                <w:bCs/>
                <w:sz w:val="24"/>
                <w:lang w:val="sr-Latn-CS"/>
              </w:rPr>
            </w:pP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Анкета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о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="00AD6545">
              <w:rPr>
                <w:rFonts w:cs="Arial"/>
                <w:b/>
                <w:bCs/>
                <w:noProof/>
                <w:sz w:val="24"/>
                <w:lang w:val="ru-RU"/>
              </w:rPr>
              <w:t>приходима и условима живота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8EF8FA3" w14:textId="01FDC34E" w:rsidR="000301CD" w:rsidRPr="0076525C" w:rsidRDefault="000301CD" w:rsidP="00FB3317">
            <w:pPr>
              <w:jc w:val="right"/>
              <w:rPr>
                <w:b/>
                <w:szCs w:val="20"/>
                <w:lang w:val="sr-Latn-CS"/>
              </w:rPr>
            </w:pPr>
            <w:r w:rsidRPr="006E7AF4">
              <w:rPr>
                <w:rFonts w:cs="Arial"/>
                <w:szCs w:val="20"/>
                <w:lang w:val="sr-Cyrl-CS"/>
              </w:rPr>
              <w:t>СРБ</w:t>
            </w:r>
            <w:r w:rsidR="00F1736F" w:rsidRPr="004F0AF6">
              <w:rPr>
                <w:rFonts w:cs="Arial"/>
                <w:szCs w:val="20"/>
              </w:rPr>
              <w:t>28</w:t>
            </w:r>
            <w:r w:rsidR="00FB3317" w:rsidRPr="004F0AF6">
              <w:rPr>
                <w:rFonts w:cs="Arial"/>
                <w:szCs w:val="20"/>
                <w:lang w:val="sr-Latn-RS"/>
              </w:rPr>
              <w:t>3</w:t>
            </w:r>
            <w:r w:rsidR="00736F0F" w:rsidRPr="006E7AF4">
              <w:rPr>
                <w:rFonts w:cs="Arial"/>
                <w:szCs w:val="20"/>
                <w:lang w:val="sr-Cyrl-CS"/>
              </w:rPr>
              <w:t xml:space="preserve"> </w:t>
            </w:r>
            <w:r>
              <w:rPr>
                <w:rFonts w:cs="Arial"/>
                <w:szCs w:val="20"/>
              </w:rPr>
              <w:t>ПД</w:t>
            </w:r>
            <w:r>
              <w:rPr>
                <w:rFonts w:cs="Arial"/>
                <w:szCs w:val="20"/>
                <w:lang w:val="sr-Cyrl-CS"/>
              </w:rPr>
              <w:t>10</w:t>
            </w:r>
            <w:r w:rsidRPr="006E7AF4">
              <w:rPr>
                <w:rFonts w:cs="Arial"/>
                <w:szCs w:val="20"/>
                <w:lang w:val="sr-Cyrl-CS"/>
              </w:rPr>
              <w:t xml:space="preserve"> </w:t>
            </w:r>
            <w:r w:rsidR="00F1736F">
              <w:rPr>
                <w:rFonts w:cs="Arial"/>
                <w:szCs w:val="20"/>
                <w:lang w:val="sr-Latn-CS"/>
              </w:rPr>
              <w:t>1510</w:t>
            </w:r>
            <w:r w:rsidR="002B1862">
              <w:rPr>
                <w:rFonts w:cs="Arial"/>
                <w:szCs w:val="20"/>
                <w:lang w:val="sr-Latn-CS"/>
              </w:rPr>
              <w:t>20</w:t>
            </w:r>
          </w:p>
        </w:tc>
      </w:tr>
    </w:tbl>
    <w:p w14:paraId="056B9332" w14:textId="5D937DE0" w:rsidR="00FD1B20" w:rsidRPr="00FA6F35" w:rsidRDefault="00FD1B20" w:rsidP="005F20A1">
      <w:pPr>
        <w:spacing w:before="360" w:after="240"/>
        <w:jc w:val="center"/>
        <w:rPr>
          <w:rFonts w:cs="Arial"/>
          <w:b/>
          <w:bCs/>
          <w:sz w:val="24"/>
        </w:rPr>
      </w:pPr>
      <w:r w:rsidRPr="00FD1B20">
        <w:rPr>
          <w:rFonts w:cs="Arial"/>
          <w:b/>
          <w:bCs/>
          <w:sz w:val="24"/>
          <w:lang w:val="ru-RU"/>
        </w:rPr>
        <w:t>Сиромаштво и социјалн</w:t>
      </w:r>
      <w:r w:rsidR="00EC42DD">
        <w:rPr>
          <w:rFonts w:cs="Arial"/>
          <w:b/>
          <w:bCs/>
          <w:sz w:val="24"/>
          <w:lang w:val="ru-RU"/>
        </w:rPr>
        <w:t>а неједнакост</w:t>
      </w:r>
      <w:r w:rsidR="00F011E3">
        <w:rPr>
          <w:rFonts w:cs="Arial"/>
          <w:b/>
          <w:bCs/>
          <w:sz w:val="24"/>
        </w:rPr>
        <w:t>,</w:t>
      </w:r>
      <w:r w:rsidR="00C94CC3">
        <w:rPr>
          <w:rFonts w:cs="Arial"/>
          <w:b/>
          <w:bCs/>
          <w:sz w:val="24"/>
        </w:rPr>
        <w:t xml:space="preserve"> </w:t>
      </w:r>
      <w:r w:rsidR="00EF7FD9">
        <w:rPr>
          <w:rFonts w:cs="Arial"/>
          <w:b/>
          <w:bCs/>
          <w:sz w:val="24"/>
        </w:rPr>
        <w:t>201</w:t>
      </w:r>
      <w:r w:rsidR="00E955AC">
        <w:rPr>
          <w:rFonts w:cs="Arial"/>
          <w:b/>
          <w:bCs/>
          <w:sz w:val="24"/>
          <w:lang w:val="en-US"/>
        </w:rPr>
        <w:t>9</w:t>
      </w:r>
      <w:r w:rsidR="007D2878">
        <w:rPr>
          <w:rFonts w:cs="Arial"/>
          <w:b/>
          <w:bCs/>
          <w:sz w:val="24"/>
        </w:rPr>
        <w:t>.</w:t>
      </w:r>
    </w:p>
    <w:p w14:paraId="123C1607" w14:textId="354DC1B5" w:rsidR="00D111E9" w:rsidRDefault="007B6E41" w:rsidP="00D10C4B">
      <w:pPr>
        <w:pStyle w:val="NoSpacing"/>
        <w:spacing w:before="120" w:after="120" w:line="228" w:lineRule="auto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7B6E41">
        <w:rPr>
          <w:rFonts w:ascii="Arial" w:hAnsi="Arial" w:cs="Arial"/>
          <w:bCs/>
          <w:noProof/>
          <w:sz w:val="20"/>
          <w:szCs w:val="20"/>
          <w:lang w:val="sr-Cyrl-RS"/>
        </w:rPr>
        <w:t xml:space="preserve">У 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>2019. години стопа ризика од сиромаштва износила је 23,2%</w:t>
      </w:r>
      <w:r w:rsidR="00570534">
        <w:rPr>
          <w:rFonts w:ascii="Arial" w:hAnsi="Arial" w:cs="Arial"/>
          <w:bCs/>
          <w:noProof/>
          <w:sz w:val="20"/>
          <w:szCs w:val="20"/>
          <w:lang w:val="sr-Cyrl-RS"/>
        </w:rPr>
        <w:t>, и у односу на 2018. годину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 xml:space="preserve"> нижа је за 1,1 процентна поена</w:t>
      </w:r>
      <w:r w:rsidR="00570534">
        <w:rPr>
          <w:rFonts w:ascii="Arial" w:hAnsi="Arial" w:cs="Arial"/>
          <w:bCs/>
          <w:noProof/>
          <w:sz w:val="20"/>
          <w:szCs w:val="20"/>
          <w:lang w:val="sr-Cyrl-RS"/>
        </w:rPr>
        <w:t xml:space="preserve">. Стопа ризика од сиромаштва или социјалне искључености износила је </w:t>
      </w:r>
      <w:r w:rsidR="00570534" w:rsidRPr="00570534">
        <w:rPr>
          <w:rFonts w:ascii="Arial" w:hAnsi="Arial" w:cs="Arial"/>
          <w:bCs/>
          <w:noProof/>
          <w:sz w:val="20"/>
          <w:szCs w:val="20"/>
          <w:lang w:val="sr-Cyrl-RS"/>
        </w:rPr>
        <w:t>31,7</w:t>
      </w:r>
      <w:r w:rsidR="00570534">
        <w:rPr>
          <w:rFonts w:ascii="Arial" w:hAnsi="Arial" w:cs="Arial"/>
          <w:bCs/>
          <w:noProof/>
          <w:sz w:val="20"/>
          <w:szCs w:val="20"/>
          <w:lang w:val="sr-Cyrl-RS"/>
        </w:rPr>
        <w:t>%, и у односу на 2018. годину нижа је за 2,6 процентна поена.</w:t>
      </w:r>
    </w:p>
    <w:p w14:paraId="030D182C" w14:textId="0A68171C" w:rsidR="006D3900" w:rsidRPr="00766DF3" w:rsidRDefault="006D3900" w:rsidP="00D10C4B">
      <w:pPr>
        <w:pStyle w:val="NoSpacing"/>
        <w:spacing w:before="240" w:after="60" w:line="228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6D3900">
        <w:rPr>
          <w:rFonts w:ascii="Arial" w:hAnsi="Arial" w:cs="Arial"/>
          <w:b/>
          <w:bCs/>
          <w:noProof/>
          <w:sz w:val="20"/>
          <w:szCs w:val="20"/>
          <w:lang w:val="sr-Cyrl-RS"/>
        </w:rPr>
        <w:t>Основни показатељи сиромаштва и социјалне искључености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33"/>
        <w:gridCol w:w="1018"/>
        <w:gridCol w:w="1018"/>
        <w:gridCol w:w="1018"/>
        <w:gridCol w:w="1018"/>
      </w:tblGrid>
      <w:tr w:rsidR="00D111E9" w:rsidRPr="006D3900" w14:paraId="2461F5CE" w14:textId="77777777" w:rsidTr="00085E64">
        <w:tc>
          <w:tcPr>
            <w:tcW w:w="6133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</w:tcPr>
          <w:p w14:paraId="71BF53E2" w14:textId="77777777" w:rsidR="00D111E9" w:rsidRPr="005F20A1" w:rsidRDefault="00D111E9" w:rsidP="00FD1B20">
            <w:pPr>
              <w:pStyle w:val="NoSpacing"/>
              <w:spacing w:before="120" w:after="120" w:line="228" w:lineRule="auto"/>
              <w:jc w:val="both"/>
              <w:rPr>
                <w:rFonts w:ascii="Arial" w:hAnsi="Arial" w:cs="Arial"/>
                <w:bCs/>
                <w:noProof/>
                <w:sz w:val="18"/>
                <w:szCs w:val="20"/>
                <w:lang w:val="sr-Cyrl-RS"/>
              </w:rPr>
            </w:pP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54020261" w14:textId="6524A563" w:rsidR="00D111E9" w:rsidRPr="00862A35" w:rsidRDefault="00D111E9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</w:pPr>
            <w:r w:rsidRPr="00862A35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>2016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6C22380D" w14:textId="601FC7C7" w:rsidR="00D111E9" w:rsidRPr="00862A35" w:rsidRDefault="00D111E9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</w:pPr>
            <w:r w:rsidRPr="00862A35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77CD2B61" w14:textId="56EB95E1" w:rsidR="00D111E9" w:rsidRPr="00862A35" w:rsidRDefault="00D111E9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</w:pPr>
            <w:r w:rsidRPr="00862A35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>2018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15060E5E" w14:textId="218BA40A" w:rsidR="00D111E9" w:rsidRPr="00862A35" w:rsidRDefault="00D111E9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</w:pPr>
            <w:r w:rsidRPr="00862A35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>2019</w:t>
            </w:r>
          </w:p>
        </w:tc>
      </w:tr>
      <w:tr w:rsidR="00D111E9" w:rsidRPr="006D3900" w14:paraId="3D320C97" w14:textId="77777777" w:rsidTr="00AB4DBE">
        <w:trPr>
          <w:trHeight w:hRule="exact" w:val="340"/>
        </w:trPr>
        <w:tc>
          <w:tcPr>
            <w:tcW w:w="6133" w:type="dxa"/>
            <w:tcBorders>
              <w:top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vAlign w:val="center"/>
          </w:tcPr>
          <w:p w14:paraId="5D1FA884" w14:textId="25FF397F" w:rsidR="00D111E9" w:rsidRPr="00A83C32" w:rsidRDefault="00D111E9" w:rsidP="00085E64">
            <w:pPr>
              <w:pStyle w:val="NoSpacing"/>
              <w:spacing w:before="120" w:after="120" w:line="228" w:lineRule="auto"/>
              <w:rPr>
                <w:rFonts w:ascii="Arial" w:hAnsi="Arial" w:cs="Arial"/>
                <w:sz w:val="20"/>
              </w:rPr>
            </w:pPr>
            <w:r w:rsidRPr="00A83C32">
              <w:rPr>
                <w:rFonts w:ascii="Arial" w:hAnsi="Arial" w:cs="Arial"/>
                <w:sz w:val="20"/>
              </w:rPr>
              <w:t>Стопа ризика од сиромаштва, %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nil"/>
            </w:tcBorders>
          </w:tcPr>
          <w:p w14:paraId="1237B3BE" w14:textId="66FFF0EC" w:rsidR="00D111E9" w:rsidRPr="00A83C32" w:rsidRDefault="00D111E9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25</w:t>
            </w:r>
            <w:r w:rsidR="00E96B79" w:rsidRPr="00A83C32">
              <w:rPr>
                <w:rFonts w:ascii="Arial" w:hAnsi="Arial" w:cs="Arial"/>
                <w:sz w:val="20"/>
                <w:szCs w:val="20"/>
              </w:rPr>
              <w:t>,</w:t>
            </w:r>
            <w:r w:rsidRPr="00A83C32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2290B123" w14:textId="4667ABD4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23E855BF" w14:textId="7A7208D1" w:rsidR="00D111E9" w:rsidRPr="00A83C32" w:rsidRDefault="00D111E9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232E458C" w14:textId="03C93723" w:rsidR="00D111E9" w:rsidRPr="00A83C32" w:rsidRDefault="00D111E9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1018" w:type="dxa"/>
            <w:tcBorders>
              <w:top w:val="single" w:sz="6" w:space="0" w:color="365F91" w:themeColor="accent1" w:themeShade="BF"/>
              <w:left w:val="nil"/>
              <w:bottom w:val="nil"/>
            </w:tcBorders>
          </w:tcPr>
          <w:p w14:paraId="412ED870" w14:textId="5954DAE8" w:rsidR="00D111E9" w:rsidRPr="00A83C32" w:rsidRDefault="00D111E9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</w:tr>
      <w:tr w:rsidR="006D3900" w:rsidRPr="006D3900" w14:paraId="4A579292" w14:textId="77777777" w:rsidTr="00AB4DBE">
        <w:trPr>
          <w:trHeight w:hRule="exact" w:val="340"/>
        </w:trPr>
        <w:tc>
          <w:tcPr>
            <w:tcW w:w="6133" w:type="dxa"/>
            <w:tcBorders>
              <w:top w:val="nil"/>
              <w:bottom w:val="nil"/>
              <w:right w:val="single" w:sz="6" w:space="0" w:color="365F91" w:themeColor="accent1" w:themeShade="BF"/>
            </w:tcBorders>
            <w:vAlign w:val="center"/>
          </w:tcPr>
          <w:p w14:paraId="4419D6C5" w14:textId="63D1539F" w:rsidR="006D3900" w:rsidRPr="00A83C32" w:rsidRDefault="006D3900" w:rsidP="00085E64">
            <w:pPr>
              <w:pStyle w:val="NoSpacing"/>
              <w:spacing w:before="120" w:after="120" w:line="228" w:lineRule="auto"/>
              <w:rPr>
                <w:rFonts w:ascii="Arial" w:hAnsi="Arial" w:cs="Arial"/>
                <w:sz w:val="20"/>
              </w:rPr>
            </w:pPr>
            <w:r w:rsidRPr="00A83C32">
              <w:rPr>
                <w:rFonts w:ascii="Arial" w:hAnsi="Arial" w:cs="Arial"/>
                <w:sz w:val="20"/>
              </w:rPr>
              <w:t>Стопа ризика од сиромаштва или социјалне искључености, %</w:t>
            </w:r>
          </w:p>
        </w:tc>
        <w:tc>
          <w:tcPr>
            <w:tcW w:w="1018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</w:tcPr>
          <w:p w14:paraId="2E511C35" w14:textId="7081E5AF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F285" w14:textId="42554C22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CD48" w14:textId="5D567B02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3E793" w14:textId="77777777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  <w:szCs w:val="20"/>
              </w:rPr>
              <w:t>31,7</w:t>
            </w:r>
          </w:p>
          <w:p w14:paraId="04AF0B77" w14:textId="552F6433" w:rsidR="006D3900" w:rsidRPr="00A83C32" w:rsidRDefault="006D3900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E64" w:rsidRPr="006D3900" w14:paraId="4DAE361D" w14:textId="77777777" w:rsidTr="00AB4DBE">
        <w:trPr>
          <w:trHeight w:hRule="exact" w:val="340"/>
        </w:trPr>
        <w:tc>
          <w:tcPr>
            <w:tcW w:w="6133" w:type="dxa"/>
            <w:tcBorders>
              <w:top w:val="nil"/>
              <w:bottom w:val="nil"/>
              <w:right w:val="single" w:sz="6" w:space="0" w:color="365F91" w:themeColor="accent1" w:themeShade="BF"/>
            </w:tcBorders>
            <w:vAlign w:val="center"/>
          </w:tcPr>
          <w:p w14:paraId="331B669E" w14:textId="2EA77BCB" w:rsidR="00085E64" w:rsidRPr="00A83C32" w:rsidRDefault="00085E64" w:rsidP="00085E64">
            <w:pPr>
              <w:pStyle w:val="NoSpacing"/>
              <w:spacing w:before="120" w:after="120" w:line="228" w:lineRule="auto"/>
              <w:rPr>
                <w:rFonts w:ascii="Arial" w:hAnsi="Arial" w:cs="Arial"/>
                <w:sz w:val="20"/>
              </w:rPr>
            </w:pPr>
            <w:r w:rsidRPr="00A83C32">
              <w:rPr>
                <w:rFonts w:ascii="Arial" w:hAnsi="Arial" w:cs="Arial"/>
                <w:sz w:val="20"/>
              </w:rPr>
              <w:t>Праг ризика од сиромаштва (месечни просек), РСД</w:t>
            </w:r>
          </w:p>
        </w:tc>
        <w:tc>
          <w:tcPr>
            <w:tcW w:w="1018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</w:tcPr>
          <w:p w14:paraId="3D3C8C06" w14:textId="6ABD0D39" w:rsidR="00085E64" w:rsidRPr="00A83C32" w:rsidRDefault="00085E64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</w:rPr>
              <w:t>14 680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86BD" w14:textId="71B13525" w:rsidR="00085E64" w:rsidRPr="00A83C32" w:rsidRDefault="00085E64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</w:rPr>
              <w:t>15 600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1E238" w14:textId="3650CCCB" w:rsidR="00085E64" w:rsidRPr="00A83C32" w:rsidRDefault="00085E64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</w:rPr>
              <w:t>16 615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9044DA" w14:textId="54CD676E" w:rsidR="00085E64" w:rsidRPr="00A83C32" w:rsidRDefault="00085E64" w:rsidP="00085E64">
            <w:pPr>
              <w:pStyle w:val="NoSpacing"/>
              <w:spacing w:before="120" w:after="120" w:line="22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C32">
              <w:rPr>
                <w:rFonts w:ascii="Arial" w:hAnsi="Arial" w:cs="Arial"/>
                <w:sz w:val="20"/>
              </w:rPr>
              <w:t>19 381</w:t>
            </w:r>
          </w:p>
        </w:tc>
      </w:tr>
    </w:tbl>
    <w:p w14:paraId="24070EDC" w14:textId="0B7ABBD6" w:rsidR="00D2691E" w:rsidRDefault="0068642D" w:rsidP="00D10C4B">
      <w:pPr>
        <w:pStyle w:val="NoSpacing"/>
        <w:spacing w:before="240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>
        <w:rPr>
          <w:rFonts w:ascii="Arial" w:hAnsi="Arial" w:cs="Arial"/>
          <w:bCs/>
          <w:noProof/>
          <w:sz w:val="20"/>
          <w:szCs w:val="20"/>
          <w:lang w:val="sr-Cyrl-RS"/>
        </w:rPr>
        <w:t xml:space="preserve">Стопа ризика од сиромаштва представља проценат лица чији је </w:t>
      </w:r>
      <w:r w:rsid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расположиви 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>еквивалентни приход</w:t>
      </w:r>
      <w:r w:rsid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испод прага ризика од сиромаштва, који је у 2019. износио 19 381 динара просечно месечно за једночлано домаћинство.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 xml:space="preserve"> </w:t>
      </w:r>
      <w:r w:rsid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Стопа ризика од сиромаштва не показује колико лица </w:t>
      </w:r>
      <w:r w:rsidR="005F20A1">
        <w:rPr>
          <w:rFonts w:ascii="Arial" w:hAnsi="Arial" w:cs="Arial"/>
          <w:bCs/>
          <w:noProof/>
          <w:sz w:val="20"/>
          <w:szCs w:val="20"/>
          <w:lang w:val="sr-Cyrl-RS"/>
        </w:rPr>
        <w:t xml:space="preserve">је </w:t>
      </w:r>
      <w:r w:rsid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стварно сиромашно, већ проценат лица који имају </w:t>
      </w:r>
      <w:r w:rsidR="00766DF3">
        <w:rPr>
          <w:rFonts w:ascii="Arial" w:hAnsi="Arial" w:cs="Arial"/>
          <w:bCs/>
          <w:noProof/>
          <w:sz w:val="20"/>
          <w:szCs w:val="20"/>
          <w:lang w:val="sr-Cyrl-RS"/>
        </w:rPr>
        <w:t xml:space="preserve">еквивалентни расположиви </w:t>
      </w:r>
      <w:r w:rsid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приход нижи од прага ризика од сиромаштва. </w:t>
      </w:r>
    </w:p>
    <w:p w14:paraId="48FD5E49" w14:textId="688B37B3" w:rsidR="006D3900" w:rsidRDefault="00D2691E" w:rsidP="00D10C4B">
      <w:pPr>
        <w:pStyle w:val="NoSpacing"/>
        <w:spacing w:before="60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>
        <w:rPr>
          <w:rFonts w:ascii="Arial" w:hAnsi="Arial" w:cs="Arial"/>
          <w:bCs/>
          <w:noProof/>
          <w:sz w:val="20"/>
          <w:szCs w:val="20"/>
          <w:lang w:val="sr-Cyrl-RS"/>
        </w:rPr>
        <w:t>П</w:t>
      </w:r>
      <w:r w:rsidRPr="00D2691E">
        <w:rPr>
          <w:rFonts w:ascii="Arial" w:hAnsi="Arial" w:cs="Arial"/>
          <w:bCs/>
          <w:noProof/>
          <w:sz w:val="20"/>
          <w:szCs w:val="20"/>
          <w:lang w:val="sr-Cyrl-RS"/>
        </w:rPr>
        <w:t xml:space="preserve">раг ризика од сиромаштва 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>з</w:t>
      </w:r>
      <w:r w:rsidRPr="00D2691E">
        <w:rPr>
          <w:rFonts w:ascii="Arial" w:hAnsi="Arial" w:cs="Arial"/>
          <w:bCs/>
          <w:noProof/>
          <w:sz w:val="20"/>
          <w:szCs w:val="20"/>
          <w:lang w:val="sr-Cyrl-RS"/>
        </w:rPr>
        <w:t>а домаћинства с двоје одраслих и једним дететом старости до 14 година износио је 34 886 динара, док је за четворочлано домаћинство с двоје одраслих и двоје деце старости до 14 година износио 40 700 динара.</w:t>
      </w:r>
    </w:p>
    <w:p w14:paraId="3FE4B4D4" w14:textId="491AED9C" w:rsidR="005F20A1" w:rsidRPr="002D4F7D" w:rsidRDefault="005F20A1" w:rsidP="00D10C4B">
      <w:pPr>
        <w:pStyle w:val="NoSpacing"/>
        <w:spacing w:before="60"/>
        <w:ind w:firstLine="567"/>
        <w:jc w:val="both"/>
        <w:rPr>
          <w:rFonts w:ascii="Arial" w:hAnsi="Arial" w:cs="Arial"/>
          <w:sz w:val="20"/>
          <w:lang w:val="sr-Cyrl-RS"/>
        </w:rPr>
      </w:pPr>
      <w:r w:rsidRPr="002D4F7D">
        <w:rPr>
          <w:rFonts w:ascii="Arial" w:hAnsi="Arial" w:cs="Arial"/>
          <w:sz w:val="20"/>
        </w:rPr>
        <w:t>Стопа ризика од сиромаштва или социјалне искључености</w:t>
      </w:r>
      <w:r w:rsidRPr="002D4F7D">
        <w:rPr>
          <w:rFonts w:ascii="Arial" w:hAnsi="Arial" w:cs="Arial"/>
          <w:sz w:val="20"/>
          <w:lang w:val="sr-Cyrl-RS"/>
        </w:rPr>
        <w:t xml:space="preserve"> показује проценат лица који су у ризику од сиромаштва, или су изразито материјално ускраћени, или живе у домаћинствима веома ниског интензитета рада.</w:t>
      </w:r>
    </w:p>
    <w:p w14:paraId="588F56C3" w14:textId="7559E452" w:rsidR="005F20A1" w:rsidRPr="004A13B8" w:rsidRDefault="005F20A1" w:rsidP="00D10C4B">
      <w:pPr>
        <w:spacing w:before="60"/>
        <w:ind w:firstLine="567"/>
        <w:jc w:val="both"/>
        <w:rPr>
          <w:noProof/>
          <w:szCs w:val="20"/>
          <w:lang w:val="sr-Latn-RS"/>
        </w:rPr>
      </w:pPr>
      <w:r w:rsidRPr="002D4F7D">
        <w:rPr>
          <w:noProof/>
          <w:szCs w:val="20"/>
          <w:lang w:val="ru-RU"/>
        </w:rPr>
        <w:t xml:space="preserve">Посматрано према старости, лица </w:t>
      </w:r>
      <w:r w:rsidRPr="002D4F7D">
        <w:rPr>
          <w:noProof/>
          <w:szCs w:val="20"/>
        </w:rPr>
        <w:t>млађа од 18 година</w:t>
      </w:r>
      <w:r w:rsidRPr="002D4F7D">
        <w:rPr>
          <w:noProof/>
          <w:szCs w:val="20"/>
          <w:lang w:val="ru-RU"/>
        </w:rPr>
        <w:t xml:space="preserve"> највише су била</w:t>
      </w:r>
      <w:r w:rsidR="004A13B8">
        <w:rPr>
          <w:noProof/>
          <w:szCs w:val="20"/>
          <w:lang w:val="ru-RU"/>
        </w:rPr>
        <w:t xml:space="preserve"> изложена ризику од сиромаштва </w:t>
      </w:r>
      <w:r w:rsidR="004A13B8">
        <w:rPr>
          <w:noProof/>
          <w:szCs w:val="20"/>
          <w:lang w:val="sr-Latn-RS"/>
        </w:rPr>
        <w:t xml:space="preserve">– </w:t>
      </w:r>
      <w:r w:rsidRPr="002D4F7D">
        <w:rPr>
          <w:rFonts w:eastAsia="Calibri" w:cs="Calibri"/>
          <w:noProof/>
          <w:szCs w:val="20"/>
        </w:rPr>
        <w:t>28,9</w:t>
      </w:r>
      <w:r w:rsidRPr="002D4F7D">
        <w:rPr>
          <w:rFonts w:eastAsia="Calibri" w:cs="Calibri"/>
          <w:noProof/>
          <w:szCs w:val="20"/>
          <w:lang w:val="ru-RU"/>
        </w:rPr>
        <w:t>%</w:t>
      </w:r>
      <w:r w:rsidRPr="002D4F7D">
        <w:rPr>
          <w:rFonts w:eastAsia="Calibri" w:cs="Calibri"/>
          <w:noProof/>
          <w:szCs w:val="20"/>
        </w:rPr>
        <w:t xml:space="preserve">, као и лица старости од 18 до 24 година </w:t>
      </w:r>
      <w:r w:rsidR="004A13B8">
        <w:rPr>
          <w:noProof/>
          <w:szCs w:val="20"/>
          <w:lang w:val="sr-Latn-RS"/>
        </w:rPr>
        <w:t xml:space="preserve">– </w:t>
      </w:r>
      <w:r w:rsidRPr="002D4F7D">
        <w:rPr>
          <w:rFonts w:eastAsia="Calibri" w:cs="Calibri"/>
          <w:noProof/>
          <w:szCs w:val="20"/>
          <w:lang w:val="ru-RU"/>
        </w:rPr>
        <w:t>2</w:t>
      </w:r>
      <w:r w:rsidR="004A13B8">
        <w:rPr>
          <w:rFonts w:eastAsia="Calibri" w:cs="Calibri"/>
          <w:noProof/>
          <w:szCs w:val="20"/>
        </w:rPr>
        <w:t>5,6%</w:t>
      </w:r>
      <w:r w:rsidRPr="002D4F7D">
        <w:rPr>
          <w:rFonts w:eastAsia="Calibri" w:cs="Calibri"/>
          <w:noProof/>
          <w:szCs w:val="20"/>
          <w:lang w:val="ru-RU"/>
        </w:rPr>
        <w:t>.</w:t>
      </w:r>
      <w:r w:rsidRPr="002D4F7D">
        <w:rPr>
          <w:noProof/>
          <w:szCs w:val="20"/>
          <w:lang w:val="ru-RU"/>
        </w:rPr>
        <w:t xml:space="preserve"> Најнижу стопу ризика од сиромаштва имале су особе старије од 65 година</w:t>
      </w:r>
      <w:r w:rsidR="004A13B8">
        <w:rPr>
          <w:noProof/>
          <w:szCs w:val="20"/>
          <w:lang w:val="sr-Latn-RS"/>
        </w:rPr>
        <w:t xml:space="preserve"> – </w:t>
      </w:r>
      <w:r w:rsidRPr="002D4F7D">
        <w:rPr>
          <w:noProof/>
          <w:szCs w:val="20"/>
          <w:lang w:val="ru-RU"/>
        </w:rPr>
        <w:t>21</w:t>
      </w:r>
      <w:r w:rsidRPr="002D4F7D">
        <w:rPr>
          <w:rFonts w:eastAsia="Calibri" w:cs="Calibri"/>
          <w:noProof/>
          <w:szCs w:val="20"/>
        </w:rPr>
        <w:t>,1</w:t>
      </w:r>
      <w:r w:rsidR="004A13B8">
        <w:rPr>
          <w:rFonts w:eastAsia="Calibri" w:cs="Calibri"/>
          <w:noProof/>
          <w:szCs w:val="20"/>
          <w:lang w:val="ru-RU"/>
        </w:rPr>
        <w:t>%</w:t>
      </w:r>
      <w:r w:rsidRPr="002D4F7D">
        <w:rPr>
          <w:rFonts w:eastAsia="Calibri" w:cs="Calibri"/>
          <w:noProof/>
          <w:szCs w:val="20"/>
          <w:lang w:val="ru-RU"/>
        </w:rPr>
        <w:t>.</w:t>
      </w:r>
    </w:p>
    <w:p w14:paraId="0E005A46" w14:textId="1F147CF1" w:rsidR="005F20A1" w:rsidRPr="002D4F7D" w:rsidRDefault="005F20A1" w:rsidP="00D10C4B">
      <w:pPr>
        <w:pStyle w:val="NoSpacing"/>
        <w:spacing w:before="60"/>
        <w:ind w:firstLine="567"/>
        <w:jc w:val="both"/>
        <w:rPr>
          <w:rFonts w:ascii="Arial" w:hAnsi="Arial"/>
          <w:noProof/>
          <w:sz w:val="20"/>
          <w:szCs w:val="20"/>
          <w:lang w:val="sr-Cyrl-RS"/>
        </w:rPr>
      </w:pPr>
      <w:r w:rsidRPr="002D4F7D">
        <w:rPr>
          <w:rFonts w:ascii="Arial" w:hAnsi="Arial"/>
          <w:noProof/>
          <w:sz w:val="20"/>
          <w:szCs w:val="20"/>
          <w:lang w:val="ru-RU"/>
        </w:rPr>
        <w:t xml:space="preserve">Према </w:t>
      </w:r>
      <w:r w:rsidRPr="002D4F7D">
        <w:rPr>
          <w:rFonts w:ascii="Arial" w:hAnsi="Arial" w:cs="Arial"/>
          <w:noProof/>
          <w:sz w:val="20"/>
          <w:szCs w:val="20"/>
          <w:lang w:val="ru-RU"/>
        </w:rPr>
        <w:t>типу домаћинства</w:t>
      </w:r>
      <w:r w:rsidRPr="002D4F7D">
        <w:rPr>
          <w:rFonts w:ascii="Arial" w:hAnsi="Arial"/>
          <w:noProof/>
          <w:sz w:val="20"/>
          <w:szCs w:val="20"/>
          <w:lang w:val="ru-RU"/>
        </w:rPr>
        <w:t xml:space="preserve">, највишу стопу ризика од сиромаштва имала су лица у домаћинствима </w:t>
      </w:r>
      <w:r w:rsidRPr="002D4F7D">
        <w:rPr>
          <w:rFonts w:ascii="Arial" w:hAnsi="Arial" w:cs="Arial"/>
          <w:noProof/>
          <w:sz w:val="20"/>
          <w:szCs w:val="20"/>
          <w:lang w:val="ru-RU"/>
        </w:rPr>
        <w:t>која чине</w:t>
      </w:r>
      <w:r w:rsidRPr="002D4F7D">
        <w:rPr>
          <w:rFonts w:ascii="Arial" w:hAnsi="Arial"/>
          <w:noProof/>
          <w:sz w:val="20"/>
          <w:szCs w:val="20"/>
          <w:lang w:val="ru-RU"/>
        </w:rPr>
        <w:t xml:space="preserve"> две одрасле особе с троје или више издржаване деце </w:t>
      </w:r>
      <w:r w:rsidR="004A13B8">
        <w:rPr>
          <w:noProof/>
          <w:szCs w:val="20"/>
          <w:lang w:val="sr-Latn-RS"/>
        </w:rPr>
        <w:t xml:space="preserve">– </w:t>
      </w:r>
      <w:r w:rsidRPr="002D4F7D">
        <w:rPr>
          <w:rFonts w:ascii="Arial" w:hAnsi="Arial"/>
          <w:noProof/>
          <w:sz w:val="20"/>
          <w:szCs w:val="20"/>
          <w:lang w:val="ru-RU"/>
        </w:rPr>
        <w:t>51,</w:t>
      </w:r>
      <w:r w:rsidRPr="002D4F7D">
        <w:rPr>
          <w:rFonts w:ascii="Arial" w:hAnsi="Arial"/>
          <w:noProof/>
          <w:sz w:val="20"/>
          <w:szCs w:val="20"/>
          <w:lang w:val="sr-Cyrl-RS"/>
        </w:rPr>
        <w:t>9</w:t>
      </w:r>
      <w:r w:rsidRPr="002D4F7D">
        <w:rPr>
          <w:rFonts w:ascii="Arial" w:hAnsi="Arial"/>
          <w:noProof/>
          <w:sz w:val="20"/>
          <w:szCs w:val="20"/>
          <w:lang w:val="ru-RU"/>
        </w:rPr>
        <w:t xml:space="preserve">%, </w:t>
      </w:r>
      <w:r w:rsidRPr="002D4F7D">
        <w:rPr>
          <w:rFonts w:ascii="Arial" w:hAnsi="Arial"/>
          <w:noProof/>
          <w:sz w:val="20"/>
          <w:szCs w:val="20"/>
          <w:lang w:val="sr-Cyrl-RS"/>
        </w:rPr>
        <w:t xml:space="preserve">затим лица у домаћинствима која чине самохрани родитељи с једним дететом или више издржаване деце </w:t>
      </w:r>
      <w:r w:rsidR="004A13B8">
        <w:rPr>
          <w:noProof/>
          <w:szCs w:val="20"/>
          <w:lang w:val="sr-Latn-RS"/>
        </w:rPr>
        <w:t xml:space="preserve">–  </w:t>
      </w:r>
      <w:r w:rsidRPr="002D4F7D">
        <w:rPr>
          <w:rFonts w:ascii="Arial" w:hAnsi="Arial"/>
          <w:noProof/>
          <w:sz w:val="20"/>
          <w:szCs w:val="20"/>
          <w:lang w:val="sr-Cyrl-RS"/>
        </w:rPr>
        <w:t xml:space="preserve">41,6%. </w:t>
      </w:r>
    </w:p>
    <w:p w14:paraId="3E93E454" w14:textId="0013CE4E" w:rsidR="005F20A1" w:rsidRPr="002D4F7D" w:rsidRDefault="005F20A1" w:rsidP="00D10C4B">
      <w:pPr>
        <w:pStyle w:val="NoSpacing"/>
        <w:tabs>
          <w:tab w:val="left" w:pos="851"/>
        </w:tabs>
        <w:spacing w:before="6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2D4F7D">
        <w:rPr>
          <w:rFonts w:ascii="Arial" w:hAnsi="Arial" w:cs="Arial"/>
          <w:noProof/>
          <w:sz w:val="20"/>
          <w:szCs w:val="20"/>
          <w:lang w:val="ru-RU"/>
        </w:rPr>
        <w:t xml:space="preserve">У зависности од радног статуса, код лица старих 18 и више година, најизложенија ризику од сиромаштва била су незапослена лица </w:t>
      </w:r>
      <w:r w:rsidR="004A13B8">
        <w:rPr>
          <w:noProof/>
          <w:szCs w:val="20"/>
          <w:lang w:val="sr-Latn-RS"/>
        </w:rPr>
        <w:t xml:space="preserve">– </w:t>
      </w:r>
      <w:r w:rsidRPr="002D4F7D">
        <w:rPr>
          <w:rFonts w:ascii="Arial" w:hAnsi="Arial"/>
          <w:noProof/>
          <w:sz w:val="20"/>
          <w:szCs w:val="20"/>
          <w:lang w:val="ru-RU"/>
        </w:rPr>
        <w:t>47</w:t>
      </w:r>
      <w:r w:rsidRPr="002D4F7D">
        <w:rPr>
          <w:rFonts w:ascii="Arial" w:hAnsi="Arial"/>
          <w:noProof/>
          <w:sz w:val="20"/>
          <w:szCs w:val="20"/>
          <w:lang w:val="sr-Cyrl-RS"/>
        </w:rPr>
        <w:t>,5</w:t>
      </w:r>
      <w:r w:rsidR="004A13B8">
        <w:rPr>
          <w:rFonts w:ascii="Arial" w:hAnsi="Arial"/>
          <w:noProof/>
          <w:sz w:val="20"/>
          <w:szCs w:val="20"/>
          <w:lang w:val="ru-RU"/>
        </w:rPr>
        <w:t>%</w:t>
      </w:r>
      <w:r w:rsidRPr="002D4F7D">
        <w:rPr>
          <w:rFonts w:ascii="Arial" w:hAnsi="Arial"/>
          <w:noProof/>
          <w:sz w:val="20"/>
          <w:szCs w:val="20"/>
          <w:lang w:val="ru-RU"/>
        </w:rPr>
        <w:t>,</w:t>
      </w:r>
      <w:r w:rsidRPr="002D4F7D">
        <w:rPr>
          <w:rFonts w:ascii="Arial" w:hAnsi="Arial" w:cs="Arial"/>
          <w:noProof/>
          <w:sz w:val="20"/>
          <w:szCs w:val="20"/>
          <w:lang w:val="ru-RU"/>
        </w:rPr>
        <w:t xml:space="preserve"> док је најнижа стопа ризика од сиромаштва</w:t>
      </w:r>
      <w:r w:rsidR="004A13B8">
        <w:rPr>
          <w:rFonts w:ascii="Arial" w:hAnsi="Arial" w:cs="Arial"/>
          <w:noProof/>
          <w:sz w:val="20"/>
          <w:szCs w:val="20"/>
          <w:lang w:val="ru-RU"/>
        </w:rPr>
        <w:t xml:space="preserve"> код запослених код послодавца </w:t>
      </w:r>
      <w:r w:rsidR="004A13B8">
        <w:rPr>
          <w:noProof/>
          <w:szCs w:val="20"/>
          <w:lang w:val="sr-Latn-RS"/>
        </w:rPr>
        <w:t xml:space="preserve">– </w:t>
      </w:r>
      <w:r w:rsidRPr="002D4F7D">
        <w:rPr>
          <w:rFonts w:ascii="Arial" w:hAnsi="Arial"/>
          <w:noProof/>
          <w:sz w:val="20"/>
          <w:szCs w:val="20"/>
          <w:lang w:val="sr-Cyrl-RS"/>
        </w:rPr>
        <w:t>6,5</w:t>
      </w:r>
      <w:r w:rsidRPr="002D4F7D">
        <w:rPr>
          <w:rFonts w:ascii="Arial" w:hAnsi="Arial"/>
          <w:noProof/>
          <w:sz w:val="20"/>
          <w:szCs w:val="20"/>
          <w:lang w:val="ru-RU"/>
        </w:rPr>
        <w:t>%.</w:t>
      </w:r>
      <w:r w:rsidRPr="002D4F7D">
        <w:rPr>
          <w:rFonts w:ascii="Arial" w:hAnsi="Arial" w:cs="Arial"/>
          <w:noProof/>
          <w:sz w:val="20"/>
          <w:szCs w:val="20"/>
          <w:lang w:val="ru-RU"/>
        </w:rPr>
        <w:t xml:space="preserve"> Код самозапослених лица ова стопа износила је </w:t>
      </w:r>
      <w:r w:rsidRPr="002D4F7D">
        <w:rPr>
          <w:rFonts w:ascii="Arial" w:hAnsi="Arial"/>
          <w:noProof/>
          <w:sz w:val="20"/>
          <w:szCs w:val="20"/>
          <w:lang w:val="ru-RU"/>
        </w:rPr>
        <w:t xml:space="preserve">25,9%, а </w:t>
      </w:r>
      <w:r w:rsidRPr="002D4F7D">
        <w:rPr>
          <w:rFonts w:ascii="Arial" w:hAnsi="Arial" w:cs="Arial"/>
          <w:noProof/>
          <w:sz w:val="20"/>
          <w:szCs w:val="20"/>
          <w:lang w:val="ru-RU"/>
        </w:rPr>
        <w:t xml:space="preserve">код пензионера </w:t>
      </w:r>
      <w:r w:rsidRPr="002D4F7D">
        <w:rPr>
          <w:rFonts w:ascii="Arial" w:hAnsi="Arial"/>
          <w:noProof/>
          <w:sz w:val="20"/>
          <w:szCs w:val="20"/>
          <w:lang w:val="sr-Cyrl-RS"/>
        </w:rPr>
        <w:t>17,2</w:t>
      </w:r>
      <w:r w:rsidRPr="002D4F7D">
        <w:rPr>
          <w:rFonts w:ascii="Arial" w:hAnsi="Arial"/>
          <w:noProof/>
          <w:sz w:val="20"/>
          <w:szCs w:val="20"/>
          <w:lang w:val="ru-RU"/>
        </w:rPr>
        <w:t>%.</w:t>
      </w:r>
    </w:p>
    <w:p w14:paraId="1E1F73F6" w14:textId="0583D243" w:rsidR="00C14B34" w:rsidRPr="00B97B19" w:rsidRDefault="00CE1A38" w:rsidP="00D10C4B">
      <w:pPr>
        <w:pStyle w:val="NoSpacing"/>
        <w:spacing w:before="360" w:after="120"/>
        <w:jc w:val="center"/>
        <w:rPr>
          <w:rFonts w:ascii="Arial" w:hAnsi="Arial" w:cs="Arial"/>
          <w:b/>
          <w:noProof/>
          <w:sz w:val="20"/>
          <w:szCs w:val="20"/>
          <w:lang w:val="ru-RU"/>
        </w:rPr>
      </w:pPr>
      <w:r w:rsidRPr="00B97B19">
        <w:rPr>
          <w:rFonts w:ascii="Arial" w:hAnsi="Arial" w:cs="Arial"/>
          <w:b/>
          <w:noProof/>
          <w:sz w:val="20"/>
          <w:szCs w:val="20"/>
          <w:lang w:val="ru-RU"/>
        </w:rPr>
        <w:t>Стопа ризика од сиромаштва или</w:t>
      </w:r>
      <w:r w:rsidR="007C6598" w:rsidRPr="00B97B19">
        <w:rPr>
          <w:rFonts w:ascii="Arial" w:hAnsi="Arial" w:cs="Arial"/>
          <w:b/>
          <w:noProof/>
          <w:sz w:val="20"/>
          <w:szCs w:val="20"/>
          <w:lang w:val="ru-RU"/>
        </w:rPr>
        <w:t xml:space="preserve"> социјалне искључености, </w:t>
      </w:r>
      <w:r w:rsidR="00FD1B20" w:rsidRPr="00B97B19">
        <w:rPr>
          <w:rFonts w:ascii="Arial" w:hAnsi="Arial" w:cs="Arial"/>
          <w:b/>
          <w:noProof/>
          <w:sz w:val="20"/>
          <w:szCs w:val="20"/>
          <w:lang w:val="ru-RU"/>
        </w:rPr>
        <w:t>%</w:t>
      </w:r>
    </w:p>
    <w:p w14:paraId="03CE67E3" w14:textId="5B552A72" w:rsidR="00B46912" w:rsidRDefault="00D24906" w:rsidP="00D24906">
      <w:pPr>
        <w:pStyle w:val="NoSpacing"/>
        <w:spacing w:before="120" w:after="120" w:line="228" w:lineRule="auto"/>
        <w:jc w:val="center"/>
        <w:rPr>
          <w:b/>
          <w:noProof/>
          <w:szCs w:val="20"/>
          <w:lang w:val="ru-RU"/>
        </w:rPr>
      </w:pPr>
      <w:r>
        <w:rPr>
          <w:b/>
          <w:noProof/>
          <w:szCs w:val="20"/>
        </w:rPr>
        <w:drawing>
          <wp:inline distT="0" distB="0" distL="0" distR="0" wp14:anchorId="78EAD278" wp14:editId="37B0B103">
            <wp:extent cx="6535420" cy="221297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F70C4" w14:textId="28C9E5DD" w:rsidR="003D4EAD" w:rsidRPr="00D152D3" w:rsidRDefault="005A2C94" w:rsidP="005A2C94">
      <w:pPr>
        <w:spacing w:after="60"/>
        <w:rPr>
          <w:rFonts w:cs="Arial"/>
          <w:b/>
          <w:noProof/>
          <w:szCs w:val="20"/>
          <w:lang w:val="sr-Latn-RS"/>
        </w:rPr>
      </w:pPr>
      <w:r>
        <w:rPr>
          <w:rFonts w:cs="Arial"/>
          <w:b/>
          <w:noProof/>
          <w:szCs w:val="20"/>
          <w:lang w:val="ru-RU"/>
        </w:rPr>
        <w:lastRenderedPageBreak/>
        <w:t xml:space="preserve">1. </w:t>
      </w:r>
      <w:r w:rsidR="00CE1A38">
        <w:rPr>
          <w:rFonts w:cs="Arial"/>
          <w:b/>
          <w:noProof/>
          <w:szCs w:val="20"/>
          <w:lang w:val="ru-RU"/>
        </w:rPr>
        <w:t>П</w:t>
      </w:r>
      <w:r w:rsidR="00CE1A38" w:rsidRPr="00CE1A38">
        <w:rPr>
          <w:rFonts w:cs="Arial"/>
          <w:b/>
          <w:noProof/>
          <w:szCs w:val="20"/>
          <w:lang w:val="ru-RU"/>
        </w:rPr>
        <w:t>оказатељи сиромаштва и социјалне искључености</w:t>
      </w:r>
    </w:p>
    <w:tbl>
      <w:tblPr>
        <w:tblW w:w="10261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93"/>
        <w:gridCol w:w="917"/>
        <w:gridCol w:w="917"/>
        <w:gridCol w:w="917"/>
        <w:gridCol w:w="917"/>
      </w:tblGrid>
      <w:tr w:rsidR="00F60132" w:rsidRPr="00593372" w14:paraId="1D3C957C" w14:textId="77777777" w:rsidTr="004C671D">
        <w:trPr>
          <w:trHeight w:val="284"/>
          <w:jc w:val="center"/>
        </w:trPr>
        <w:tc>
          <w:tcPr>
            <w:tcW w:w="6593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</w:tcPr>
          <w:p w14:paraId="5015DB1B" w14:textId="77777777" w:rsidR="00F60132" w:rsidRPr="00593372" w:rsidRDefault="00F60132" w:rsidP="004B5A98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</w:tcPr>
          <w:p w14:paraId="718374B8" w14:textId="42AC3FB0" w:rsidR="00F60132" w:rsidRPr="00B20EE1" w:rsidRDefault="00AC1101" w:rsidP="004B5A98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2016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5B21B5D9" w14:textId="31BAC726" w:rsidR="00F60132" w:rsidRPr="00B20EE1" w:rsidRDefault="00AC1101" w:rsidP="004B5A98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2017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74A1B2D" w14:textId="7E2837C7" w:rsidR="00F60132" w:rsidRPr="00B20EE1" w:rsidRDefault="00AC1101" w:rsidP="004B5A98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2018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10162EB" w14:textId="0A2C04C2" w:rsidR="00F60132" w:rsidRPr="00B20EE1" w:rsidRDefault="00AC1101" w:rsidP="004B5A98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2019</w:t>
            </w:r>
          </w:p>
        </w:tc>
      </w:tr>
      <w:tr w:rsidR="00AC1101" w:rsidRPr="00593372" w14:paraId="76464CB4" w14:textId="77777777" w:rsidTr="00821211">
        <w:trPr>
          <w:trHeight w:val="20"/>
          <w:jc w:val="center"/>
        </w:trPr>
        <w:tc>
          <w:tcPr>
            <w:tcW w:w="6593" w:type="dxa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389C5F49" w14:textId="77777777" w:rsidR="00AC1101" w:rsidRPr="002B44C0" w:rsidRDefault="00AC1101" w:rsidP="00E84591">
            <w:pPr>
              <w:spacing w:before="120" w:after="120"/>
              <w:ind w:left="57" w:right="454"/>
              <w:rPr>
                <w:rFonts w:cs="Arial"/>
                <w:b/>
                <w:bCs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Стопа ризика од сиромаштва, %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62003288" w14:textId="64E42512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25,9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3C9F8265" w14:textId="01CFCED6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25,7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4E5A2140" w14:textId="25D6078D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en-US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24,3</w:t>
            </w:r>
          </w:p>
        </w:tc>
        <w:tc>
          <w:tcPr>
            <w:tcW w:w="917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72BA75CE" w14:textId="6DB5CA6F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en-US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23,2</w:t>
            </w:r>
          </w:p>
        </w:tc>
      </w:tr>
      <w:tr w:rsidR="00AC1101" w:rsidRPr="00CE1A38" w14:paraId="4D679F52" w14:textId="77777777" w:rsidTr="002B44C0">
        <w:trPr>
          <w:trHeight w:val="227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1020221B" w14:textId="5EFCAFB5" w:rsidR="00AC1101" w:rsidRPr="00CE1A38" w:rsidRDefault="00AC1101" w:rsidP="00E84591">
            <w:pPr>
              <w:ind w:left="57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Праг ризика од сиромаштва (месечн</w:t>
            </w:r>
            <w:r w:rsidRPr="00CE1A38">
              <w:rPr>
                <w:rFonts w:cs="Arial"/>
                <w:noProof/>
                <w:sz w:val="18"/>
                <w:szCs w:val="16"/>
              </w:rPr>
              <w:t>и</w:t>
            </w:r>
            <w:r w:rsidR="00172091">
              <w:rPr>
                <w:rFonts w:cs="Arial"/>
                <w:noProof/>
                <w:sz w:val="18"/>
                <w:szCs w:val="16"/>
                <w:lang w:val="ru-RU"/>
              </w:rPr>
              <w:t xml:space="preserve"> просек), РСД</w:t>
            </w:r>
          </w:p>
        </w:tc>
        <w:tc>
          <w:tcPr>
            <w:tcW w:w="917" w:type="dxa"/>
            <w:tcBorders>
              <w:left w:val="single" w:sz="6" w:space="0" w:color="365F91" w:themeColor="accent1" w:themeShade="BF"/>
            </w:tcBorders>
            <w:noWrap/>
            <w:vAlign w:val="bottom"/>
          </w:tcPr>
          <w:p w14:paraId="3BC915D7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17" w:type="dxa"/>
          </w:tcPr>
          <w:p w14:paraId="2C579D24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17" w:type="dxa"/>
          </w:tcPr>
          <w:p w14:paraId="38344538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17" w:type="dxa"/>
          </w:tcPr>
          <w:p w14:paraId="485058B3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</w:tr>
      <w:tr w:rsidR="00AC1101" w:rsidRPr="00CE1A38" w14:paraId="0E614842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26FBDF8E" w14:textId="34F8E2BC" w:rsidR="00AC1101" w:rsidRPr="00CE1A38" w:rsidRDefault="00AC1101" w:rsidP="00AC1101">
            <w:pPr>
              <w:ind w:left="34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Једночлано домаћинство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7BC1CA2" w14:textId="6EACD5DA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14 680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348B7" w14:textId="273B2E28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15 600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99AD3" w14:textId="088B5C93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16 615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584B7" w14:textId="7F504954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19 381</w:t>
            </w:r>
          </w:p>
        </w:tc>
      </w:tr>
      <w:tr w:rsidR="00AC1101" w:rsidRPr="00CE1A38" w14:paraId="25FDB230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73AE5380" w14:textId="69A27F4D" w:rsidR="00AC1101" w:rsidRPr="00CE1A38" w:rsidRDefault="00AC1101" w:rsidP="00AC1101">
            <w:pPr>
              <w:ind w:left="34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Домаћинство с двоје одраслих и једним дететом млађим од 14 година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01C646A5" w14:textId="59BCA30C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26 424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0E635" w14:textId="764393BE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28 080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C56ED" w14:textId="0C16A9CE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29 907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F7A25" w14:textId="77E71651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34 886</w:t>
            </w:r>
          </w:p>
        </w:tc>
      </w:tr>
      <w:tr w:rsidR="00AC1101" w:rsidRPr="00CE1A38" w14:paraId="3B66AF85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3D49BD75" w14:textId="4876DA0E" w:rsidR="00AC1101" w:rsidRPr="00CE1A38" w:rsidRDefault="00AC1101" w:rsidP="00AC1101">
            <w:pPr>
              <w:ind w:left="340"/>
              <w:rPr>
                <w:rFonts w:cs="Arial"/>
                <w:sz w:val="18"/>
                <w:szCs w:val="16"/>
              </w:rPr>
            </w:pPr>
            <w:r w:rsidRPr="00CE1A38">
              <w:rPr>
                <w:rFonts w:cs="Arial"/>
                <w:sz w:val="18"/>
                <w:szCs w:val="16"/>
              </w:rPr>
              <w:t>Домаћинство с двоје одраслих и двоје деце млађе од 14 година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0F5FA7C" w14:textId="40FD6BAD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30 828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73DBE" w14:textId="2B4BDD1F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32 760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85B91" w14:textId="6D0DBE78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34 892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DB6B3" w14:textId="3A7B4D21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40 700</w:t>
            </w:r>
          </w:p>
        </w:tc>
      </w:tr>
      <w:tr w:rsidR="00AC1101" w:rsidRPr="00593372" w14:paraId="01C53034" w14:textId="77777777" w:rsidTr="00AB4DBE">
        <w:trPr>
          <w:trHeight w:val="227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</w:tcPr>
          <w:p w14:paraId="480BE6E9" w14:textId="1B6E1110" w:rsidR="00AC1101" w:rsidRPr="00CE1A38" w:rsidRDefault="00AC1101" w:rsidP="00E84591">
            <w:pPr>
              <w:spacing w:before="120" w:after="120"/>
              <w:ind w:left="57" w:right="454"/>
              <w:rPr>
                <w:rFonts w:cs="Arial"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 xml:space="preserve">Стопа ризика од сиромаштва или социјалне </w:t>
            </w:r>
            <w:r w:rsidR="00CE1A38" w:rsidRPr="00CE1A38">
              <w:rPr>
                <w:rFonts w:cs="Arial"/>
                <w:b/>
                <w:noProof/>
                <w:sz w:val="18"/>
                <w:szCs w:val="16"/>
              </w:rPr>
              <w:t>искључености, %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0BA64C0B" w14:textId="12970546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38,5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05BFFBD8" w14:textId="39166F64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36,7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12D49A3" w14:textId="4656ACE4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34,3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16EC696" w14:textId="643EB95B" w:rsidR="00AC1101" w:rsidRPr="00CE1A38" w:rsidRDefault="00AC1101" w:rsidP="00CE1A38">
            <w:pPr>
              <w:spacing w:before="120" w:after="120"/>
              <w:ind w:right="170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31,7</w:t>
            </w:r>
          </w:p>
        </w:tc>
      </w:tr>
      <w:tr w:rsidR="00AC1101" w:rsidRPr="00593372" w14:paraId="53949F80" w14:textId="77777777" w:rsidTr="002B44C0">
        <w:trPr>
          <w:trHeight w:val="227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768C0F5F" w14:textId="76BE15A8" w:rsidR="00AC1101" w:rsidRPr="00CE1A38" w:rsidRDefault="00AC1101" w:rsidP="00E84591">
            <w:pPr>
              <w:ind w:left="57"/>
              <w:rPr>
                <w:rFonts w:cs="Arial"/>
                <w:noProof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Стопа ризика од сиромаштва пре социјалних трансфера, %</w:t>
            </w:r>
          </w:p>
        </w:tc>
        <w:tc>
          <w:tcPr>
            <w:tcW w:w="917" w:type="dxa"/>
            <w:tcBorders>
              <w:left w:val="single" w:sz="6" w:space="0" w:color="365F91" w:themeColor="accent1" w:themeShade="BF"/>
            </w:tcBorders>
            <w:noWrap/>
            <w:vAlign w:val="bottom"/>
          </w:tcPr>
          <w:p w14:paraId="7636B63B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917" w:type="dxa"/>
          </w:tcPr>
          <w:p w14:paraId="2BF9E60D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917" w:type="dxa"/>
          </w:tcPr>
          <w:p w14:paraId="2CFB5ADD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917" w:type="dxa"/>
          </w:tcPr>
          <w:p w14:paraId="41D99778" w14:textId="77777777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</w:tr>
      <w:tr w:rsidR="00AC1101" w:rsidRPr="00593372" w14:paraId="1A0BD02F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07B7C13A" w14:textId="555E4556" w:rsidR="00AC1101" w:rsidRPr="00CE1A38" w:rsidRDefault="00AC1101" w:rsidP="00AC1101">
            <w:pPr>
              <w:pStyle w:val="ListParagraph"/>
              <w:spacing w:after="0" w:line="240" w:lineRule="auto"/>
              <w:ind w:left="340"/>
              <w:rPr>
                <w:rFonts w:ascii="Arial" w:hAnsi="Arial"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ascii="Arial" w:hAnsi="Arial" w:cs="Arial"/>
                <w:noProof/>
                <w:sz w:val="18"/>
                <w:szCs w:val="16"/>
                <w:lang w:val="ru-RU"/>
              </w:rPr>
              <w:t>Социјални трансфери нису укључени у приход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F7C8BBD" w14:textId="0317F810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32,9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997F1" w14:textId="52F7AF4B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31,6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6E0EE" w14:textId="17B221FF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29,6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FBEEA" w14:textId="44B02464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28,3</w:t>
            </w:r>
          </w:p>
        </w:tc>
      </w:tr>
      <w:tr w:rsidR="00AC1101" w:rsidRPr="00593372" w14:paraId="2ABB961D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523E55E4" w14:textId="263663E8" w:rsidR="00AC1101" w:rsidRPr="00CE1A38" w:rsidRDefault="00AC1101" w:rsidP="00AC1101">
            <w:pPr>
              <w:pStyle w:val="ListParagraph"/>
              <w:spacing w:after="0" w:line="240" w:lineRule="auto"/>
              <w:ind w:left="340"/>
              <w:rPr>
                <w:rFonts w:ascii="Arial" w:hAnsi="Arial"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ascii="Arial" w:hAnsi="Arial" w:cs="Arial"/>
                <w:noProof/>
                <w:sz w:val="18"/>
                <w:szCs w:val="16"/>
                <w:lang w:val="ru-RU"/>
              </w:rPr>
              <w:t>Пензије и социјални трансфери нису укључени у приход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C71FC39" w14:textId="47123162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52,1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5DBDD" w14:textId="5531DB7D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51,3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0A03A" w14:textId="3F3F08E0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48,7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F9D20" w14:textId="63178ADF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46,6</w:t>
            </w:r>
          </w:p>
        </w:tc>
      </w:tr>
      <w:tr w:rsidR="00AC1101" w:rsidRPr="00593372" w14:paraId="3B317F24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18033B5D" w14:textId="77777777" w:rsidR="00AC1101" w:rsidRPr="00CE1A38" w:rsidRDefault="00AC1101" w:rsidP="00E84591">
            <w:pPr>
              <w:spacing w:before="120"/>
              <w:ind w:left="57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Релативни јаз ризика од сиромаштва, %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F092E6F" w14:textId="0A2D6027" w:rsidR="00AC1101" w:rsidRPr="00CE1A38" w:rsidRDefault="00AC1101" w:rsidP="00CE1A38">
            <w:pPr>
              <w:spacing w:before="120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39,4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73563" w14:textId="50B956F4" w:rsidR="00AC1101" w:rsidRPr="00CE1A38" w:rsidRDefault="00AC1101" w:rsidP="00CE1A38">
            <w:pPr>
              <w:spacing w:before="120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38,8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7E15E" w14:textId="359CDCA5" w:rsidR="00AC1101" w:rsidRPr="00CE1A38" w:rsidRDefault="00AC1101" w:rsidP="00CE1A38">
            <w:pPr>
              <w:spacing w:before="120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37,4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DBB27" w14:textId="54063A7B" w:rsidR="00AC1101" w:rsidRPr="00CE1A38" w:rsidRDefault="00AC1101" w:rsidP="00CE1A38">
            <w:pPr>
              <w:spacing w:before="120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32,1</w:t>
            </w:r>
          </w:p>
        </w:tc>
      </w:tr>
      <w:tr w:rsidR="00AC1101" w:rsidRPr="00593372" w14:paraId="309D7390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74E755DA" w14:textId="77777777" w:rsidR="00AC1101" w:rsidRPr="00CE1A38" w:rsidRDefault="00AC1101" w:rsidP="00E84591">
            <w:pPr>
              <w:ind w:left="57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Квинтилни однос С80/С20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9D58654" w14:textId="1460828A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11,0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F8F215A" w14:textId="2BE59941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9,4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70FF558E" w14:textId="6B2B4481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8,6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0E821CF4" w14:textId="48637E0E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6,5</w:t>
            </w:r>
          </w:p>
        </w:tc>
      </w:tr>
      <w:tr w:rsidR="00AC1101" w:rsidRPr="00593372" w14:paraId="1B9BE248" w14:textId="77777777" w:rsidTr="00D10C4B">
        <w:trPr>
          <w:trHeight w:val="227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23673AA0" w14:textId="61347292" w:rsidR="00AC1101" w:rsidRPr="00CE1A38" w:rsidRDefault="00AC1101" w:rsidP="00E84591">
            <w:pPr>
              <w:ind w:left="57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Гини коефицијент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A40C166" w14:textId="0FDB9980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39,8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1484584" w14:textId="6E72C520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37,8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C9F9C2A" w14:textId="7F25B2DE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35,6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5236CE79" w14:textId="1E26A4F8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33,3</w:t>
            </w:r>
          </w:p>
        </w:tc>
      </w:tr>
      <w:tr w:rsidR="00AC1101" w:rsidRPr="00593372" w14:paraId="2831A717" w14:textId="77777777" w:rsidTr="00085E64">
        <w:trPr>
          <w:trHeight w:val="284"/>
          <w:jc w:val="center"/>
        </w:trPr>
        <w:tc>
          <w:tcPr>
            <w:tcW w:w="6593" w:type="dxa"/>
            <w:tcBorders>
              <w:right w:val="single" w:sz="6" w:space="0" w:color="365F91" w:themeColor="accent1" w:themeShade="BF"/>
            </w:tcBorders>
            <w:vAlign w:val="center"/>
          </w:tcPr>
          <w:p w14:paraId="7EB61461" w14:textId="5A5A30E7" w:rsidR="00AC1101" w:rsidRPr="00CE1A38" w:rsidRDefault="00AC1101" w:rsidP="00E84591">
            <w:pPr>
              <w:ind w:left="57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Стопа трајног ризика од сиромаштва</w:t>
            </w:r>
          </w:p>
        </w:tc>
        <w:tc>
          <w:tcPr>
            <w:tcW w:w="917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A38C3ED" w14:textId="50D78A5A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16,7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5EC12A25" w14:textId="6D770739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18,4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337ABF7C" w14:textId="2D443E3E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19,6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center"/>
          </w:tcPr>
          <w:p w14:paraId="0710BD0F" w14:textId="07297CCA" w:rsidR="00AC1101" w:rsidRPr="00CE1A38" w:rsidRDefault="00AC1101" w:rsidP="00AC11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15,9</w:t>
            </w:r>
          </w:p>
        </w:tc>
      </w:tr>
    </w:tbl>
    <w:p w14:paraId="2F626A6B" w14:textId="7C032EDC" w:rsidR="002B44C0" w:rsidRPr="00821211" w:rsidRDefault="005A2C94" w:rsidP="005A2C94">
      <w:pPr>
        <w:pStyle w:val="PlainText"/>
        <w:spacing w:before="600" w:after="6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noProof/>
          <w:lang w:val="ru-RU"/>
        </w:rPr>
        <w:t xml:space="preserve">2. </w:t>
      </w:r>
      <w:r w:rsidR="002B44C0" w:rsidRPr="003D4EAD">
        <w:rPr>
          <w:rFonts w:ascii="Arial" w:hAnsi="Arial" w:cs="Arial"/>
          <w:b/>
          <w:noProof/>
          <w:lang w:val="ru-RU"/>
        </w:rPr>
        <w:t xml:space="preserve">Стопа ризика од сиромаштва по полу и старости, </w:t>
      </w:r>
      <w:r w:rsidR="00821211">
        <w:rPr>
          <w:rFonts w:ascii="Arial" w:hAnsi="Arial" w:cs="Arial"/>
          <w:b/>
          <w:noProof/>
          <w:lang w:val="sr-Latn-RS"/>
        </w:rPr>
        <w:t>2019</w:t>
      </w:r>
      <w:r w:rsidR="00821211">
        <w:rPr>
          <w:rFonts w:ascii="Arial" w:hAnsi="Arial" w:cs="Arial"/>
          <w:b/>
          <w:noProof/>
        </w:rPr>
        <w:t>.</w:t>
      </w:r>
      <w:r w:rsidR="00D06D64">
        <w:rPr>
          <w:rFonts w:ascii="Arial" w:hAnsi="Arial" w:cs="Arial"/>
          <w:b/>
          <w:noProof/>
        </w:rPr>
        <w:t xml:space="preserve">                                                                          %</w:t>
      </w:r>
    </w:p>
    <w:tbl>
      <w:tblPr>
        <w:tblW w:w="1026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6"/>
        <w:gridCol w:w="2219"/>
        <w:gridCol w:w="2219"/>
        <w:gridCol w:w="2219"/>
      </w:tblGrid>
      <w:tr w:rsidR="00821211" w:rsidRPr="005E5A47" w14:paraId="7C54C6F1" w14:textId="77777777" w:rsidTr="00555978">
        <w:trPr>
          <w:trHeight w:val="284"/>
          <w:jc w:val="center"/>
        </w:trPr>
        <w:tc>
          <w:tcPr>
            <w:tcW w:w="368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6E7762D8" w14:textId="77777777" w:rsidR="00821211" w:rsidRPr="005E5A47" w:rsidRDefault="00821211" w:rsidP="004B5A98">
            <w:pPr>
              <w:spacing w:before="120" w:after="12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</w:tcPr>
          <w:p w14:paraId="7517F166" w14:textId="5135B6DF" w:rsidR="00821211" w:rsidRPr="00B20EE1" w:rsidRDefault="00821211" w:rsidP="004B5A98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Укупно</w:t>
            </w: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16E4DE1F" w14:textId="2177497F" w:rsidR="00821211" w:rsidRPr="00B20EE1" w:rsidRDefault="004C671D" w:rsidP="00B66332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Мушк</w:t>
            </w:r>
            <w:r w:rsidR="00B66332">
              <w:rPr>
                <w:sz w:val="19"/>
                <w:szCs w:val="19"/>
              </w:rPr>
              <w:t>о</w:t>
            </w: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3294DCDA" w14:textId="218B3B73" w:rsidR="00821211" w:rsidRPr="00B20EE1" w:rsidRDefault="00821211" w:rsidP="00B66332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rFonts w:cs="Arial"/>
                <w:bCs/>
                <w:noProof/>
                <w:sz w:val="19"/>
                <w:szCs w:val="19"/>
              </w:rPr>
              <w:t>Ж</w:t>
            </w:r>
            <w:r w:rsidR="004C671D" w:rsidRPr="00B20EE1">
              <w:rPr>
                <w:rFonts w:cs="Arial"/>
                <w:bCs/>
                <w:noProof/>
                <w:sz w:val="19"/>
                <w:szCs w:val="19"/>
              </w:rPr>
              <w:t>ен</w:t>
            </w:r>
            <w:r w:rsidR="00B66332">
              <w:rPr>
                <w:rFonts w:cs="Arial"/>
                <w:bCs/>
                <w:noProof/>
                <w:sz w:val="19"/>
                <w:szCs w:val="19"/>
              </w:rPr>
              <w:t>ско</w:t>
            </w:r>
          </w:p>
        </w:tc>
      </w:tr>
      <w:tr w:rsidR="00821211" w:rsidRPr="00F4434D" w14:paraId="4D98BA7A" w14:textId="77777777" w:rsidTr="00555978">
        <w:trPr>
          <w:trHeight w:val="23"/>
          <w:jc w:val="center"/>
        </w:trPr>
        <w:tc>
          <w:tcPr>
            <w:tcW w:w="3686" w:type="dxa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  <w:noWrap/>
          </w:tcPr>
          <w:p w14:paraId="7EFEB694" w14:textId="138F97BC" w:rsidR="00821211" w:rsidRPr="004B5A98" w:rsidRDefault="00D06D64" w:rsidP="00E84591">
            <w:pPr>
              <w:spacing w:before="120" w:after="120"/>
              <w:ind w:left="57"/>
              <w:rPr>
                <w:rFonts w:cs="Arial"/>
                <w:b/>
                <w:bCs/>
                <w:iCs/>
                <w:noProof/>
                <w:sz w:val="18"/>
                <w:szCs w:val="20"/>
              </w:rPr>
            </w:pPr>
            <w:r>
              <w:rPr>
                <w:rFonts w:cs="Arial"/>
                <w:b/>
                <w:noProof/>
                <w:sz w:val="18"/>
                <w:szCs w:val="20"/>
              </w:rPr>
              <w:t>Стопа ризика од сиромаштва</w:t>
            </w: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0CAF5543" w14:textId="14B55DC2" w:rsidR="00821211" w:rsidRPr="004B5A98" w:rsidRDefault="00821211" w:rsidP="004C671D">
            <w:pPr>
              <w:spacing w:before="120" w:after="12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4B5A98">
              <w:rPr>
                <w:b/>
                <w:sz w:val="18"/>
                <w:szCs w:val="20"/>
              </w:rPr>
              <w:t>23,2</w:t>
            </w: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</w:tcPr>
          <w:p w14:paraId="4B8BC1D4" w14:textId="4D0E77F2" w:rsidR="00821211" w:rsidRPr="004B5A98" w:rsidRDefault="00821211" w:rsidP="004C671D">
            <w:pPr>
              <w:spacing w:before="120" w:after="12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4B5A98">
              <w:rPr>
                <w:b/>
                <w:sz w:val="18"/>
                <w:szCs w:val="20"/>
              </w:rPr>
              <w:t>22,7</w:t>
            </w:r>
          </w:p>
        </w:tc>
        <w:tc>
          <w:tcPr>
            <w:tcW w:w="2268" w:type="dxa"/>
            <w:tcBorders>
              <w:top w:val="single" w:sz="6" w:space="0" w:color="365F91" w:themeColor="accent1" w:themeShade="BF"/>
              <w:left w:val="nil"/>
              <w:bottom w:val="nil"/>
            </w:tcBorders>
            <w:shd w:val="clear" w:color="auto" w:fill="auto"/>
            <w:noWrap/>
          </w:tcPr>
          <w:p w14:paraId="3D66AACE" w14:textId="1DD9E751" w:rsidR="00821211" w:rsidRPr="004B5A98" w:rsidRDefault="00821211" w:rsidP="004C671D">
            <w:pPr>
              <w:spacing w:before="120" w:after="12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4B5A98">
              <w:rPr>
                <w:rFonts w:cs="Arial"/>
                <w:b/>
                <w:noProof/>
                <w:sz w:val="18"/>
                <w:szCs w:val="20"/>
              </w:rPr>
              <w:t>23,6</w:t>
            </w:r>
          </w:p>
        </w:tc>
      </w:tr>
      <w:tr w:rsidR="00821211" w:rsidRPr="00F27F57" w14:paraId="48909B4F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6499EDB8" w14:textId="77777777" w:rsidR="00821211" w:rsidRPr="004B5A98" w:rsidRDefault="00821211" w:rsidP="00E84591">
            <w:pPr>
              <w:spacing w:line="264" w:lineRule="auto"/>
              <w:ind w:left="170"/>
              <w:rPr>
                <w:rFonts w:cs="Arial"/>
                <w:bCs/>
                <w:iCs/>
                <w:noProof/>
                <w:sz w:val="18"/>
                <w:szCs w:val="16"/>
              </w:rPr>
            </w:pPr>
            <w:r w:rsidRPr="004B5A98">
              <w:rPr>
                <w:rFonts w:cs="Arial"/>
                <w:bCs/>
                <w:iCs/>
                <w:noProof/>
                <w:sz w:val="18"/>
                <w:szCs w:val="16"/>
              </w:rPr>
              <w:t>Старосне групе</w:t>
            </w:r>
          </w:p>
        </w:tc>
        <w:tc>
          <w:tcPr>
            <w:tcW w:w="2268" w:type="dxa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noWrap/>
          </w:tcPr>
          <w:p w14:paraId="00419C2A" w14:textId="77777777" w:rsidR="00821211" w:rsidRPr="004B5A98" w:rsidRDefault="00821211" w:rsidP="00821211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365F91" w:themeColor="accent1" w:themeShade="BF"/>
            </w:tcBorders>
          </w:tcPr>
          <w:p w14:paraId="5A30B5EB" w14:textId="77777777" w:rsidR="00821211" w:rsidRPr="004B5A98" w:rsidRDefault="00821211" w:rsidP="00821211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</w:p>
        </w:tc>
        <w:tc>
          <w:tcPr>
            <w:tcW w:w="2268" w:type="dxa"/>
            <w:tcBorders>
              <w:left w:val="nil"/>
            </w:tcBorders>
            <w:noWrap/>
          </w:tcPr>
          <w:p w14:paraId="7010B572" w14:textId="217D2CE9" w:rsidR="00821211" w:rsidRPr="004B5A98" w:rsidRDefault="00821211" w:rsidP="00821211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</w:p>
        </w:tc>
      </w:tr>
      <w:tr w:rsidR="00821211" w:rsidRPr="00F27F57" w14:paraId="1B21858A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6EA3054E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 xml:space="preserve">  0 – 17 </w:t>
            </w:r>
          </w:p>
        </w:tc>
        <w:tc>
          <w:tcPr>
            <w:tcW w:w="2268" w:type="dxa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noWrap/>
          </w:tcPr>
          <w:p w14:paraId="7F0F78D8" w14:textId="0CDA9FAA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28,9</w:t>
            </w:r>
          </w:p>
        </w:tc>
        <w:tc>
          <w:tcPr>
            <w:tcW w:w="2268" w:type="dxa"/>
            <w:tcBorders>
              <w:left w:val="single" w:sz="6" w:space="0" w:color="365F91" w:themeColor="accent1" w:themeShade="BF"/>
            </w:tcBorders>
          </w:tcPr>
          <w:p w14:paraId="6FF2E7A6" w14:textId="3F1C6E1C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28,6</w:t>
            </w:r>
          </w:p>
        </w:tc>
        <w:tc>
          <w:tcPr>
            <w:tcW w:w="2268" w:type="dxa"/>
            <w:tcBorders>
              <w:left w:val="nil"/>
            </w:tcBorders>
            <w:noWrap/>
          </w:tcPr>
          <w:p w14:paraId="0F9BEBE2" w14:textId="19BFD8F5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29,3</w:t>
            </w:r>
          </w:p>
        </w:tc>
      </w:tr>
      <w:tr w:rsidR="00821211" w:rsidRPr="00F27F57" w14:paraId="50EC7B43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700CB9CD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18 – 64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340CFEE" w14:textId="3A2BFB79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22,3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267CB8FB" w14:textId="40B8F0ED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875AB03" w14:textId="54ADB16E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22,3</w:t>
            </w:r>
          </w:p>
        </w:tc>
      </w:tr>
      <w:tr w:rsidR="00821211" w:rsidRPr="00F27F57" w14:paraId="549E3268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1B4196DA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18 – 24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E44F70C" w14:textId="445B2C12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25,6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0B3F2878" w14:textId="11FF9C40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25,2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6C656A1" w14:textId="19D13DDE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26,0</w:t>
            </w:r>
          </w:p>
        </w:tc>
      </w:tr>
      <w:tr w:rsidR="00821211" w:rsidRPr="00F27F57" w14:paraId="0578E858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5400ACE0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25 – 54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8F4F933" w14:textId="78B68394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21,9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53AEB848" w14:textId="161A0929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08DB9E" w14:textId="11004DA0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22,6</w:t>
            </w:r>
          </w:p>
        </w:tc>
      </w:tr>
      <w:tr w:rsidR="00821211" w:rsidRPr="00F27F57" w14:paraId="455FE55D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0A761C2A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55 – 64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70232077" w14:textId="0CE2CB31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21,7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</w:tcBorders>
          </w:tcPr>
          <w:p w14:paraId="72C4ABFB" w14:textId="7FDE2F6D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23,9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</w:tcPr>
          <w:p w14:paraId="0EA171B1" w14:textId="70E09518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19,7</w:t>
            </w:r>
          </w:p>
        </w:tc>
      </w:tr>
      <w:tr w:rsidR="00821211" w:rsidRPr="00F27F57" w14:paraId="30F10A83" w14:textId="77777777" w:rsidTr="00555978">
        <w:trPr>
          <w:trHeight w:val="227"/>
          <w:jc w:val="center"/>
        </w:trPr>
        <w:tc>
          <w:tcPr>
            <w:tcW w:w="3686" w:type="dxa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0AEEFE86" w14:textId="7777777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 xml:space="preserve">65 и више 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0DA71713" w14:textId="7399C52E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21,1</w:t>
            </w:r>
          </w:p>
        </w:tc>
        <w:tc>
          <w:tcPr>
            <w:tcW w:w="2268" w:type="dxa"/>
            <w:tcBorders>
              <w:top w:val="nil"/>
              <w:left w:val="single" w:sz="6" w:space="0" w:color="365F91" w:themeColor="accent1" w:themeShade="BF"/>
            </w:tcBorders>
          </w:tcPr>
          <w:p w14:paraId="637BB373" w14:textId="09CE5805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sz w:val="18"/>
                <w:szCs w:val="20"/>
              </w:rPr>
              <w:t>18,3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</w:tcPr>
          <w:p w14:paraId="5E2CF6D0" w14:textId="7E06BC88" w:rsidR="00821211" w:rsidRPr="004B5A98" w:rsidRDefault="00821211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23,2</w:t>
            </w:r>
          </w:p>
        </w:tc>
      </w:tr>
    </w:tbl>
    <w:p w14:paraId="31310DB1" w14:textId="23AC0EE0" w:rsidR="002B44C0" w:rsidRPr="00270A8D" w:rsidRDefault="00270A8D" w:rsidP="00DD0D0A">
      <w:pPr>
        <w:pStyle w:val="PlainText"/>
        <w:spacing w:before="600" w:after="360"/>
        <w:jc w:val="center"/>
        <w:rPr>
          <w:rFonts w:ascii="Arial" w:hAnsi="Arial" w:cs="Arial"/>
          <w:b/>
          <w:noProof/>
        </w:rPr>
      </w:pPr>
      <w:r w:rsidRPr="003D4EAD">
        <w:rPr>
          <w:rFonts w:ascii="Arial" w:hAnsi="Arial" w:cs="Arial"/>
          <w:b/>
          <w:noProof/>
          <w:lang w:val="ru-RU"/>
        </w:rPr>
        <w:t xml:space="preserve">Стопа ризика од сиромаштва по полу и старости, </w:t>
      </w:r>
      <w:r>
        <w:rPr>
          <w:rFonts w:ascii="Arial" w:hAnsi="Arial" w:cs="Arial"/>
          <w:b/>
          <w:noProof/>
        </w:rPr>
        <w:t>%</w:t>
      </w:r>
    </w:p>
    <w:p w14:paraId="235BD1EA" w14:textId="5D4267C5" w:rsidR="002B44C0" w:rsidRDefault="007430D0" w:rsidP="00EE19D1">
      <w:pPr>
        <w:pStyle w:val="PlainText"/>
        <w:spacing w:before="120" w:after="60"/>
        <w:jc w:val="center"/>
        <w:rPr>
          <w:rFonts w:ascii="Arial" w:hAnsi="Arial" w:cs="Arial"/>
          <w:b/>
          <w:noProof/>
          <w:lang w:val="ru-RU"/>
        </w:rPr>
      </w:pPr>
      <w:r>
        <w:rPr>
          <w:noProof/>
          <w:lang w:val="en-US"/>
        </w:rPr>
        <w:drawing>
          <wp:inline distT="0" distB="0" distL="0" distR="0" wp14:anchorId="5793D7E4" wp14:editId="1820AAE7">
            <wp:extent cx="5679261" cy="248412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CDE7F8" w14:textId="16A68C4C" w:rsidR="002B44C0" w:rsidRDefault="002B44C0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0E60F99B" w14:textId="069BF881" w:rsidR="002B44C0" w:rsidRDefault="002B44C0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289932EC" w14:textId="77777777" w:rsidR="004A0B5E" w:rsidRDefault="004A0B5E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5303F5E8" w14:textId="3C1E4C68" w:rsidR="00AF6534" w:rsidRDefault="00AF6534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6EB2D5DF" w14:textId="173E5373" w:rsidR="002B44C0" w:rsidRPr="00E84591" w:rsidRDefault="005A2C94" w:rsidP="00D10C4B">
      <w:pPr>
        <w:pStyle w:val="PlainText"/>
        <w:spacing w:before="120" w:after="60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lastRenderedPageBreak/>
        <w:t xml:space="preserve">3. </w:t>
      </w:r>
      <w:r w:rsidR="002B44C0" w:rsidRPr="00E84591">
        <w:rPr>
          <w:rFonts w:ascii="Arial" w:hAnsi="Arial" w:cs="Arial"/>
          <w:b/>
          <w:noProof/>
          <w:lang w:val="ru-RU"/>
        </w:rPr>
        <w:t>Стопа ризика од си</w:t>
      </w:r>
      <w:r w:rsidR="00D06D64">
        <w:rPr>
          <w:rFonts w:ascii="Arial" w:hAnsi="Arial" w:cs="Arial"/>
          <w:b/>
          <w:noProof/>
          <w:lang w:val="ru-RU"/>
        </w:rPr>
        <w:t xml:space="preserve">ромаштва према типу домаћинства </w:t>
      </w:r>
      <w:r w:rsidR="002B44C0" w:rsidRPr="00E84591">
        <w:rPr>
          <w:rFonts w:ascii="Arial" w:hAnsi="Arial" w:cs="Arial"/>
          <w:b/>
          <w:noProof/>
          <w:lang w:val="ru-RU"/>
        </w:rPr>
        <w:t xml:space="preserve"> </w:t>
      </w:r>
      <w:r w:rsidR="00D06D64">
        <w:rPr>
          <w:rFonts w:ascii="Arial" w:hAnsi="Arial" w:cs="Arial"/>
          <w:b/>
          <w:noProof/>
          <w:lang w:val="ru-RU"/>
        </w:rPr>
        <w:t xml:space="preserve">                                                                        </w:t>
      </w:r>
      <w:r w:rsidR="002B44C0" w:rsidRPr="00E84591">
        <w:rPr>
          <w:rFonts w:ascii="Arial" w:hAnsi="Arial" w:cs="Arial"/>
          <w:b/>
          <w:noProof/>
          <w:lang w:val="ru-RU"/>
        </w:rPr>
        <w:t>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15"/>
        <w:gridCol w:w="997"/>
        <w:gridCol w:w="998"/>
        <w:gridCol w:w="998"/>
        <w:gridCol w:w="998"/>
      </w:tblGrid>
      <w:tr w:rsidR="002B44C0" w:rsidRPr="00F27F57" w14:paraId="154AA57D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5DC3C458" w14:textId="77777777" w:rsidR="002B44C0" w:rsidRPr="00AF6534" w:rsidRDefault="002B44C0" w:rsidP="00D24906">
            <w:pPr>
              <w:spacing w:before="120" w:after="120" w:line="264" w:lineRule="auto"/>
              <w:rPr>
                <w:rFonts w:cs="Arial"/>
                <w:bCs/>
                <w:sz w:val="18"/>
                <w:szCs w:val="16"/>
              </w:rPr>
            </w:pPr>
            <w:r w:rsidRPr="00AF6534">
              <w:rPr>
                <w:rFonts w:cs="Arial"/>
                <w:bCs/>
                <w:sz w:val="18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3A505962" w14:textId="77777777" w:rsidR="002B44C0" w:rsidRPr="00B20EE1" w:rsidRDefault="002B44C0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2016</w:t>
            </w:r>
          </w:p>
        </w:tc>
        <w:tc>
          <w:tcPr>
            <w:tcW w:w="1052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3781D048" w14:textId="77777777" w:rsidR="002B44C0" w:rsidRPr="00B20EE1" w:rsidRDefault="002B44C0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2017</w:t>
            </w:r>
          </w:p>
        </w:tc>
        <w:tc>
          <w:tcPr>
            <w:tcW w:w="1052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0A201F2B" w14:textId="77777777" w:rsidR="002B44C0" w:rsidRPr="00B20EE1" w:rsidRDefault="002B44C0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0D587344" w14:textId="77777777" w:rsidR="002B44C0" w:rsidRPr="00B20EE1" w:rsidRDefault="002B44C0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2019</w:t>
            </w:r>
          </w:p>
        </w:tc>
      </w:tr>
      <w:tr w:rsidR="002B44C0" w:rsidRPr="00F27F57" w14:paraId="4837E026" w14:textId="77777777" w:rsidTr="001615BD">
        <w:trPr>
          <w:trHeight w:val="227"/>
          <w:jc w:val="center"/>
        </w:trPr>
        <w:tc>
          <w:tcPr>
            <w:tcW w:w="6577" w:type="dxa"/>
            <w:tcBorders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56DCEB64" w14:textId="77777777" w:rsidR="002B44C0" w:rsidRPr="00E84591" w:rsidRDefault="002B44C0" w:rsidP="00E84591">
            <w:pPr>
              <w:spacing w:before="120" w:after="60"/>
              <w:ind w:left="57"/>
              <w:rPr>
                <w:rFonts w:cs="Arial"/>
                <w:b/>
                <w:bCs/>
                <w:i/>
                <w:iCs/>
                <w:sz w:val="18"/>
                <w:szCs w:val="16"/>
              </w:rPr>
            </w:pPr>
            <w:r w:rsidRPr="00E84591">
              <w:rPr>
                <w:rFonts w:cs="Arial"/>
                <w:b/>
                <w:noProof/>
                <w:sz w:val="18"/>
                <w:szCs w:val="16"/>
                <w:lang w:val="ru-RU"/>
              </w:rPr>
              <w:t>Сва домаћинства без издржаване деце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743F46B3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22,9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82608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22,8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27D50E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21,2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252CE3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19,8</w:t>
            </w:r>
          </w:p>
        </w:tc>
      </w:tr>
      <w:tr w:rsidR="002B44C0" w:rsidRPr="00F27F57" w14:paraId="2D8225C8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229EE9EC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Једночлано домаћинство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580CD96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34,4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5BDEF0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33,0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848929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34,3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8EB9FD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31,8</w:t>
            </w:r>
          </w:p>
        </w:tc>
      </w:tr>
      <w:tr w:rsidR="002B44C0" w:rsidRPr="00F27F57" w14:paraId="6DB0103A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74F041B2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Мушко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01533EA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38,1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75615E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31,1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24FFF5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33,7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7C254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28,9</w:t>
            </w:r>
          </w:p>
        </w:tc>
      </w:tr>
      <w:tr w:rsidR="002B44C0" w:rsidRPr="00F27F57" w14:paraId="58DFE269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166B7AAF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Женско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44E378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31,8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B63454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34,4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024A03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E4A94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33,8</w:t>
            </w:r>
          </w:p>
        </w:tc>
      </w:tr>
      <w:tr w:rsidR="002B44C0" w:rsidRPr="00F27F57" w14:paraId="013DB98F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1FFDBD66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До 65 година старости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6457B11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41,2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30D02A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39,6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AE9FD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35F67C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32,7</w:t>
            </w:r>
          </w:p>
        </w:tc>
      </w:tr>
      <w:tr w:rsidR="002B44C0" w:rsidRPr="00F27F57" w14:paraId="44F5C196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38045381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 xml:space="preserve">65 и више година старости 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19044A5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29,6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A3CB2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29,1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6A809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32,6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59329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31,2</w:t>
            </w:r>
          </w:p>
        </w:tc>
      </w:tr>
      <w:tr w:rsidR="002B44C0" w:rsidRPr="00F27F57" w14:paraId="7384A977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23107A53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Две одрасле особе без издржаване деце 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A318C08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20,6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D5EC7D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22,7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DE7297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19,8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EFC5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19,4</w:t>
            </w:r>
          </w:p>
        </w:tc>
      </w:tr>
      <w:tr w:rsidR="002B44C0" w:rsidRPr="00F27F57" w14:paraId="7BC908F2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43663C15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 xml:space="preserve">Обе млађе од 65 година 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41BC33A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25,2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1D5A7D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25661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24,3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B7EB7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21,4</w:t>
            </w:r>
          </w:p>
        </w:tc>
      </w:tr>
      <w:tr w:rsidR="002B44C0" w:rsidRPr="00F27F57" w14:paraId="3F0CECAC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6A691D47" w14:textId="77777777" w:rsidR="002B44C0" w:rsidRPr="00E84591" w:rsidRDefault="002B44C0" w:rsidP="00E84591">
            <w:pPr>
              <w:spacing w:line="264" w:lineRule="auto"/>
              <w:ind w:left="284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Бар једна стара 65 и више година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D952640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16,9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E94FF3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18,0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ACE9EE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16,9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972256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18,4</w:t>
            </w:r>
          </w:p>
        </w:tc>
      </w:tr>
      <w:tr w:rsidR="002B44C0" w:rsidRPr="00F27F57" w14:paraId="142FE915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6DE05B7F" w14:textId="5EB40CC9" w:rsidR="002B44C0" w:rsidRPr="00E84591" w:rsidRDefault="00995B22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>
              <w:rPr>
                <w:rFonts w:cs="Arial"/>
                <w:noProof/>
                <w:sz w:val="18"/>
                <w:szCs w:val="16"/>
                <w:lang w:val="ru-RU"/>
              </w:rPr>
              <w:t>Три и више одраслих особа</w:t>
            </w:r>
            <w:r w:rsidR="002B44C0"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без издржаване деце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3230F3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20,1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0CC453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19,0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44EDD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17,4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E23C4B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15,7</w:t>
            </w:r>
          </w:p>
        </w:tc>
      </w:tr>
      <w:tr w:rsidR="002B44C0" w:rsidRPr="00F27F57" w14:paraId="12EB656E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4EDD61CD" w14:textId="77777777" w:rsidR="002B44C0" w:rsidRPr="00E84591" w:rsidRDefault="002B44C0" w:rsidP="00E84591">
            <w:pPr>
              <w:spacing w:before="120" w:after="60"/>
              <w:ind w:left="57"/>
              <w:rPr>
                <w:rFonts w:cs="Arial"/>
                <w:b/>
                <w:bCs/>
                <w:i/>
                <w:iCs/>
                <w:sz w:val="18"/>
                <w:szCs w:val="16"/>
              </w:rPr>
            </w:pPr>
            <w:r w:rsidRPr="00E84591">
              <w:rPr>
                <w:rFonts w:cs="Arial"/>
                <w:b/>
                <w:noProof/>
                <w:sz w:val="18"/>
                <w:szCs w:val="16"/>
                <w:lang w:val="ru-RU"/>
              </w:rPr>
              <w:t>Сва домаћинства са издржаваном децом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1DFDC8DF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28,2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0FCCDC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28,0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2D016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26,8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65D6BA" w14:textId="77777777" w:rsidR="002B44C0" w:rsidRPr="00E84591" w:rsidRDefault="002B44C0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26,1</w:t>
            </w:r>
          </w:p>
        </w:tc>
      </w:tr>
      <w:tr w:rsidR="002B44C0" w:rsidRPr="00F27F57" w14:paraId="2B3C2CA2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6B9EE7DA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Самохрани родитељ с једним дететом или више издржаване деце 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A318D8E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40,8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10680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30,6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7501BC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36,5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04D8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41,6</w:t>
            </w:r>
          </w:p>
        </w:tc>
      </w:tr>
      <w:tr w:rsidR="002B44C0" w:rsidRPr="00F27F57" w14:paraId="257D926D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3E8919D8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једним издржаваним дететом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CB148E3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21,5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46090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26,4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D42B5B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24,1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8FFA2E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23,9</w:t>
            </w:r>
          </w:p>
        </w:tc>
      </w:tr>
      <w:tr w:rsidR="002B44C0" w:rsidRPr="00F27F57" w14:paraId="54D079F3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D671FA9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двоје издржаване деце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8367BD9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24,2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A0B6C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24,8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51508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21,3</w:t>
            </w: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94DC33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19,1</w:t>
            </w:r>
          </w:p>
        </w:tc>
      </w:tr>
      <w:tr w:rsidR="002B44C0" w:rsidRPr="00F27F57" w14:paraId="764BEB8D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CE34EEB" w14:textId="77777777" w:rsidR="002B44C0" w:rsidRPr="00E84591" w:rsidRDefault="002B44C0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троје и више издржаване деце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7577FF0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53,1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D3E99D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55,8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B5F430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53,6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65D29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51,9</w:t>
            </w:r>
          </w:p>
        </w:tc>
      </w:tr>
      <w:tr w:rsidR="002B44C0" w:rsidRPr="00F27F57" w14:paraId="1FBCB84A" w14:textId="77777777" w:rsidTr="001615BD">
        <w:trPr>
          <w:trHeight w:val="284"/>
          <w:jc w:val="center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9986932" w14:textId="455C5A83" w:rsidR="002B44C0" w:rsidRPr="00E84591" w:rsidRDefault="00206161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>
              <w:rPr>
                <w:rFonts w:cs="Arial"/>
                <w:noProof/>
                <w:sz w:val="18"/>
                <w:szCs w:val="16"/>
                <w:lang w:val="ru-RU"/>
              </w:rPr>
              <w:t>Три и више одраслих особа</w:t>
            </w:r>
            <w:r w:rsidR="002B44C0"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са издржаваном децом</w:t>
            </w:r>
          </w:p>
        </w:tc>
        <w:tc>
          <w:tcPr>
            <w:tcW w:w="1051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7088F6F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28,2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738139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26,1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3130C4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25,5</w:t>
            </w:r>
          </w:p>
        </w:tc>
        <w:tc>
          <w:tcPr>
            <w:tcW w:w="10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288681" w14:textId="77777777" w:rsidR="002B44C0" w:rsidRPr="00E84591" w:rsidRDefault="002B44C0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25,4</w:t>
            </w:r>
          </w:p>
        </w:tc>
      </w:tr>
    </w:tbl>
    <w:p w14:paraId="4FF97C80" w14:textId="77777777" w:rsidR="005A2C94" w:rsidRDefault="005A2C94" w:rsidP="005A2C94">
      <w:pPr>
        <w:pStyle w:val="PlainText"/>
        <w:spacing w:before="360" w:after="60"/>
        <w:ind w:left="1021" w:hanging="1021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t xml:space="preserve">4. </w:t>
      </w:r>
      <w:r w:rsidR="009175A5" w:rsidRPr="009175A5">
        <w:rPr>
          <w:rFonts w:ascii="Arial" w:hAnsi="Arial" w:cs="Arial"/>
          <w:b/>
          <w:noProof/>
          <w:lang w:val="ru-RU"/>
        </w:rPr>
        <w:t>Стопа ризика од сиромаштва према најчешћем статусу на тржишту рада и полу</w:t>
      </w:r>
      <w:r>
        <w:rPr>
          <w:rFonts w:ascii="Arial" w:hAnsi="Arial" w:cs="Arial"/>
          <w:b/>
          <w:noProof/>
          <w:lang w:val="ru-RU"/>
        </w:rPr>
        <w:t xml:space="preserve"> </w:t>
      </w:r>
    </w:p>
    <w:p w14:paraId="302E3A6E" w14:textId="2F0B44CA" w:rsidR="00AF7F4D" w:rsidRPr="005A2C94" w:rsidRDefault="005A2C94" w:rsidP="005A2C94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t xml:space="preserve">    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(за </w:t>
      </w:r>
      <w:r w:rsidR="00A04F82">
        <w:rPr>
          <w:rFonts w:ascii="Arial" w:hAnsi="Arial" w:cs="Arial"/>
          <w:b/>
          <w:noProof/>
          <w:lang w:val="ru-RU"/>
        </w:rPr>
        <w:t>лица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 стар</w:t>
      </w:r>
      <w:r w:rsidR="00A04F82">
        <w:rPr>
          <w:rFonts w:ascii="Arial" w:hAnsi="Arial" w:cs="Arial"/>
          <w:b/>
          <w:noProof/>
          <w:lang w:val="ru-RU"/>
        </w:rPr>
        <w:t>а</w:t>
      </w:r>
      <w:r>
        <w:rPr>
          <w:rFonts w:ascii="Arial" w:hAnsi="Arial" w:cs="Arial"/>
          <w:b/>
          <w:noProof/>
          <w:lang w:val="ru-RU"/>
        </w:rPr>
        <w:t xml:space="preserve"> 18 и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 више година), </w:t>
      </w:r>
      <w:r w:rsidR="007C6598">
        <w:rPr>
          <w:rFonts w:ascii="Arial" w:hAnsi="Arial" w:cs="Arial"/>
          <w:b/>
          <w:noProof/>
          <w:lang w:val="ru-RU"/>
        </w:rPr>
        <w:t xml:space="preserve">2019.                                                                                                       </w:t>
      </w:r>
      <w:r w:rsidR="009175A5" w:rsidRPr="009175A5">
        <w:rPr>
          <w:rFonts w:ascii="Arial" w:hAnsi="Arial" w:cs="Arial"/>
          <w:b/>
          <w:noProof/>
          <w:lang w:val="ru-RU"/>
        </w:rPr>
        <w:t>%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85"/>
        <w:gridCol w:w="2207"/>
        <w:gridCol w:w="2207"/>
        <w:gridCol w:w="2206"/>
      </w:tblGrid>
      <w:tr w:rsidR="00A04F82" w:rsidRPr="00F27F57" w14:paraId="2AEA73E3" w14:textId="77777777" w:rsidTr="00555978">
        <w:trPr>
          <w:trHeight w:val="20"/>
          <w:jc w:val="center"/>
        </w:trPr>
        <w:tc>
          <w:tcPr>
            <w:tcW w:w="175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0DB33D51" w14:textId="77777777" w:rsidR="00A04F82" w:rsidRPr="00F27F57" w:rsidRDefault="00A04F82" w:rsidP="00A04F82">
            <w:pPr>
              <w:spacing w:before="120" w:after="12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</w:tcPr>
          <w:p w14:paraId="3043F45D" w14:textId="19779ACA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Укупно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3353225" w14:textId="3ED9AB15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Мушк</w:t>
            </w:r>
            <w:r w:rsidR="00B66332">
              <w:rPr>
                <w:sz w:val="19"/>
                <w:szCs w:val="19"/>
              </w:rPr>
              <w:t>о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  <w:noWrap/>
          </w:tcPr>
          <w:p w14:paraId="3A026682" w14:textId="1F46BDCF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Жен</w:t>
            </w:r>
            <w:r w:rsidR="00B66332">
              <w:rPr>
                <w:sz w:val="19"/>
                <w:szCs w:val="19"/>
              </w:rPr>
              <w:t>ско</w:t>
            </w:r>
          </w:p>
        </w:tc>
      </w:tr>
      <w:tr w:rsidR="00E84591" w:rsidRPr="00F27F57" w14:paraId="53DB1BAA" w14:textId="77777777" w:rsidTr="00555978">
        <w:trPr>
          <w:trHeight w:val="284"/>
          <w:jc w:val="center"/>
        </w:trPr>
        <w:tc>
          <w:tcPr>
            <w:tcW w:w="1756" w:type="pct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  <w:noWrap/>
            <w:vAlign w:val="bottom"/>
          </w:tcPr>
          <w:p w14:paraId="68376F41" w14:textId="77777777" w:rsidR="00E84591" w:rsidRPr="00E84591" w:rsidRDefault="00E84591" w:rsidP="00A04F82">
            <w:pPr>
              <w:spacing w:before="120" w:after="60"/>
              <w:ind w:left="57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b/>
                <w:bCs/>
                <w:iCs/>
                <w:noProof/>
                <w:sz w:val="18"/>
                <w:szCs w:val="18"/>
              </w:rPr>
              <w:t>Раде</w:t>
            </w:r>
            <w:r w:rsidRPr="00E84591">
              <w:rPr>
                <w:rFonts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1B3FAA3" w14:textId="182765FB" w:rsidR="00E84591" w:rsidRPr="00A04F82" w:rsidRDefault="00E84591" w:rsidP="00E84591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sz w:val="18"/>
                <w:szCs w:val="18"/>
              </w:rPr>
              <w:t>9,2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  <w:vAlign w:val="center"/>
          </w:tcPr>
          <w:p w14:paraId="043F388B" w14:textId="47F9F036" w:rsidR="00E84591" w:rsidRPr="00A04F82" w:rsidRDefault="00E84591" w:rsidP="00E84591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sz w:val="18"/>
                <w:szCs w:val="18"/>
              </w:rPr>
              <w:t>9,9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A319E0" w14:textId="15C6BCA1" w:rsidR="00E84591" w:rsidRPr="00A04F82" w:rsidRDefault="00E84591" w:rsidP="00E84591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bCs/>
                <w:noProof/>
                <w:sz w:val="18"/>
                <w:szCs w:val="18"/>
              </w:rPr>
              <w:t>8,3</w:t>
            </w:r>
          </w:p>
        </w:tc>
      </w:tr>
      <w:tr w:rsidR="00E84591" w:rsidRPr="00F27F57" w14:paraId="1AB8FBB6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17C11B1B" w14:textId="7F98AF75" w:rsidR="00E84591" w:rsidRPr="00E84591" w:rsidRDefault="00E84591" w:rsidP="00A04F82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noProof/>
                <w:sz w:val="18"/>
                <w:szCs w:val="18"/>
              </w:rPr>
              <w:t>Запослени код послодавца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639A62F" w14:textId="5F13DC4D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sz w:val="18"/>
                <w:szCs w:val="18"/>
              </w:rPr>
              <w:t>6,5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3C7EACF2" w14:textId="5A81182A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sz w:val="18"/>
                <w:szCs w:val="18"/>
              </w:rPr>
              <w:t>6,6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A94EF0" w14:textId="0868EDFD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bCs/>
                <w:noProof/>
                <w:sz w:val="18"/>
                <w:szCs w:val="18"/>
              </w:rPr>
              <w:t>6,4</w:t>
            </w:r>
          </w:p>
        </w:tc>
      </w:tr>
      <w:tr w:rsidR="00E84591" w:rsidRPr="00F27F57" w14:paraId="726E31D7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459D3601" w14:textId="27FFEA6B" w:rsidR="00E84591" w:rsidRPr="00E84591" w:rsidRDefault="00E84591" w:rsidP="00A04F82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noProof/>
                <w:sz w:val="18"/>
                <w:szCs w:val="18"/>
              </w:rPr>
              <w:t>Самозапослени</w:t>
            </w:r>
            <w:r w:rsidRPr="00E84591">
              <w:rPr>
                <w:rStyle w:val="FootnoteReference"/>
                <w:rFonts w:cs="Arial"/>
                <w:noProof/>
                <w:sz w:val="18"/>
                <w:szCs w:val="18"/>
              </w:rPr>
              <w:footnoteReference w:id="1"/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B2DA9BE" w14:textId="094FC71D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sz w:val="18"/>
                <w:szCs w:val="18"/>
              </w:rPr>
              <w:t>25,9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1E2DB962" w14:textId="2588E737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sz w:val="18"/>
                <w:szCs w:val="18"/>
              </w:rPr>
              <w:t>25,5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D5AEA5" w14:textId="62BD95EE" w:rsidR="00E84591" w:rsidRPr="00E84591" w:rsidRDefault="00E84591" w:rsidP="00E84591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E84591">
              <w:rPr>
                <w:rFonts w:cs="Arial"/>
                <w:bCs/>
                <w:noProof/>
                <w:sz w:val="18"/>
                <w:szCs w:val="18"/>
              </w:rPr>
              <w:t>26,9</w:t>
            </w:r>
          </w:p>
        </w:tc>
      </w:tr>
      <w:tr w:rsidR="00E84591" w:rsidRPr="00F27F57" w14:paraId="1ED4A765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49694CA6" w14:textId="77777777" w:rsidR="00E84591" w:rsidRPr="00A04F82" w:rsidRDefault="00E84591" w:rsidP="00A04F82">
            <w:pPr>
              <w:spacing w:before="120" w:after="60"/>
              <w:ind w:left="57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bCs/>
                <w:iCs/>
                <w:noProof/>
                <w:sz w:val="18"/>
                <w:szCs w:val="18"/>
              </w:rPr>
              <w:t>Не раде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67AE5804" w14:textId="2597EB25" w:rsidR="00E84591" w:rsidRPr="00A04F82" w:rsidRDefault="00E84591" w:rsidP="00A04F82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sz w:val="18"/>
                <w:szCs w:val="18"/>
              </w:rPr>
              <w:t>30,4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199BB475" w14:textId="101AE84C" w:rsidR="00E84591" w:rsidRPr="00A04F82" w:rsidRDefault="00E84591" w:rsidP="00A04F82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sz w:val="18"/>
                <w:szCs w:val="18"/>
              </w:rPr>
              <w:t>31,4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67377E2" w14:textId="64909472" w:rsidR="00E84591" w:rsidRPr="00A04F82" w:rsidRDefault="00E84591" w:rsidP="00A04F82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bCs/>
                <w:noProof/>
                <w:sz w:val="18"/>
                <w:szCs w:val="18"/>
              </w:rPr>
              <w:t>29,7</w:t>
            </w:r>
          </w:p>
        </w:tc>
      </w:tr>
      <w:tr w:rsidR="00E84591" w:rsidRPr="00F27F57" w14:paraId="0A4D9AA5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5F268E21" w14:textId="45E17AC3" w:rsidR="00E84591" w:rsidRPr="00A04F82" w:rsidRDefault="00E84591" w:rsidP="00A04F82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Незапослени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52769EB" w14:textId="2A54B4D1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47,5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4EC35E75" w14:textId="734E71BD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50,5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1745B9" w14:textId="0566AB39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Cs/>
                <w:noProof/>
                <w:sz w:val="18"/>
                <w:szCs w:val="18"/>
              </w:rPr>
              <w:t>44,4</w:t>
            </w:r>
          </w:p>
        </w:tc>
      </w:tr>
      <w:tr w:rsidR="00E84591" w:rsidRPr="00F27F57" w14:paraId="3C3F1CEB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5E3254A0" w14:textId="569CC1C2" w:rsidR="00E84591" w:rsidRPr="00A04F82" w:rsidRDefault="00E84591" w:rsidP="00A04F82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Пензионери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BE5702A" w14:textId="1853B705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17,2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</w:tcBorders>
            <w:vAlign w:val="center"/>
          </w:tcPr>
          <w:p w14:paraId="2CC271EB" w14:textId="236E6077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16,0</w:t>
            </w:r>
          </w:p>
        </w:tc>
        <w:tc>
          <w:tcPr>
            <w:tcW w:w="10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C0CE6A1" w14:textId="380B838C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Cs/>
                <w:noProof/>
                <w:sz w:val="18"/>
                <w:szCs w:val="18"/>
              </w:rPr>
              <w:t>18,2</w:t>
            </w:r>
          </w:p>
        </w:tc>
      </w:tr>
      <w:tr w:rsidR="00E84591" w:rsidRPr="00F27F57" w14:paraId="66946F76" w14:textId="77777777" w:rsidTr="00555978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5C453C89" w14:textId="133A875C" w:rsidR="00E84591" w:rsidRPr="00A04F82" w:rsidRDefault="00E84591" w:rsidP="00A04F82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Остали неактивни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7303373" w14:textId="5E3BCC6B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33,5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</w:tcBorders>
            <w:vAlign w:val="center"/>
          </w:tcPr>
          <w:p w14:paraId="1E5F9858" w14:textId="5C7771FF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sz w:val="18"/>
                <w:szCs w:val="18"/>
              </w:rPr>
              <w:t>27,4</w:t>
            </w:r>
          </w:p>
        </w:tc>
        <w:tc>
          <w:tcPr>
            <w:tcW w:w="10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F32C142" w14:textId="3A9918F7" w:rsidR="00E84591" w:rsidRPr="00A04F82" w:rsidRDefault="00E84591" w:rsidP="00A04F82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A04F82">
              <w:rPr>
                <w:rFonts w:cs="Arial"/>
                <w:bCs/>
                <w:noProof/>
                <w:sz w:val="18"/>
                <w:szCs w:val="18"/>
              </w:rPr>
              <w:t>35,8</w:t>
            </w:r>
          </w:p>
        </w:tc>
      </w:tr>
    </w:tbl>
    <w:p w14:paraId="2DB4377B" w14:textId="77777777" w:rsidR="003D18C2" w:rsidRDefault="003D18C2" w:rsidP="00D10C4B">
      <w:pPr>
        <w:pStyle w:val="PlainText"/>
        <w:spacing w:before="360" w:after="60"/>
        <w:ind w:left="1021" w:hanging="1021"/>
        <w:jc w:val="center"/>
        <w:rPr>
          <w:rFonts w:ascii="Arial" w:hAnsi="Arial" w:cs="Arial"/>
          <w:b/>
          <w:noProof/>
          <w:lang w:val="ru-RU"/>
        </w:rPr>
      </w:pPr>
      <w:r w:rsidRPr="009175A5">
        <w:rPr>
          <w:rFonts w:ascii="Arial" w:hAnsi="Arial" w:cs="Arial"/>
          <w:b/>
          <w:noProof/>
          <w:lang w:val="ru-RU"/>
        </w:rPr>
        <w:t>Стопа ризика од сиромаштва према најчешћем статусу на тржишту рада и полу</w:t>
      </w:r>
    </w:p>
    <w:p w14:paraId="75C1228D" w14:textId="77777777" w:rsidR="003D18C2" w:rsidRPr="009175A5" w:rsidRDefault="003D18C2" w:rsidP="00D10C4B">
      <w:pPr>
        <w:pStyle w:val="PlainText"/>
        <w:spacing w:after="240"/>
        <w:ind w:left="1021" w:hanging="1021"/>
        <w:jc w:val="center"/>
        <w:rPr>
          <w:rFonts w:ascii="Arial" w:hAnsi="Arial" w:cs="Arial"/>
          <w:color w:val="000000"/>
          <w:sz w:val="10"/>
          <w:szCs w:val="10"/>
        </w:rPr>
      </w:pPr>
      <w:r w:rsidRPr="009175A5">
        <w:rPr>
          <w:rFonts w:ascii="Arial" w:hAnsi="Arial" w:cs="Arial"/>
          <w:b/>
          <w:noProof/>
          <w:lang w:val="ru-RU"/>
        </w:rPr>
        <w:t xml:space="preserve">(за </w:t>
      </w:r>
      <w:r>
        <w:rPr>
          <w:rFonts w:ascii="Arial" w:hAnsi="Arial" w:cs="Arial"/>
          <w:b/>
          <w:noProof/>
          <w:lang w:val="ru-RU"/>
        </w:rPr>
        <w:t>лица</w:t>
      </w:r>
      <w:r w:rsidRPr="009175A5">
        <w:rPr>
          <w:rFonts w:ascii="Arial" w:hAnsi="Arial" w:cs="Arial"/>
          <w:b/>
          <w:noProof/>
          <w:lang w:val="ru-RU"/>
        </w:rPr>
        <w:t xml:space="preserve"> стар</w:t>
      </w:r>
      <w:r>
        <w:rPr>
          <w:rFonts w:ascii="Arial" w:hAnsi="Arial" w:cs="Arial"/>
          <w:b/>
          <w:noProof/>
          <w:lang w:val="ru-RU"/>
        </w:rPr>
        <w:t>а</w:t>
      </w:r>
      <w:r w:rsidRPr="009175A5">
        <w:rPr>
          <w:rFonts w:ascii="Arial" w:hAnsi="Arial" w:cs="Arial"/>
          <w:b/>
          <w:noProof/>
          <w:lang w:val="ru-RU"/>
        </w:rPr>
        <w:t xml:space="preserve"> 18 и више година), %</w:t>
      </w:r>
    </w:p>
    <w:p w14:paraId="18060549" w14:textId="0568F232" w:rsidR="00A04F82" w:rsidRDefault="004A0B5E" w:rsidP="003D18C2">
      <w:pPr>
        <w:pStyle w:val="PlainText"/>
        <w:spacing w:before="120"/>
        <w:ind w:firstLine="39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6200D55" wp14:editId="6042B9EC">
            <wp:extent cx="5759450" cy="259143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A52120" w14:textId="53691682" w:rsidR="009175A5" w:rsidRPr="009175A5" w:rsidRDefault="00D10C4B" w:rsidP="00D10C4B">
      <w:pPr>
        <w:spacing w:after="60"/>
        <w:rPr>
          <w:rFonts w:cs="Arial"/>
          <w:b/>
          <w:noProof/>
          <w:lang w:val="ru-RU"/>
        </w:rPr>
      </w:pPr>
      <w:r>
        <w:rPr>
          <w:rFonts w:cs="Arial"/>
          <w:b/>
          <w:noProof/>
          <w:lang w:val="ru-RU"/>
        </w:rPr>
        <w:br w:type="page"/>
      </w:r>
      <w:r w:rsidR="00845FF4">
        <w:rPr>
          <w:rFonts w:cs="Arial"/>
          <w:b/>
          <w:noProof/>
          <w:lang w:val="ru-RU"/>
        </w:rPr>
        <w:lastRenderedPageBreak/>
        <w:t xml:space="preserve">5. </w:t>
      </w:r>
      <w:r w:rsidR="009175A5" w:rsidRPr="009175A5">
        <w:rPr>
          <w:rFonts w:cs="Arial"/>
          <w:b/>
          <w:noProof/>
          <w:lang w:val="ru-RU"/>
        </w:rPr>
        <w:t>Дисперзија</w:t>
      </w:r>
      <w:r w:rsidR="00D06D64">
        <w:rPr>
          <w:rFonts w:cs="Arial"/>
          <w:b/>
          <w:noProof/>
          <w:lang w:val="ru-RU"/>
        </w:rPr>
        <w:t xml:space="preserve"> око прага ризика од сиромаштва                                                                                            </w:t>
      </w:r>
      <w:r w:rsidR="009175A5" w:rsidRPr="009175A5">
        <w:rPr>
          <w:rFonts w:cs="Arial"/>
          <w:b/>
          <w:noProof/>
          <w:lang w:val="ru-RU"/>
        </w:rPr>
        <w:t xml:space="preserve"> %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5"/>
        <w:gridCol w:w="1033"/>
        <w:gridCol w:w="1033"/>
        <w:gridCol w:w="1033"/>
        <w:gridCol w:w="1021"/>
      </w:tblGrid>
      <w:tr w:rsidR="00F60132" w:rsidRPr="00F4434D" w14:paraId="78428280" w14:textId="7EB41307" w:rsidTr="001615BD">
        <w:trPr>
          <w:trHeight w:val="284"/>
          <w:jc w:val="center"/>
        </w:trPr>
        <w:tc>
          <w:tcPr>
            <w:tcW w:w="6085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66F4C887" w14:textId="77777777" w:rsidR="00F60132" w:rsidRPr="00F4434D" w:rsidRDefault="00F60132" w:rsidP="001615BD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57BDBF47" w14:textId="047A2DCA" w:rsidR="00F60132" w:rsidRPr="00B20EE1" w:rsidRDefault="00AC1101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2016</w:t>
            </w:r>
          </w:p>
        </w:tc>
        <w:tc>
          <w:tcPr>
            <w:tcW w:w="1033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255FF7A3" w14:textId="0B4AE9CB" w:rsidR="00F60132" w:rsidRPr="00B20EE1" w:rsidRDefault="00AC1101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2017</w:t>
            </w:r>
          </w:p>
        </w:tc>
        <w:tc>
          <w:tcPr>
            <w:tcW w:w="1033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6DABF0D1" w14:textId="5B262295" w:rsidR="00F60132" w:rsidRPr="00B20EE1" w:rsidRDefault="00AC1101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2018</w:t>
            </w:r>
          </w:p>
        </w:tc>
        <w:tc>
          <w:tcPr>
            <w:tcW w:w="1021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5D4AFAA3" w14:textId="1AB763CF" w:rsidR="00F60132" w:rsidRPr="00B20EE1" w:rsidRDefault="00AC1101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2019</w:t>
            </w:r>
          </w:p>
        </w:tc>
      </w:tr>
      <w:tr w:rsidR="00A03717" w:rsidRPr="00F27F57" w14:paraId="29372D7D" w14:textId="2F3172E1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93A3C9A" w14:textId="77777777" w:rsidR="00A03717" w:rsidRPr="001615BD" w:rsidRDefault="00A03717" w:rsidP="001615BD">
            <w:pPr>
              <w:spacing w:before="120" w:after="60"/>
              <w:ind w:left="57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>40% националне медијане прихода</w:t>
            </w: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  <w:lang w:eastAsia="en-GB"/>
              </w:rPr>
              <w:t xml:space="preserve"> </w:t>
            </w: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033" w:type="dxa"/>
            <w:tcBorders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A33C8EB" w14:textId="77777777" w:rsidR="00A03717" w:rsidRPr="001615BD" w:rsidRDefault="00A03717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</w:tcPr>
          <w:p w14:paraId="0FAFCB92" w14:textId="77777777" w:rsidR="00A03717" w:rsidRPr="001615BD" w:rsidRDefault="00A03717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</w:tcPr>
          <w:p w14:paraId="66215E9A" w14:textId="77777777" w:rsidR="00A03717" w:rsidRPr="001615BD" w:rsidRDefault="00A03717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21" w:type="dxa"/>
          </w:tcPr>
          <w:p w14:paraId="1710DCC9" w14:textId="77777777" w:rsidR="00A03717" w:rsidRPr="001615BD" w:rsidRDefault="00A03717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AC1101" w:rsidRPr="00F27F57" w14:paraId="748286FE" w14:textId="7CF2C396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4D8CB55" w14:textId="3A118B60" w:rsidR="00AC1101" w:rsidRPr="001615BD" w:rsidRDefault="00AC1101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1033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BFD5B30" w14:textId="760BCD26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14,5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A01C13" w14:textId="0E37509E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14,4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61E45D" w14:textId="0D87AE86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13,7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65705" w14:textId="72D90364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11,2</w:t>
            </w:r>
          </w:p>
        </w:tc>
      </w:tr>
      <w:tr w:rsidR="00AC1101" w:rsidRPr="00F27F57" w14:paraId="0F113C9E" w14:textId="63CCF641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E4BBE39" w14:textId="77777777" w:rsidR="00AC1101" w:rsidRPr="001615BD" w:rsidRDefault="00AC1101" w:rsidP="001615BD">
            <w:pPr>
              <w:spacing w:before="120" w:after="60"/>
              <w:ind w:left="57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 xml:space="preserve">50% националне медијане прихода </w:t>
            </w:r>
          </w:p>
        </w:tc>
        <w:tc>
          <w:tcPr>
            <w:tcW w:w="1033" w:type="dxa"/>
            <w:tcBorders>
              <w:left w:val="single" w:sz="6" w:space="0" w:color="365F91" w:themeColor="accent1" w:themeShade="BF"/>
            </w:tcBorders>
            <w:noWrap/>
            <w:vAlign w:val="center"/>
          </w:tcPr>
          <w:p w14:paraId="1ACD7CC2" w14:textId="77777777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  <w:vAlign w:val="center"/>
          </w:tcPr>
          <w:p w14:paraId="5837DD7D" w14:textId="77777777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  <w:vAlign w:val="center"/>
          </w:tcPr>
          <w:p w14:paraId="7238FB65" w14:textId="77777777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21" w:type="dxa"/>
            <w:vAlign w:val="center"/>
          </w:tcPr>
          <w:p w14:paraId="490FFA9F" w14:textId="77777777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AC1101" w:rsidRPr="00F27F57" w14:paraId="0C5D8FF4" w14:textId="050E8BE5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34F34AB" w14:textId="6A904D52" w:rsidR="00AC1101" w:rsidRPr="001615BD" w:rsidRDefault="00AC1101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1033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0A45199" w14:textId="71FC46F1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20,0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DB2D61" w14:textId="3B1C6A62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19,8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68B110" w14:textId="03EEC0C3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18,0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197369" w14:textId="5FE8E23B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16,8</w:t>
            </w:r>
          </w:p>
        </w:tc>
      </w:tr>
      <w:tr w:rsidR="00AC1101" w:rsidRPr="00F27F57" w14:paraId="278F7987" w14:textId="05CB69F2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4DDCB8E" w14:textId="77777777" w:rsidR="00AC1101" w:rsidRPr="001615BD" w:rsidRDefault="00AC1101" w:rsidP="001615BD">
            <w:pPr>
              <w:spacing w:before="120" w:after="60"/>
              <w:ind w:left="57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 xml:space="preserve">70% националне медијане прихода </w:t>
            </w:r>
          </w:p>
        </w:tc>
        <w:tc>
          <w:tcPr>
            <w:tcW w:w="1033" w:type="dxa"/>
            <w:tcBorders>
              <w:left w:val="single" w:sz="6" w:space="0" w:color="365F91" w:themeColor="accent1" w:themeShade="BF"/>
            </w:tcBorders>
            <w:noWrap/>
            <w:vAlign w:val="center"/>
          </w:tcPr>
          <w:p w14:paraId="3BD6D017" w14:textId="77777777" w:rsidR="00AC1101" w:rsidRPr="001615BD" w:rsidRDefault="00AC1101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  <w:vAlign w:val="center"/>
          </w:tcPr>
          <w:p w14:paraId="3AF9E377" w14:textId="77777777" w:rsidR="00AC1101" w:rsidRPr="001615BD" w:rsidRDefault="00AC1101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33" w:type="dxa"/>
            <w:vAlign w:val="center"/>
          </w:tcPr>
          <w:p w14:paraId="1F980F4B" w14:textId="77777777" w:rsidR="00AC1101" w:rsidRPr="001615BD" w:rsidRDefault="00AC1101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21" w:type="dxa"/>
            <w:vAlign w:val="center"/>
          </w:tcPr>
          <w:p w14:paraId="67AC0B3B" w14:textId="77777777" w:rsidR="00AC1101" w:rsidRPr="001615BD" w:rsidRDefault="00AC1101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AC1101" w:rsidRPr="00F27F57" w14:paraId="5753310C" w14:textId="4E37B79D" w:rsidTr="001615BD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635FC3F" w14:textId="50A7D36B" w:rsidR="00AC1101" w:rsidRPr="001615BD" w:rsidRDefault="00AC1101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1033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01ACC50" w14:textId="4BB03B2F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32,2</w:t>
            </w:r>
          </w:p>
        </w:tc>
        <w:tc>
          <w:tcPr>
            <w:tcW w:w="103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1CE138" w14:textId="754B715D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31,2</w:t>
            </w:r>
          </w:p>
        </w:tc>
        <w:tc>
          <w:tcPr>
            <w:tcW w:w="103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1F8F81C" w14:textId="0BED955E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30,1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8BF26D" w14:textId="442ABD31" w:rsidR="00AC1101" w:rsidRPr="001615BD" w:rsidRDefault="00AC1101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30,0</w:t>
            </w:r>
          </w:p>
        </w:tc>
      </w:tr>
    </w:tbl>
    <w:p w14:paraId="28CB0335" w14:textId="4683812B" w:rsidR="009175A5" w:rsidRDefault="00786150" w:rsidP="001615BD">
      <w:pPr>
        <w:spacing w:before="360" w:after="60"/>
        <w:rPr>
          <w:rFonts w:cs="Arial"/>
          <w:b/>
          <w:bCs/>
          <w:noProof/>
          <w:sz w:val="28"/>
          <w:szCs w:val="28"/>
        </w:rPr>
      </w:pPr>
      <w:r w:rsidRPr="003626EB">
        <w:rPr>
          <w:rFonts w:cs="Arial"/>
          <w:b/>
          <w:bCs/>
          <w:noProof/>
          <w:szCs w:val="20"/>
        </w:rPr>
        <w:t>6. Показатељи материјалне ускраћености</w:t>
      </w:r>
      <w:r w:rsidR="00D06D64">
        <w:rPr>
          <w:rFonts w:cs="Arial"/>
          <w:b/>
          <w:bCs/>
          <w:noProof/>
          <w:szCs w:val="20"/>
        </w:rPr>
        <w:t xml:space="preserve">                                                                                                     </w:t>
      </w:r>
      <w:r w:rsidRPr="003626EB">
        <w:rPr>
          <w:rFonts w:cs="Arial"/>
          <w:b/>
          <w:bCs/>
          <w:noProof/>
          <w:szCs w:val="20"/>
        </w:rPr>
        <w:t xml:space="preserve"> %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0"/>
        <w:gridCol w:w="1030"/>
        <w:gridCol w:w="1030"/>
        <w:gridCol w:w="1030"/>
        <w:gridCol w:w="1016"/>
      </w:tblGrid>
      <w:tr w:rsidR="00F60132" w:rsidRPr="00F4434D" w14:paraId="2D069746" w14:textId="186FB150" w:rsidTr="00B20EE1">
        <w:trPr>
          <w:trHeight w:val="19"/>
          <w:jc w:val="center"/>
        </w:trPr>
        <w:tc>
          <w:tcPr>
            <w:tcW w:w="6100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0F46CAF2" w14:textId="77777777" w:rsidR="00F60132" w:rsidRPr="00F4434D" w:rsidRDefault="00F60132" w:rsidP="00F60132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nil"/>
            </w:tcBorders>
            <w:shd w:val="pct5" w:color="auto" w:fill="auto"/>
            <w:noWrap/>
          </w:tcPr>
          <w:p w14:paraId="29E44C5B" w14:textId="0720B553" w:rsidR="00F60132" w:rsidRPr="00B20EE1" w:rsidRDefault="00AC1101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2016</w:t>
            </w: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3651F981" w14:textId="7B5281A5" w:rsidR="00F60132" w:rsidRPr="00B20EE1" w:rsidRDefault="00AC1101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2017</w:t>
            </w: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01DD976B" w14:textId="78F44698" w:rsidR="00F60132" w:rsidRPr="00B20EE1" w:rsidRDefault="00AC1101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2018</w:t>
            </w:r>
          </w:p>
        </w:tc>
        <w:tc>
          <w:tcPr>
            <w:tcW w:w="1016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0FF21A2A" w14:textId="27DCD241" w:rsidR="00F60132" w:rsidRPr="00B20EE1" w:rsidRDefault="00AC1101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val="en-US"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2019</w:t>
            </w:r>
          </w:p>
        </w:tc>
      </w:tr>
      <w:tr w:rsidR="00A03717" w:rsidRPr="00F27F57" w14:paraId="5B632B3B" w14:textId="1098ACC1" w:rsidTr="00B04C01">
        <w:trPr>
          <w:trHeight w:val="284"/>
          <w:jc w:val="center"/>
        </w:trPr>
        <w:tc>
          <w:tcPr>
            <w:tcW w:w="6100" w:type="dxa"/>
            <w:tcBorders>
              <w:top w:val="single" w:sz="6" w:space="0" w:color="365F91" w:themeColor="accent1" w:themeShade="BF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74C6F644" w14:textId="77777777" w:rsidR="00A03717" w:rsidRPr="001615BD" w:rsidRDefault="00A03717" w:rsidP="00B04C01">
            <w:pPr>
              <w:spacing w:before="120" w:after="60"/>
              <w:ind w:left="57"/>
              <w:rPr>
                <w:rFonts w:cs="Arial"/>
                <w:b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b/>
                <w:noProof/>
                <w:sz w:val="18"/>
                <w:szCs w:val="16"/>
                <w:lang w:val="ru-RU"/>
              </w:rPr>
              <w:t>Лица која живе у домаћинству које:</w:t>
            </w: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</w:tcPr>
          <w:p w14:paraId="0FE2756F" w14:textId="77777777" w:rsidR="00A03717" w:rsidRPr="001615BD" w:rsidRDefault="00A03717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7DBFD7FF" w14:textId="77777777" w:rsidR="00A03717" w:rsidRPr="001615BD" w:rsidRDefault="00A03717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1030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43CE4613" w14:textId="77777777" w:rsidR="00A03717" w:rsidRPr="001615BD" w:rsidRDefault="00A03717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1016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4C283178" w14:textId="77777777" w:rsidR="00A03717" w:rsidRPr="001615BD" w:rsidRDefault="00A03717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</w:tr>
      <w:tr w:rsidR="00AC1101" w:rsidRPr="00F27F57" w14:paraId="5B3D63CE" w14:textId="3CFE9BC4" w:rsidTr="00B04C01">
        <w:trPr>
          <w:trHeight w:val="284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067E5898" w14:textId="77777777" w:rsidR="00AC1101" w:rsidRPr="001615BD" w:rsidRDefault="00AC1101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>Не може да приушти недељу дана одмора ван куће</w:t>
            </w:r>
          </w:p>
        </w:tc>
        <w:tc>
          <w:tcPr>
            <w:tcW w:w="1030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70BF" w14:textId="4E87872B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62,8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2BB3" w14:textId="3E2BA07B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56,9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4437A" w14:textId="7D4168DC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52,0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7982" w14:textId="3F222260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50,5</w:t>
            </w:r>
          </w:p>
        </w:tc>
      </w:tr>
      <w:tr w:rsidR="00AC1101" w:rsidRPr="00F27F57" w14:paraId="2344BFA1" w14:textId="3D0438C2" w:rsidTr="00B04C01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D2AB06C" w14:textId="77777777" w:rsidR="00AC1101" w:rsidRPr="001615BD" w:rsidRDefault="00AC1101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Не може да приушти месо или рибу у оброку сваког другог дана </w:t>
            </w: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br/>
              <w:t>(или њихову вегетеријанску замену)</w:t>
            </w:r>
          </w:p>
        </w:tc>
        <w:tc>
          <w:tcPr>
            <w:tcW w:w="1030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103A" w14:textId="07C5BCA7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20,3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579D" w14:textId="6E078D3D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21,2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F403" w14:textId="60C4A129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18,8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3DB8" w14:textId="06FD2301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15,1</w:t>
            </w:r>
          </w:p>
        </w:tc>
      </w:tr>
      <w:tr w:rsidR="00AC1101" w:rsidRPr="00F27F57" w14:paraId="3E09D0E7" w14:textId="7F06B47A" w:rsidTr="00B04C01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F78413B" w14:textId="564380A0" w:rsidR="00AC1101" w:rsidRPr="001615BD" w:rsidRDefault="00AC1101" w:rsidP="00B04C01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Не може да приушти неочекивани трошак у износу </w:t>
            </w:r>
            <w:r w:rsidRPr="001615BD">
              <w:rPr>
                <w:rFonts w:cs="Arial"/>
                <w:noProof/>
                <w:sz w:val="18"/>
                <w:szCs w:val="16"/>
              </w:rPr>
              <w:t>од</w:t>
            </w:r>
            <w:r w:rsidR="00B04C01">
              <w:rPr>
                <w:rFonts w:cs="Arial"/>
                <w:noProof/>
                <w:sz w:val="18"/>
                <w:szCs w:val="16"/>
                <w:lang w:val="ru-RU"/>
              </w:rPr>
              <w:t xml:space="preserve"> 13</w:t>
            </w: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 </w:t>
            </w:r>
            <w:r w:rsidR="00B04C01">
              <w:rPr>
                <w:rFonts w:cs="Arial"/>
                <w:noProof/>
                <w:sz w:val="18"/>
                <w:szCs w:val="16"/>
                <w:lang w:val="ru-RU"/>
              </w:rPr>
              <w:t>9</w:t>
            </w: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>00 динара, који би био плаћен из буџета домаћинства</w:t>
            </w:r>
          </w:p>
        </w:tc>
        <w:tc>
          <w:tcPr>
            <w:tcW w:w="1030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41AF" w14:textId="097830A6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48,3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BAD5" w14:textId="091D028D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44,1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3235" w14:textId="0E971EC5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39,8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9718" w14:textId="4558FC6E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35,5</w:t>
            </w:r>
          </w:p>
        </w:tc>
      </w:tr>
      <w:tr w:rsidR="00AC1101" w:rsidRPr="00F27F57" w14:paraId="31F1406A" w14:textId="121F476B" w:rsidTr="00B04C01">
        <w:trPr>
          <w:trHeight w:val="284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9A009DC" w14:textId="77777777" w:rsidR="00AC1101" w:rsidRPr="001615BD" w:rsidRDefault="00AC1101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>Не може да приушти адекватно загревање стана</w:t>
            </w:r>
          </w:p>
        </w:tc>
        <w:tc>
          <w:tcPr>
            <w:tcW w:w="1030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EB87" w14:textId="246B88E5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7322" w14:textId="6E48F882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B811" w14:textId="4502068E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833A" w14:textId="49380D87" w:rsidR="00AC1101" w:rsidRPr="001615BD" w:rsidRDefault="00AC1101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9,9</w:t>
            </w:r>
          </w:p>
        </w:tc>
      </w:tr>
      <w:tr w:rsidR="00AC1101" w:rsidRPr="00F27F57" w14:paraId="3D92113A" w14:textId="45F22D30" w:rsidTr="00B04C01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9743B86" w14:textId="302AB881" w:rsidR="00AC1101" w:rsidRPr="00B04C01" w:rsidRDefault="00AC1101" w:rsidP="00B04C01">
            <w:pPr>
              <w:spacing w:before="120" w:after="60"/>
              <w:ind w:left="57"/>
              <w:rPr>
                <w:rFonts w:cs="Arial"/>
                <w:b/>
                <w:noProof/>
                <w:sz w:val="18"/>
                <w:szCs w:val="16"/>
                <w:lang w:val="ru-RU"/>
              </w:rPr>
            </w:pPr>
            <w:r w:rsidRPr="00B04C01">
              <w:rPr>
                <w:rFonts w:cs="Arial"/>
                <w:b/>
                <w:noProof/>
                <w:sz w:val="18"/>
                <w:szCs w:val="16"/>
                <w:lang w:val="ru-RU"/>
              </w:rPr>
              <w:t xml:space="preserve">Стопа материјалне ускраћености (три или више од девет </w:t>
            </w:r>
            <w:r w:rsidRPr="00B04C01">
              <w:rPr>
                <w:rFonts w:cs="Arial"/>
                <w:b/>
                <w:bCs/>
                <w:iCs/>
                <w:noProof/>
                <w:sz w:val="18"/>
                <w:szCs w:val="16"/>
                <w:lang w:val="ru-RU"/>
              </w:rPr>
              <w:t>ставки материјалне ускраћености)</w:t>
            </w:r>
          </w:p>
        </w:tc>
        <w:tc>
          <w:tcPr>
            <w:tcW w:w="1030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671C" w14:textId="2E65461F" w:rsidR="00AC1101" w:rsidRPr="00B04C01" w:rsidRDefault="00AC1101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37,4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786F" w14:textId="760D4964" w:rsidR="00AC1101" w:rsidRPr="00B04C01" w:rsidRDefault="00AC1101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30,7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1D4E" w14:textId="0E9D3779" w:rsidR="00AC1101" w:rsidRPr="00B04C01" w:rsidRDefault="00AC1101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30,4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6F10" w14:textId="31B63A27" w:rsidR="00AC1101" w:rsidRPr="00B04C01" w:rsidRDefault="00AC1101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  <w:lang w:val="en-US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25,5</w:t>
            </w:r>
          </w:p>
        </w:tc>
      </w:tr>
    </w:tbl>
    <w:p w14:paraId="76F6EA75" w14:textId="77777777" w:rsidR="002F6B71" w:rsidRDefault="002F6B71"/>
    <w:tbl>
      <w:tblPr>
        <w:tblW w:w="5015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74"/>
      </w:tblGrid>
      <w:tr w:rsidR="00E26087" w:rsidRPr="005E28CB" w14:paraId="3EE00D1A" w14:textId="77777777" w:rsidTr="00B0741C">
        <w:trPr>
          <w:trHeight w:val="939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2CC5C5A6" w14:textId="77777777" w:rsidR="00B04C01" w:rsidRDefault="00E26087" w:rsidP="007C6598">
            <w:pPr>
              <w:spacing w:before="360"/>
              <w:jc w:val="center"/>
              <w:rPr>
                <w:rFonts w:cs="Arial"/>
                <w:b/>
                <w:noProof/>
                <w:sz w:val="19"/>
                <w:szCs w:val="19"/>
                <w:lang w:val="ru-RU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t>Стопа субјективног сиромаштва              (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Могућност домаћинства да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„састави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 крај </w:t>
            </w:r>
          </w:p>
          <w:p w14:paraId="021A130D" w14:textId="696041B6" w:rsidR="00E26087" w:rsidRPr="005E28CB" w:rsidRDefault="00E26087" w:rsidP="007C6598">
            <w:pPr>
              <w:jc w:val="center"/>
              <w:rPr>
                <w:rFonts w:cs="Arial"/>
                <w:color w:val="000000"/>
                <w:sz w:val="10"/>
                <w:szCs w:val="10"/>
                <w:lang w:val="ru-RU"/>
              </w:rPr>
            </w:pP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с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крајем“</w:t>
            </w:r>
            <w:r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)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, %</w:t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321731D9" w14:textId="515CA269" w:rsidR="00E26087" w:rsidRPr="003427CA" w:rsidRDefault="00E26087" w:rsidP="007C6598">
            <w:pPr>
              <w:pStyle w:val="PlainText"/>
              <w:spacing w:before="360"/>
              <w:jc w:val="center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  <w:r w:rsidRPr="005E28CB"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  <w:t xml:space="preserve">Финансијско оптерећење буџета домаћинства трошковима </w:t>
            </w:r>
            <w:r w:rsidRPr="005E28CB">
              <w:rPr>
                <w:rFonts w:ascii="Arial" w:hAnsi="Arial" w:cs="Arial"/>
                <w:b/>
                <w:bCs/>
                <w:noProof/>
                <w:sz w:val="19"/>
                <w:szCs w:val="19"/>
                <w:lang w:val="ru-RU"/>
              </w:rPr>
              <w:t>становања, %</w:t>
            </w:r>
          </w:p>
        </w:tc>
      </w:tr>
      <w:tr w:rsidR="009C2676" w:rsidRPr="005E28CB" w14:paraId="11862700" w14:textId="77777777" w:rsidTr="003427CA">
        <w:trPr>
          <w:trHeight w:val="20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4FF36C34" w14:textId="3468C507" w:rsidR="009C2676" w:rsidRPr="009C2676" w:rsidRDefault="003427CA" w:rsidP="009C2676">
            <w:pPr>
              <w:spacing w:before="120"/>
              <w:rPr>
                <w:rFonts w:cs="Arial"/>
                <w:b/>
                <w:bCs/>
                <w:noProof/>
                <w:sz w:val="19"/>
                <w:szCs w:val="19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5B5AB0" wp14:editId="708DEFF7">
                  <wp:extent cx="2951480" cy="2976114"/>
                  <wp:effectExtent l="0" t="0" r="127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488AD7D0" w14:textId="5919D063" w:rsidR="009C2676" w:rsidRDefault="003427CA" w:rsidP="00B04C01">
            <w:pPr>
              <w:pStyle w:val="PlainText"/>
              <w:spacing w:before="120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5C38C3" wp14:editId="2FDB3133">
                  <wp:extent cx="2951480" cy="1716657"/>
                  <wp:effectExtent l="0" t="0" r="0" b="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4F5B71A1" w14:textId="77777777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218298FC" w14:textId="77777777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75D21706" w14:textId="77777777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02B60C5B" w14:textId="3398D786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0991022E" w14:textId="1EDFADC9" w:rsidR="00675E09" w:rsidRDefault="00675E09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061AACFF" w14:textId="7E168B7A" w:rsidR="00675E09" w:rsidRDefault="00675E09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41F1C892" w14:textId="75C6AFBF" w:rsidR="00675E09" w:rsidRDefault="00675E09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62511F1B" w14:textId="77777777" w:rsidR="00675E09" w:rsidRDefault="00675E09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50C844D4" w14:textId="77777777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450FE8AC" w14:textId="1EFF57FB" w:rsidR="009C54DC" w:rsidRDefault="006E68F7" w:rsidP="006E68F7">
      <w:pPr>
        <w:jc w:val="center"/>
        <w:rPr>
          <w:rFonts w:cs="Arial"/>
          <w:b/>
          <w:bCs/>
          <w:noProof/>
          <w:szCs w:val="20"/>
          <w:lang w:val="ru-RU"/>
        </w:rPr>
      </w:pPr>
      <w:r w:rsidRPr="00AD2F78">
        <w:rPr>
          <w:rFonts w:cs="Arial"/>
          <w:b/>
          <w:bCs/>
          <w:noProof/>
          <w:szCs w:val="20"/>
          <w:lang w:val="ru-RU"/>
        </w:rPr>
        <w:lastRenderedPageBreak/>
        <w:t>МЕТОДОЛОШКА ОБЈАШЊЕЊА</w:t>
      </w:r>
    </w:p>
    <w:p w14:paraId="44DEF76C" w14:textId="77777777" w:rsidR="00174E6E" w:rsidRPr="00AD2F78" w:rsidRDefault="00174E6E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7FD0A33A" w14:textId="77777777" w:rsidR="006E68F7" w:rsidRPr="00AD2F78" w:rsidRDefault="006E68F7" w:rsidP="006E68F7">
      <w:pPr>
        <w:pStyle w:val="NoSpacing"/>
        <w:jc w:val="both"/>
        <w:rPr>
          <w:rFonts w:ascii="Arial" w:hAnsi="Arial" w:cs="Arial"/>
          <w:b/>
          <w:bCs/>
          <w:noProof/>
          <w:sz w:val="20"/>
          <w:szCs w:val="20"/>
          <w:lang w:val="ru-RU"/>
        </w:rPr>
      </w:pPr>
    </w:p>
    <w:p w14:paraId="60EC8AA3" w14:textId="765F3BC1" w:rsidR="002D4F7D" w:rsidRPr="00A83C32" w:rsidRDefault="00B04C01" w:rsidP="00D10C4B">
      <w:pPr>
        <w:pStyle w:val="NoSpacing"/>
        <w:spacing w:before="120" w:after="120" w:line="228" w:lineRule="auto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Cs/>
          <w:noProof/>
          <w:sz w:val="20"/>
          <w:szCs w:val="20"/>
          <w:lang w:val="ru-RU"/>
        </w:rPr>
        <w:t>Анкетом о приходима и условима живота</w:t>
      </w:r>
      <w:r w:rsidR="002D4F7D" w:rsidRPr="00A83C32">
        <w:rPr>
          <w:rFonts w:ascii="Arial" w:hAnsi="Arial" w:cs="Arial"/>
          <w:noProof/>
          <w:sz w:val="20"/>
          <w:szCs w:val="20"/>
          <w:lang w:val="ru-RU"/>
        </w:rPr>
        <w:t xml:space="preserve"> прикупља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ју се подаци</w:t>
      </w:r>
      <w:r w:rsidR="002D4F7D" w:rsidRPr="00A83C32">
        <w:rPr>
          <w:rFonts w:ascii="Arial" w:hAnsi="Arial" w:cs="Arial"/>
          <w:noProof/>
          <w:sz w:val="20"/>
          <w:szCs w:val="20"/>
          <w:lang w:val="ru-RU"/>
        </w:rPr>
        <w:t xml:space="preserve"> на основу којих се израчунавају индикатори сиромаштва, социјалне искључености и услова живота. Истраживање се спроводи једном годишње, по стандардизованој методологији, која се примењује у свим државама чланицама Европске уније. </w:t>
      </w:r>
    </w:p>
    <w:p w14:paraId="2AE4117D" w14:textId="2A1C2949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Од укупног броја домаћинстава предвиђених за анкетирање у </w:t>
      </w:r>
      <w:r w:rsidR="00766DF3" w:rsidRPr="00A83C32">
        <w:rPr>
          <w:rFonts w:ascii="Arial" w:hAnsi="Arial" w:cs="Arial"/>
          <w:noProof/>
          <w:sz w:val="20"/>
          <w:szCs w:val="20"/>
        </w:rPr>
        <w:t xml:space="preserve">2019. </w:t>
      </w:r>
      <w:r w:rsidR="00766DF3" w:rsidRPr="00A83C32">
        <w:rPr>
          <w:rFonts w:ascii="Arial" w:hAnsi="Arial" w:cs="Arial"/>
          <w:noProof/>
          <w:sz w:val="20"/>
          <w:szCs w:val="20"/>
          <w:lang w:val="sr-Cyrl-RS"/>
        </w:rPr>
        <w:t>години (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>6</w:t>
      </w:r>
      <w:r w:rsidR="00D06D64" w:rsidRPr="00A83C32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013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766DF3" w:rsidRPr="00A83C32">
        <w:rPr>
          <w:rFonts w:ascii="Arial" w:hAnsi="Arial" w:cs="Arial"/>
          <w:noProof/>
          <w:sz w:val="20"/>
          <w:szCs w:val="20"/>
          <w:lang w:val="ru-RU"/>
        </w:rPr>
        <w:t>за Републику Србију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), 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 xml:space="preserve">анкетирано је 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>5</w:t>
      </w:r>
      <w:r w:rsidR="005331C1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130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домаћинств</w:t>
      </w:r>
      <w:r w:rsidR="00E716BA" w:rsidRPr="00A83C32">
        <w:rPr>
          <w:rFonts w:ascii="Arial" w:hAnsi="Arial" w:cs="Arial"/>
          <w:noProof/>
          <w:sz w:val="20"/>
          <w:szCs w:val="20"/>
        </w:rPr>
        <w:t>a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(</w:t>
      </w:r>
      <w:r w:rsidR="003F62AE" w:rsidRPr="00A83C32">
        <w:rPr>
          <w:rFonts w:ascii="Arial" w:hAnsi="Arial" w:cs="Arial"/>
          <w:noProof/>
          <w:sz w:val="20"/>
          <w:szCs w:val="20"/>
          <w:lang w:val="ru-RU"/>
        </w:rPr>
        <w:t>8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5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>,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3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%), односно </w:t>
      </w:r>
      <w:r w:rsidR="00F1736F" w:rsidRPr="00A83C32">
        <w:rPr>
          <w:rFonts w:ascii="Arial" w:hAnsi="Arial" w:cs="Arial"/>
          <w:noProof/>
          <w:sz w:val="20"/>
          <w:szCs w:val="20"/>
          <w:lang w:val="ru-RU"/>
        </w:rPr>
        <w:t>13</w:t>
      </w:r>
      <w:r w:rsidR="005331C1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733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лица старих 1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>6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</w:t>
      </w:r>
    </w:p>
    <w:p w14:paraId="0A7FACE7" w14:textId="3372AA87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Cs/>
          <w:noProof/>
          <w:sz w:val="20"/>
          <w:szCs w:val="20"/>
          <w:lang w:val="ru-RU"/>
        </w:rPr>
        <w:t xml:space="preserve">Јединице </w:t>
      </w:r>
      <w:r w:rsidR="00766DF3" w:rsidRPr="00A83C32">
        <w:rPr>
          <w:rFonts w:ascii="Arial" w:hAnsi="Arial" w:cs="Arial"/>
          <w:bCs/>
          <w:noProof/>
          <w:sz w:val="20"/>
          <w:szCs w:val="20"/>
          <w:lang w:val="ru-RU"/>
        </w:rPr>
        <w:t>анкетирања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су изабрана домаћинства, према плану узорка, било да је реч о самачким или вишечланим домаћинствима, као и сви чланови домаћинства старости 1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>6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 </w:t>
      </w:r>
    </w:p>
    <w:p w14:paraId="535BE695" w14:textId="1BCD3EF8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 w:cs="Arial"/>
          <w:b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Под </w:t>
      </w:r>
      <w:r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домаћинством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се подразумева свака породична или друга заједница лица која заједно станују и заједн</w:t>
      </w:r>
      <w:r w:rsidR="00864271" w:rsidRPr="00A83C32">
        <w:rPr>
          <w:rFonts w:ascii="Arial" w:hAnsi="Arial" w:cs="Arial"/>
          <w:noProof/>
          <w:sz w:val="20"/>
          <w:szCs w:val="20"/>
        </w:rPr>
        <w:t>o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троше средства за подмиривање основних животних потреба (исхрана, становање и сл.), без обзира на то да ли се сви чланови стално налазе у месту где је настањено домаћинство</w:t>
      </w:r>
      <w:r w:rsidR="009E2CF3" w:rsidRPr="00A83C32">
        <w:rPr>
          <w:rFonts w:ascii="Arial" w:hAnsi="Arial" w:cs="Arial"/>
          <w:noProof/>
          <w:sz w:val="20"/>
          <w:szCs w:val="20"/>
          <w:lang w:val="ru-RU"/>
        </w:rPr>
        <w:t>,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или неки од њих привремено бораве у другом месту у земљи 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или у иностранству</w:t>
      </w:r>
      <w:r w:rsidR="00864271" w:rsidRPr="00A83C32">
        <w:rPr>
          <w:rFonts w:ascii="Arial" w:hAnsi="Arial" w:cs="Arial"/>
          <w:b/>
          <w:noProof/>
          <w:sz w:val="20"/>
          <w:szCs w:val="20"/>
          <w:lang w:val="ru-RU"/>
        </w:rPr>
        <w:t>,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 због рада, школовања или неког другог разлога. </w:t>
      </w:r>
    </w:p>
    <w:p w14:paraId="75AC8E04" w14:textId="44786C1E" w:rsidR="009C54DC" w:rsidRPr="00A83C32" w:rsidRDefault="008F361E" w:rsidP="00D10C4B">
      <w:pPr>
        <w:pStyle w:val="NoSpacing"/>
        <w:spacing w:before="240" w:after="120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Појам </w:t>
      </w:r>
      <w:r w:rsidR="005331C1" w:rsidRPr="00A83C32">
        <w:rPr>
          <w:rFonts w:ascii="Arial" w:hAnsi="Arial" w:cs="Arial"/>
          <w:b/>
          <w:noProof/>
          <w:sz w:val="20"/>
          <w:szCs w:val="20"/>
          <w:lang w:val="ru-RU"/>
        </w:rPr>
        <w:t>„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и</w:t>
      </w:r>
      <w:r w:rsidR="009C54DC" w:rsidRPr="00A83C32">
        <w:rPr>
          <w:rFonts w:ascii="Arial" w:hAnsi="Arial" w:cs="Arial"/>
          <w:b/>
          <w:noProof/>
          <w:sz w:val="20"/>
          <w:szCs w:val="20"/>
          <w:lang w:val="ru-RU"/>
        </w:rPr>
        <w:t>здржаван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а</w:t>
      </w:r>
      <w:r w:rsidR="009C54DC"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 де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ца</w:t>
      </w:r>
      <w:r w:rsidR="005331C1" w:rsidRPr="00A83C32">
        <w:rPr>
          <w:rFonts w:ascii="Arial" w:hAnsi="Arial" w:cs="Arial"/>
          <w:b/>
          <w:noProof/>
          <w:sz w:val="20"/>
          <w:szCs w:val="20"/>
          <w:lang w:val="ru-RU"/>
        </w:rPr>
        <w:t>“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 xml:space="preserve"> односи се на сва лица млађа од 18 година, као и на особе старости од 18 до 24 године које живе с барем једним родитељем и економски су неактивне.</w:t>
      </w:r>
    </w:p>
    <w:p w14:paraId="37E950C1" w14:textId="5B21CDF9" w:rsidR="006E68F7" w:rsidRPr="00A83C32" w:rsidRDefault="006E68F7" w:rsidP="00FC4469">
      <w:pPr>
        <w:pStyle w:val="NoSpacing"/>
        <w:spacing w:before="240" w:after="60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Референтни период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за податке који се односе</w:t>
      </w:r>
      <w:r w:rsidR="009928E4" w:rsidRPr="00A83C32">
        <w:rPr>
          <w:rFonts w:ascii="Arial" w:hAnsi="Arial" w:cs="Arial"/>
          <w:noProof/>
          <w:sz w:val="20"/>
          <w:szCs w:val="20"/>
          <w:lang w:val="ru-RU"/>
        </w:rPr>
        <w:t xml:space="preserve"> на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:</w:t>
      </w:r>
    </w:p>
    <w:p w14:paraId="00EA79B1" w14:textId="46183C2F" w:rsidR="006E68F7" w:rsidRPr="00A83C32" w:rsidRDefault="006E68F7" w:rsidP="00FC4469">
      <w:pPr>
        <w:pStyle w:val="NoSpacing"/>
        <w:numPr>
          <w:ilvl w:val="0"/>
          <w:numId w:val="37"/>
        </w:numPr>
        <w:ind w:left="851" w:hanging="284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приходе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је претходн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календарск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годин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– </w:t>
      </w:r>
      <w:r w:rsidR="00001820" w:rsidRPr="00A83C32">
        <w:rPr>
          <w:rFonts w:ascii="Arial" w:hAnsi="Arial" w:cs="Arial"/>
          <w:noProof/>
          <w:sz w:val="20"/>
          <w:szCs w:val="20"/>
          <w:lang w:val="ru-RU"/>
        </w:rPr>
        <w:t>201</w:t>
      </w:r>
      <w:r w:rsidR="001B2BF4" w:rsidRPr="00A83C32">
        <w:rPr>
          <w:rFonts w:ascii="Arial" w:hAnsi="Arial" w:cs="Arial"/>
          <w:noProof/>
          <w:sz w:val="20"/>
          <w:szCs w:val="20"/>
          <w:lang w:val="ru-RU"/>
        </w:rPr>
        <w:t>8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. година,</w:t>
      </w:r>
    </w:p>
    <w:p w14:paraId="3E4B1E5E" w14:textId="56EFF251" w:rsidR="006E68F7" w:rsidRPr="00A83C32" w:rsidRDefault="006E68F7" w:rsidP="00D10C4B">
      <w:pPr>
        <w:pStyle w:val="NoSpacing"/>
        <w:numPr>
          <w:ilvl w:val="0"/>
          <w:numId w:val="37"/>
        </w:numPr>
        <w:ind w:left="851" w:hanging="284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материјалну ускраћеност</w:t>
      </w:r>
      <w:r w:rsidR="000415B6" w:rsidRPr="00A83C32">
        <w:rPr>
          <w:rFonts w:ascii="Arial" w:hAnsi="Arial"/>
          <w:noProof/>
          <w:sz w:val="20"/>
          <w:szCs w:val="20"/>
          <w:lang w:val="ru-RU"/>
        </w:rPr>
        <w:t xml:space="preserve"> је тренутак анкетирања – </w:t>
      </w:r>
      <w:r w:rsidR="00001820" w:rsidRPr="00A83C32">
        <w:rPr>
          <w:rFonts w:ascii="Arial" w:hAnsi="Arial"/>
          <w:noProof/>
          <w:sz w:val="20"/>
          <w:szCs w:val="20"/>
          <w:lang w:val="ru-RU"/>
        </w:rPr>
        <w:t>201</w:t>
      </w:r>
      <w:r w:rsidR="001B2BF4" w:rsidRPr="00A83C32">
        <w:rPr>
          <w:rFonts w:ascii="Arial" w:hAnsi="Arial"/>
          <w:noProof/>
          <w:sz w:val="20"/>
          <w:szCs w:val="20"/>
          <w:lang w:val="ru-RU"/>
        </w:rPr>
        <w:t>9</w:t>
      </w:r>
      <w:r w:rsidRPr="00A83C32">
        <w:rPr>
          <w:rFonts w:ascii="Arial" w:hAnsi="Arial"/>
          <w:noProof/>
          <w:sz w:val="20"/>
          <w:szCs w:val="20"/>
          <w:lang w:val="ru-RU"/>
        </w:rPr>
        <w:t>. година.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</w:p>
    <w:p w14:paraId="33A1A788" w14:textId="77777777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Еквивалент</w:t>
      </w:r>
      <w:r w:rsidR="000E0DDA" w:rsidRPr="00A83C32">
        <w:rPr>
          <w:rFonts w:ascii="Arial" w:hAnsi="Arial"/>
          <w:b/>
          <w:noProof/>
          <w:sz w:val="20"/>
          <w:szCs w:val="20"/>
          <w:lang w:val="ru-RU"/>
        </w:rPr>
        <w:t>н</w:t>
      </w:r>
      <w:r w:rsidRPr="00A83C32">
        <w:rPr>
          <w:rFonts w:ascii="Arial" w:hAnsi="Arial"/>
          <w:b/>
          <w:noProof/>
          <w:sz w:val="20"/>
          <w:szCs w:val="20"/>
          <w:lang w:val="ru-RU"/>
        </w:rPr>
        <w:t>и приход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је укупни расположиви приход домаћинства равномерно расподељен међу члановима домаћинства према модификованој </w:t>
      </w:r>
      <w:r w:rsidR="00340589" w:rsidRPr="00A83C32">
        <w:rPr>
          <w:rFonts w:ascii="Arial" w:hAnsi="Arial" w:cs="Arial"/>
          <w:iCs/>
          <w:noProof/>
          <w:sz w:val="20"/>
          <w:szCs w:val="20"/>
          <w:lang w:val="ru-RU"/>
        </w:rPr>
        <w:t>скали еквиваленције</w:t>
      </w:r>
      <w:r w:rsidR="00340589" w:rsidRPr="00A83C32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OECD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(</w:t>
      </w:r>
      <w:r w:rsidRPr="00A83C32">
        <w:rPr>
          <w:rFonts w:ascii="Arial" w:hAnsi="Arial" w:cs="Arial"/>
          <w:iCs/>
          <w:noProof/>
          <w:sz w:val="20"/>
          <w:szCs w:val="20"/>
        </w:rPr>
        <w:t>Organisation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for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Economic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co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-</w:t>
      </w:r>
      <w:r w:rsidRPr="00A83C32">
        <w:rPr>
          <w:rFonts w:ascii="Arial" w:hAnsi="Arial" w:cs="Arial"/>
          <w:iCs/>
          <w:noProof/>
          <w:sz w:val="20"/>
          <w:szCs w:val="20"/>
        </w:rPr>
        <w:t>operation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and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Development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)</w:t>
      </w:r>
      <w:r w:rsidRPr="00A83C32">
        <w:rPr>
          <w:rFonts w:ascii="Arial" w:hAnsi="Arial"/>
          <w:noProof/>
          <w:sz w:val="20"/>
          <w:szCs w:val="20"/>
          <w:lang w:val="ru-RU"/>
        </w:rPr>
        <w:t>. Према овој скали, први одрасли члан домаћинства добија вредност 1, остали одрасли чланови стари 14 и више година вредност 0,5 и деца испод 14 година вредност 0,3. Приход домаћинства не укључује приход у натури.</w:t>
      </w:r>
    </w:p>
    <w:p w14:paraId="5BA4CD4B" w14:textId="77777777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Праг ризика од сиромаштва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(релативна линија сиромаштва) представља 60% медијане националног еквивалентног прихода и изражава се у динарима.</w:t>
      </w:r>
    </w:p>
    <w:p w14:paraId="5C649B9F" w14:textId="1F8D6E70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Стопа ризика од сиромаштва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представља </w:t>
      </w:r>
      <w:r w:rsidR="00087040" w:rsidRPr="00A83C32">
        <w:rPr>
          <w:rFonts w:ascii="Arial" w:hAnsi="Arial"/>
          <w:noProof/>
          <w:sz w:val="20"/>
          <w:szCs w:val="20"/>
          <w:lang w:val="ru-RU"/>
        </w:rPr>
        <w:t>проценат</w:t>
      </w:r>
      <w:r w:rsidR="00690EF7" w:rsidRPr="00A83C32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лица чији је еквивалентни </w:t>
      </w:r>
      <w:r w:rsidR="007C6D60" w:rsidRPr="00A83C32">
        <w:rPr>
          <w:rFonts w:ascii="Arial" w:hAnsi="Arial"/>
          <w:noProof/>
          <w:sz w:val="20"/>
          <w:szCs w:val="20"/>
          <w:lang w:val="ru-RU"/>
        </w:rPr>
        <w:t xml:space="preserve">расположиви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приход мањи од релативне линије сиромаштва. </w:t>
      </w:r>
      <w:r w:rsidR="00F47AFA">
        <w:rPr>
          <w:rFonts w:ascii="Arial" w:hAnsi="Arial"/>
          <w:noProof/>
          <w:sz w:val="20"/>
          <w:szCs w:val="20"/>
          <w:lang w:val="sr-Cyrl-RS"/>
        </w:rPr>
        <w:t xml:space="preserve">Ова стопа </w:t>
      </w:r>
      <w:r w:rsidR="00F47AFA" w:rsidRPr="00F47AFA">
        <w:rPr>
          <w:rFonts w:ascii="Arial" w:hAnsi="Arial"/>
          <w:noProof/>
          <w:sz w:val="20"/>
          <w:szCs w:val="20"/>
          <w:lang w:val="ru-RU"/>
        </w:rPr>
        <w:t>не показује колико лица је стварно сиромашно, већ проценат лица који имају еквивалентни расположиви приход нижи од прага ризика од сиромаштва</w:t>
      </w:r>
      <w:r w:rsidR="00AC7E07">
        <w:rPr>
          <w:rFonts w:ascii="Arial" w:hAnsi="Arial"/>
          <w:noProof/>
          <w:sz w:val="20"/>
          <w:szCs w:val="20"/>
          <w:lang w:val="ru-RU"/>
        </w:rPr>
        <w:t>.</w:t>
      </w:r>
    </w:p>
    <w:p w14:paraId="44241D60" w14:textId="13FF3651" w:rsidR="009C54DC" w:rsidRPr="00A83C32" w:rsidRDefault="009C54DC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iCs/>
        </w:rPr>
        <w:t>Стопа ризика од сиромаштва или социјалне искључености</w:t>
      </w:r>
      <w:r w:rsidRPr="00A83C32">
        <w:rPr>
          <w:b/>
        </w:rPr>
        <w:t xml:space="preserve"> </w:t>
      </w:r>
      <w:r w:rsidRPr="00A83C32">
        <w:t xml:space="preserve">показује </w:t>
      </w:r>
      <w:r w:rsidR="001B5C11" w:rsidRPr="00A83C32">
        <w:t>проценат</w:t>
      </w:r>
      <w:r w:rsidRPr="00A83C32">
        <w:t xml:space="preserve"> </w:t>
      </w:r>
      <w:r w:rsidR="007C6D60" w:rsidRPr="00A83C32">
        <w:t>лица</w:t>
      </w:r>
      <w:r w:rsidRPr="00A83C32">
        <w:t xml:space="preserve"> који су у ризику од сиромаштва</w:t>
      </w:r>
      <w:r w:rsidR="009E2CF3" w:rsidRPr="00A83C32">
        <w:t>,</w:t>
      </w:r>
      <w:r w:rsidRPr="00A83C32">
        <w:t xml:space="preserve"> или су изразито материјално </w:t>
      </w:r>
      <w:r w:rsidR="007C6D60" w:rsidRPr="00A83C32">
        <w:t>ускраћена</w:t>
      </w:r>
      <w:r w:rsidR="009E2CF3" w:rsidRPr="00A83C32">
        <w:t>,</w:t>
      </w:r>
      <w:r w:rsidRPr="00A83C32">
        <w:t xml:space="preserve"> или живе у домаћинствима веома ниског интензитета рада. </w:t>
      </w:r>
    </w:p>
    <w:p w14:paraId="1AB319C0" w14:textId="45B00E4E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 xml:space="preserve">Релативни јаз ризика од сиромаштва </w:t>
      </w:r>
      <w:r w:rsidRPr="00A83C32">
        <w:rPr>
          <w:noProof/>
          <w:szCs w:val="20"/>
          <w:lang w:val="ru-RU"/>
        </w:rPr>
        <w:t>представља</w:t>
      </w:r>
      <w:r w:rsidRPr="00A83C32">
        <w:rPr>
          <w:b/>
          <w:noProof/>
          <w:szCs w:val="20"/>
          <w:lang w:val="ru-RU"/>
        </w:rPr>
        <w:t xml:space="preserve"> </w:t>
      </w:r>
      <w:r w:rsidRPr="00A83C32">
        <w:rPr>
          <w:noProof/>
          <w:szCs w:val="20"/>
          <w:lang w:val="ru-RU"/>
        </w:rPr>
        <w:t>разлику између прага ризика од сиромаштва и медијане еквивалентног прихода лица која су испод прага ризика од сиромаштва.</w:t>
      </w:r>
    </w:p>
    <w:p w14:paraId="63EF9F4F" w14:textId="34727A0C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Квинтилни однос</w:t>
      </w:r>
      <w:r w:rsidRPr="00A83C32">
        <w:rPr>
          <w:noProof/>
          <w:szCs w:val="20"/>
          <w:lang w:val="ru-RU"/>
        </w:rPr>
        <w:t xml:space="preserve"> (</w:t>
      </w:r>
      <w:r w:rsidRPr="00A83C32">
        <w:rPr>
          <w:b/>
          <w:noProof/>
          <w:szCs w:val="20"/>
          <w:lang w:val="ru-RU"/>
        </w:rPr>
        <w:t>С80/С20</w:t>
      </w:r>
      <w:r w:rsidR="00174E6E" w:rsidRPr="00A83C32">
        <w:rPr>
          <w:noProof/>
          <w:szCs w:val="20"/>
          <w:lang w:val="ru-RU"/>
        </w:rPr>
        <w:t xml:space="preserve">) пореди укупан еквивалентни </w:t>
      </w:r>
      <w:r w:rsidRPr="00A83C32">
        <w:rPr>
          <w:noProof/>
          <w:szCs w:val="20"/>
          <w:lang w:val="ru-RU"/>
        </w:rPr>
        <w:t xml:space="preserve">приход горњег приходног квинтила (20% становништва с највишим еквивалентним приходом) са </w:t>
      </w:r>
      <w:r w:rsidRPr="00A83C32">
        <w:rPr>
          <w:rFonts w:cs="Arial"/>
          <w:noProof/>
          <w:szCs w:val="20"/>
          <w:lang w:val="ru-RU"/>
        </w:rPr>
        <w:t>укупним еквивалентним приходом</w:t>
      </w:r>
      <w:r w:rsidRPr="00A83C32">
        <w:rPr>
          <w:noProof/>
          <w:szCs w:val="20"/>
          <w:lang w:val="ru-RU"/>
        </w:rPr>
        <w:t xml:space="preserve"> доњег приходног квинтила (20% становништва с најнижим еквивалентним приходом).</w:t>
      </w:r>
    </w:p>
    <w:p w14:paraId="058133B6" w14:textId="114BC298" w:rsidR="00DF433A" w:rsidRPr="00A83C32" w:rsidRDefault="00DF433A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Гини коефицијент</w:t>
      </w:r>
      <w:r w:rsidRPr="00A83C32">
        <w:rPr>
          <w:noProof/>
          <w:szCs w:val="20"/>
          <w:lang w:val="ru-RU"/>
        </w:rPr>
        <w:t xml:space="preserve"> представља меру неједнакости расподеле прихода. Вредност овог коефицијента креће се у интервалу од 0 до 100. Када би његова вредност била 0, то би значило да је постигнута идеална расподела прихода и да сви становници имају исти приход. </w:t>
      </w:r>
      <w:r w:rsidR="00821501" w:rsidRPr="00A83C32">
        <w:rPr>
          <w:noProof/>
          <w:szCs w:val="20"/>
          <w:lang w:val="ru-RU"/>
        </w:rPr>
        <w:t>Како се вредност</w:t>
      </w:r>
      <w:r w:rsidRPr="00A83C32">
        <w:rPr>
          <w:noProof/>
          <w:szCs w:val="20"/>
          <w:lang w:val="ru-RU"/>
        </w:rPr>
        <w:t xml:space="preserve"> </w:t>
      </w:r>
      <w:r w:rsidR="00821501" w:rsidRPr="00A83C32">
        <w:rPr>
          <w:noProof/>
          <w:szCs w:val="20"/>
          <w:lang w:val="ru-RU"/>
        </w:rPr>
        <w:t>Гини</w:t>
      </w:r>
      <w:r w:rsidRPr="00A83C32">
        <w:rPr>
          <w:noProof/>
          <w:szCs w:val="20"/>
          <w:lang w:val="ru-RU"/>
        </w:rPr>
        <w:t xml:space="preserve"> </w:t>
      </w:r>
      <w:r w:rsidR="00821501" w:rsidRPr="00A83C32">
        <w:rPr>
          <w:noProof/>
          <w:szCs w:val="20"/>
          <w:lang w:val="ru-RU"/>
        </w:rPr>
        <w:t>коефицијента повећава, тако се повећава и приходна неједнакост.</w:t>
      </w:r>
    </w:p>
    <w:p w14:paraId="514DB0EA" w14:textId="39A64078" w:rsidR="006D5CF0" w:rsidRPr="00A83C32" w:rsidRDefault="006D5CF0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noProof/>
          <w:szCs w:val="20"/>
        </w:rPr>
        <w:t xml:space="preserve">Стопа </w:t>
      </w:r>
      <w:r w:rsidR="00D44C25" w:rsidRPr="00A83C32">
        <w:rPr>
          <w:b/>
          <w:noProof/>
          <w:szCs w:val="20"/>
        </w:rPr>
        <w:t>трајног</w:t>
      </w:r>
      <w:r w:rsidR="003A26F1" w:rsidRPr="00A83C32">
        <w:rPr>
          <w:b/>
          <w:noProof/>
          <w:szCs w:val="20"/>
        </w:rPr>
        <w:t xml:space="preserve"> ризика од</w:t>
      </w:r>
      <w:r w:rsidRPr="00A83C32">
        <w:rPr>
          <w:b/>
          <w:noProof/>
          <w:szCs w:val="20"/>
        </w:rPr>
        <w:t xml:space="preserve"> сиромаштва</w:t>
      </w:r>
      <w:r w:rsidRPr="00A83C32">
        <w:rPr>
          <w:noProof/>
          <w:szCs w:val="20"/>
        </w:rPr>
        <w:t xml:space="preserve"> представља</w:t>
      </w:r>
      <w:r w:rsidR="0081440F" w:rsidRPr="00A83C32">
        <w:rPr>
          <w:noProof/>
          <w:szCs w:val="20"/>
        </w:rPr>
        <w:t xml:space="preserve"> проценат лица која су у ризику од сиромаштва у текућој</w:t>
      </w:r>
      <w:r w:rsidR="00D44C25" w:rsidRPr="00A83C32">
        <w:rPr>
          <w:noProof/>
          <w:szCs w:val="20"/>
        </w:rPr>
        <w:t xml:space="preserve"> години и која су у</w:t>
      </w:r>
      <w:r w:rsidR="0081440F" w:rsidRPr="00A83C32">
        <w:rPr>
          <w:noProof/>
          <w:szCs w:val="20"/>
        </w:rPr>
        <w:t xml:space="preserve"> </w:t>
      </w:r>
      <w:r w:rsidR="00D44C25" w:rsidRPr="00A83C32">
        <w:rPr>
          <w:noProof/>
          <w:szCs w:val="20"/>
        </w:rPr>
        <w:t xml:space="preserve">најмање </w:t>
      </w:r>
      <w:r w:rsidR="0081440F" w:rsidRPr="00A83C32">
        <w:rPr>
          <w:noProof/>
          <w:szCs w:val="20"/>
        </w:rPr>
        <w:t xml:space="preserve">две </w:t>
      </w:r>
      <w:r w:rsidR="00D44C25" w:rsidRPr="00A83C32">
        <w:rPr>
          <w:noProof/>
          <w:szCs w:val="20"/>
        </w:rPr>
        <w:t xml:space="preserve">од три </w:t>
      </w:r>
      <w:r w:rsidR="0081440F" w:rsidRPr="00A83C32">
        <w:rPr>
          <w:noProof/>
          <w:szCs w:val="20"/>
        </w:rPr>
        <w:t>претходне године била у ризику од сиромаштва.</w:t>
      </w:r>
    </w:p>
    <w:p w14:paraId="1EE8597D" w14:textId="588B4203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Најчешћи статус на тржишту рада</w:t>
      </w:r>
      <w:r w:rsidRPr="00A83C32">
        <w:rPr>
          <w:noProof/>
          <w:szCs w:val="20"/>
          <w:lang w:val="ru-RU"/>
        </w:rPr>
        <w:t xml:space="preserve"> односи се на најчешћи статус активности лица,</w:t>
      </w:r>
      <w:r w:rsidR="008F361E" w:rsidRPr="00A83C32">
        <w:rPr>
          <w:noProof/>
          <w:szCs w:val="20"/>
          <w:lang w:val="ru-RU"/>
        </w:rPr>
        <w:t xml:space="preserve"> односно</w:t>
      </w:r>
      <w:r w:rsidRPr="00A83C32">
        <w:rPr>
          <w:noProof/>
          <w:szCs w:val="20"/>
          <w:lang w:val="ru-RU"/>
        </w:rPr>
        <w:t xml:space="preserve"> на статус активности лица у ко</w:t>
      </w:r>
      <w:r w:rsidR="00015706" w:rsidRPr="00A83C32">
        <w:rPr>
          <w:noProof/>
          <w:szCs w:val="20"/>
          <w:lang w:val="ru-RU"/>
        </w:rPr>
        <w:t>јем</w:t>
      </w:r>
      <w:r w:rsidRPr="00A83C32">
        <w:rPr>
          <w:noProof/>
          <w:szCs w:val="20"/>
          <w:lang w:val="ru-RU"/>
        </w:rPr>
        <w:t xml:space="preserve"> је оно провело најмање </w:t>
      </w:r>
      <w:r w:rsidRPr="00A83C32">
        <w:rPr>
          <w:rFonts w:cs="Arial"/>
          <w:noProof/>
          <w:szCs w:val="20"/>
          <w:lang w:val="ru-RU"/>
        </w:rPr>
        <w:t>седам</w:t>
      </w:r>
      <w:r w:rsidRPr="00A83C32">
        <w:rPr>
          <w:noProof/>
          <w:szCs w:val="20"/>
          <w:lang w:val="ru-RU"/>
        </w:rPr>
        <w:t xml:space="preserve"> месеци током референтног периода и рачуна се за особе стар</w:t>
      </w:r>
      <w:r w:rsidR="00015706" w:rsidRPr="00A83C32">
        <w:rPr>
          <w:noProof/>
          <w:szCs w:val="20"/>
          <w:lang w:val="ru-RU"/>
        </w:rPr>
        <w:t xml:space="preserve">е </w:t>
      </w:r>
      <w:r w:rsidRPr="00A83C32">
        <w:rPr>
          <w:noProof/>
          <w:szCs w:val="20"/>
          <w:lang w:val="ru-RU"/>
        </w:rPr>
        <w:t>18 и више година.</w:t>
      </w:r>
    </w:p>
    <w:p w14:paraId="5928256A" w14:textId="77777777" w:rsidR="00A83C32" w:rsidRDefault="00A83C32" w:rsidP="00174E6E">
      <w:pPr>
        <w:spacing w:before="240" w:after="120"/>
        <w:ind w:firstLine="357"/>
        <w:jc w:val="both"/>
        <w:rPr>
          <w:b/>
          <w:noProof/>
          <w:szCs w:val="20"/>
          <w:lang w:val="ru-RU"/>
        </w:rPr>
      </w:pPr>
    </w:p>
    <w:p w14:paraId="473529BF" w14:textId="7D93107F" w:rsidR="00B668B3" w:rsidRPr="00A83C32" w:rsidRDefault="00B668B3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noProof/>
          <w:szCs w:val="20"/>
          <w:lang w:val="ru-RU"/>
        </w:rPr>
        <w:lastRenderedPageBreak/>
        <w:t xml:space="preserve">Интензитет рада </w:t>
      </w:r>
      <w:r w:rsidRPr="00A83C32">
        <w:rPr>
          <w:noProof/>
          <w:szCs w:val="20"/>
          <w:lang w:val="ru-RU"/>
        </w:rPr>
        <w:t>представља број месеци у којима су сви радно способни чланови домаћинства радили у референтном периоду у односу на хипотетички број месеци у којима су чланови домаћинства могли радити. Интензитет рада може бити веома низак (0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0,20), низак (0,20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0,45), средњи (0,45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 xml:space="preserve">0,55), висок </w:t>
      </w:r>
      <w:r w:rsidR="00E07B86">
        <w:rPr>
          <w:noProof/>
          <w:szCs w:val="20"/>
          <w:lang w:val="en-US"/>
        </w:rPr>
        <w:t xml:space="preserve">            </w:t>
      </w:r>
      <w:bookmarkStart w:id="0" w:name="_GoBack"/>
      <w:bookmarkEnd w:id="0"/>
      <w:r w:rsidRPr="00A83C32">
        <w:rPr>
          <w:noProof/>
          <w:szCs w:val="20"/>
          <w:lang w:val="ru-RU"/>
        </w:rPr>
        <w:t>(0,55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0,85) и веома висок (0,85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 xml:space="preserve">1). На пример, </w:t>
      </w:r>
      <w:r w:rsidRPr="00A83C32">
        <w:rPr>
          <w:b/>
          <w:noProof/>
          <w:szCs w:val="20"/>
          <w:lang w:val="ru-RU"/>
        </w:rPr>
        <w:t>низак интензитет рада</w:t>
      </w:r>
      <w:r w:rsidRPr="00A83C32">
        <w:rPr>
          <w:noProof/>
          <w:szCs w:val="20"/>
          <w:lang w:val="ru-RU"/>
        </w:rPr>
        <w:t xml:space="preserve"> односи</w:t>
      </w:r>
      <w:r w:rsidR="00821501" w:rsidRPr="00A83C32">
        <w:rPr>
          <w:noProof/>
          <w:szCs w:val="20"/>
          <w:lang w:val="ru-RU"/>
        </w:rPr>
        <w:t xml:space="preserve"> се</w:t>
      </w:r>
      <w:r w:rsidRPr="00A83C32">
        <w:rPr>
          <w:noProof/>
          <w:szCs w:val="20"/>
          <w:lang w:val="ru-RU"/>
        </w:rPr>
        <w:t xml:space="preserve"> на домаћинства у којима су радно способни чланови радили између 20% и 45% од укупног броја месеци у којима су могли радити током </w:t>
      </w:r>
      <w:r w:rsidRPr="00A83C32">
        <w:rPr>
          <w:noProof/>
          <w:szCs w:val="20"/>
        </w:rPr>
        <w:t>референтног периода.</w:t>
      </w:r>
    </w:p>
    <w:p w14:paraId="52BDC10A" w14:textId="58D559C8" w:rsidR="006E68F7" w:rsidRPr="00A83C32" w:rsidRDefault="006E68F7" w:rsidP="00D10C4B">
      <w:pPr>
        <w:spacing w:before="240" w:after="24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Дисперзија око прага ризика од сиромаштва</w:t>
      </w:r>
      <w:r w:rsidRPr="00A83C32">
        <w:rPr>
          <w:noProof/>
          <w:szCs w:val="20"/>
          <w:lang w:val="ru-RU"/>
        </w:rPr>
        <w:t xml:space="preserve"> показује осетљивост стопе ризика од сиромаштва на избор прага сиромаштва </w:t>
      </w:r>
      <w:r w:rsidRPr="00A83C32">
        <w:rPr>
          <w:rFonts w:cs="Arial"/>
          <w:noProof/>
          <w:szCs w:val="20"/>
          <w:lang w:val="ru-RU"/>
        </w:rPr>
        <w:t>–</w:t>
      </w:r>
      <w:r w:rsidRPr="00A83C32">
        <w:rPr>
          <w:noProof/>
          <w:szCs w:val="20"/>
          <w:lang w:val="ru-RU"/>
        </w:rPr>
        <w:t xml:space="preserve"> 40%, 50%, 70% медијане националног еквивалентног прихода. </w:t>
      </w:r>
    </w:p>
    <w:p w14:paraId="26AD24B7" w14:textId="5EC9C2C4" w:rsidR="00B668B3" w:rsidRPr="00A83C32" w:rsidRDefault="006E68F7" w:rsidP="00D10C4B">
      <w:pPr>
        <w:spacing w:before="12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Материјална ускраћеност домаћинства</w:t>
      </w:r>
      <w:r w:rsidRPr="00A83C32">
        <w:rPr>
          <w:noProof/>
          <w:szCs w:val="20"/>
          <w:lang w:val="ru-RU"/>
        </w:rPr>
        <w:t xml:space="preserve"> је показатељ материјалних услова који утичу на квалитет живота домаћинства.</w:t>
      </w:r>
    </w:p>
    <w:p w14:paraId="41119800" w14:textId="148753F9" w:rsidR="006E68F7" w:rsidRPr="00A83C32" w:rsidRDefault="006E68F7" w:rsidP="00247F24">
      <w:pPr>
        <w:spacing w:before="240" w:after="120"/>
        <w:ind w:firstLine="567"/>
        <w:jc w:val="both"/>
        <w:rPr>
          <w:b/>
          <w:noProof/>
          <w:szCs w:val="20"/>
        </w:rPr>
      </w:pPr>
      <w:r w:rsidRPr="00A83C32">
        <w:rPr>
          <w:b/>
          <w:noProof/>
          <w:szCs w:val="20"/>
        </w:rPr>
        <w:t xml:space="preserve">Ставке материјалне ускраћености </w:t>
      </w:r>
      <w:r w:rsidRPr="00A83C32">
        <w:rPr>
          <w:noProof/>
          <w:szCs w:val="20"/>
        </w:rPr>
        <w:t>су:</w:t>
      </w:r>
      <w:r w:rsidRPr="00A83C32">
        <w:rPr>
          <w:b/>
          <w:noProof/>
          <w:szCs w:val="20"/>
        </w:rPr>
        <w:t xml:space="preserve"> </w:t>
      </w:r>
    </w:p>
    <w:p w14:paraId="5B0113B6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адекватно грејање,</w:t>
      </w:r>
    </w:p>
    <w:p w14:paraId="535E138B" w14:textId="7AEFF6AB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машину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 xml:space="preserve"> за прање веша</w:t>
      </w:r>
      <w:r w:rsidRPr="00A83C32">
        <w:rPr>
          <w:rFonts w:ascii="Arial" w:hAnsi="Arial"/>
          <w:noProof/>
          <w:sz w:val="20"/>
          <w:szCs w:val="20"/>
          <w:lang w:val="ru-RU"/>
        </w:rPr>
        <w:t>,</w:t>
      </w:r>
    </w:p>
    <w:p w14:paraId="5B20A0F3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аутомобил,</w:t>
      </w:r>
    </w:p>
    <w:p w14:paraId="0DCB61DF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свим члановима приушти недељу дана одмора ван куће бар једном годишње,</w:t>
      </w:r>
    </w:p>
    <w:p w14:paraId="4E766873" w14:textId="48009D82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не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>очекивани трошак у износу од 1</w:t>
      </w:r>
      <w:r w:rsidR="003D2DC5" w:rsidRPr="00A83C32">
        <w:rPr>
          <w:rFonts w:ascii="Arial" w:hAnsi="Arial"/>
          <w:noProof/>
          <w:sz w:val="20"/>
          <w:szCs w:val="20"/>
          <w:lang w:val="ru-RU"/>
        </w:rPr>
        <w:t>3</w:t>
      </w:r>
      <w:r w:rsidR="005331C1" w:rsidRPr="00A83C32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3D2DC5" w:rsidRPr="00A83C32">
        <w:rPr>
          <w:rFonts w:ascii="Arial" w:hAnsi="Arial"/>
          <w:noProof/>
          <w:sz w:val="20"/>
          <w:szCs w:val="20"/>
          <w:lang w:val="ru-RU"/>
        </w:rPr>
        <w:t>9</w:t>
      </w:r>
      <w:r w:rsidRPr="00A83C32">
        <w:rPr>
          <w:rFonts w:ascii="Arial" w:hAnsi="Arial"/>
          <w:noProof/>
          <w:sz w:val="20"/>
          <w:szCs w:val="20"/>
          <w:lang w:val="ru-RU"/>
        </w:rPr>
        <w:t>00 динара</w:t>
      </w:r>
      <w:r w:rsidR="005331C1" w:rsidRPr="00A83C32">
        <w:rPr>
          <w:rFonts w:ascii="Arial" w:hAnsi="Arial"/>
          <w:noProof/>
          <w:sz w:val="20"/>
          <w:szCs w:val="20"/>
          <w:lang w:val="ru-RU"/>
        </w:rPr>
        <w:t>,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који би био плаћен из буџета домаћинства,</w:t>
      </w:r>
    </w:p>
    <w:p w14:paraId="2F91E5B6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телефон,</w:t>
      </w:r>
    </w:p>
    <w:p w14:paraId="0B263A1B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телевизор у боји,</w:t>
      </w:r>
    </w:p>
    <w:p w14:paraId="548FE01F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месо или рибу у оброку (или њихову вегетеријанску замену) сваког другог дана,</w:t>
      </w:r>
    </w:p>
    <w:p w14:paraId="2E95D596" w14:textId="415F0164" w:rsidR="006E68F7" w:rsidRPr="00A83C32" w:rsidRDefault="006E68F7" w:rsidP="00A5266C">
      <w:pPr>
        <w:pStyle w:val="ListParagraph"/>
        <w:numPr>
          <w:ilvl w:val="0"/>
          <w:numId w:val="38"/>
        </w:numPr>
        <w:spacing w:after="12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кашњење са плаћањем ренте, рате за стан или друг</w:t>
      </w:r>
      <w:r w:rsidR="00776508" w:rsidRPr="00A83C32">
        <w:rPr>
          <w:rFonts w:ascii="Arial" w:hAnsi="Arial"/>
          <w:noProof/>
          <w:sz w:val="20"/>
          <w:szCs w:val="20"/>
          <w:lang w:val="ru-RU"/>
        </w:rPr>
        <w:t>ог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кредит</w:t>
      </w:r>
      <w:r w:rsidR="00776508" w:rsidRPr="00A83C32">
        <w:rPr>
          <w:rFonts w:ascii="Arial" w:hAnsi="Arial"/>
          <w:noProof/>
          <w:sz w:val="20"/>
          <w:szCs w:val="20"/>
          <w:lang w:val="ru-RU"/>
        </w:rPr>
        <w:t>а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или комуналних услуга за стан у ко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>јем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домаћинство 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>живи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. </w:t>
      </w:r>
    </w:p>
    <w:p w14:paraId="50AE622C" w14:textId="48D2F40E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Стопа материјалне ускраћености</w:t>
      </w:r>
      <w:r w:rsidRPr="00A83C32">
        <w:rPr>
          <w:noProof/>
          <w:szCs w:val="20"/>
          <w:lang w:val="ru-RU"/>
        </w:rPr>
        <w:t xml:space="preserve"> је показатељ финансијске немогућности домаћинства да приушти најмање </w:t>
      </w:r>
      <w:r w:rsidRPr="00A83C32">
        <w:rPr>
          <w:rFonts w:cs="Arial"/>
          <w:noProof/>
          <w:szCs w:val="20"/>
          <w:lang w:val="ru-RU"/>
        </w:rPr>
        <w:t>три ставке (од претходно наведених</w:t>
      </w:r>
      <w:r w:rsidR="00024500" w:rsidRPr="00A83C32">
        <w:rPr>
          <w:rFonts w:cs="Arial"/>
          <w:noProof/>
          <w:szCs w:val="20"/>
          <w:lang w:val="ru-RU"/>
        </w:rPr>
        <w:t xml:space="preserve"> девет</w:t>
      </w:r>
      <w:r w:rsidRPr="00A83C32">
        <w:rPr>
          <w:rFonts w:cs="Arial"/>
          <w:noProof/>
          <w:szCs w:val="20"/>
          <w:lang w:val="ru-RU"/>
        </w:rPr>
        <w:t>)</w:t>
      </w:r>
      <w:r w:rsidRPr="00A83C32">
        <w:rPr>
          <w:noProof/>
          <w:szCs w:val="20"/>
          <w:lang w:val="ru-RU"/>
        </w:rPr>
        <w:t xml:space="preserve"> материјалне ускраћености.</w:t>
      </w:r>
    </w:p>
    <w:p w14:paraId="4CF91D5B" w14:textId="499FE49D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 xml:space="preserve">Стопа </w:t>
      </w:r>
      <w:r w:rsidR="003B6D15" w:rsidRPr="00A83C32">
        <w:rPr>
          <w:b/>
          <w:noProof/>
          <w:szCs w:val="20"/>
          <w:lang w:val="ru-RU"/>
        </w:rPr>
        <w:t xml:space="preserve">изразите </w:t>
      </w:r>
      <w:r w:rsidRPr="00A83C32">
        <w:rPr>
          <w:b/>
          <w:noProof/>
          <w:szCs w:val="20"/>
          <w:lang w:val="ru-RU"/>
        </w:rPr>
        <w:t xml:space="preserve">материјалне ускраћености </w:t>
      </w:r>
      <w:r w:rsidRPr="00A83C32">
        <w:rPr>
          <w:noProof/>
          <w:szCs w:val="20"/>
          <w:lang w:val="ru-RU"/>
        </w:rPr>
        <w:t xml:space="preserve">је показатељ финансијске немогућности домаћинства да приушти најмање </w:t>
      </w:r>
      <w:r w:rsidRPr="00A83C32">
        <w:rPr>
          <w:rFonts w:cs="Arial"/>
          <w:noProof/>
          <w:szCs w:val="20"/>
          <w:lang w:val="ru-RU"/>
        </w:rPr>
        <w:t>четири ставке</w:t>
      </w:r>
      <w:r w:rsidR="00024500" w:rsidRPr="00A83C32">
        <w:rPr>
          <w:rFonts w:cs="Arial"/>
          <w:noProof/>
          <w:szCs w:val="20"/>
          <w:lang w:val="ru-RU"/>
        </w:rPr>
        <w:t xml:space="preserve"> (од претходно наведених девет)</w:t>
      </w:r>
      <w:r w:rsidRPr="00A83C32">
        <w:rPr>
          <w:rFonts w:cs="Arial"/>
          <w:noProof/>
          <w:szCs w:val="20"/>
          <w:lang w:val="ru-RU"/>
        </w:rPr>
        <w:t xml:space="preserve"> м</w:t>
      </w:r>
      <w:r w:rsidRPr="00A83C32">
        <w:rPr>
          <w:noProof/>
          <w:szCs w:val="20"/>
          <w:lang w:val="ru-RU"/>
        </w:rPr>
        <w:t>атеријалне ускраћености.</w:t>
      </w:r>
    </w:p>
    <w:p w14:paraId="0BE81111" w14:textId="7CDCC95C" w:rsidR="006E68F7" w:rsidRPr="00A83C32" w:rsidRDefault="00776508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color w:val="000000"/>
          <w:szCs w:val="20"/>
        </w:rPr>
        <w:t>Стопа субјективног сиромаштва (</w:t>
      </w:r>
      <w:r w:rsidR="0072034F" w:rsidRPr="00A83C32">
        <w:rPr>
          <w:b/>
          <w:noProof/>
          <w:color w:val="000000"/>
          <w:szCs w:val="20"/>
          <w:lang w:val="ru-RU"/>
        </w:rPr>
        <w:t>м</w:t>
      </w:r>
      <w:r w:rsidR="006E68F7" w:rsidRPr="00A83C32">
        <w:rPr>
          <w:b/>
          <w:noProof/>
          <w:color w:val="000000"/>
          <w:szCs w:val="20"/>
          <w:lang w:val="ru-RU"/>
        </w:rPr>
        <w:t xml:space="preserve">огућност домаћинства </w:t>
      </w:r>
      <w:r w:rsidR="006E68F7" w:rsidRPr="00A83C32">
        <w:rPr>
          <w:b/>
          <w:noProof/>
          <w:szCs w:val="20"/>
          <w:lang w:val="ru-RU"/>
        </w:rPr>
        <w:t xml:space="preserve">да </w:t>
      </w:r>
      <w:r w:rsidR="006E68F7" w:rsidRPr="00A83C32">
        <w:rPr>
          <w:rFonts w:cs="Arial"/>
          <w:b/>
          <w:bCs/>
          <w:noProof/>
          <w:szCs w:val="20"/>
          <w:lang w:val="ru-RU"/>
        </w:rPr>
        <w:t>„састави</w:t>
      </w:r>
      <w:r w:rsidR="006E68F7" w:rsidRPr="00A83C32">
        <w:rPr>
          <w:b/>
          <w:noProof/>
          <w:szCs w:val="20"/>
          <w:lang w:val="ru-RU"/>
        </w:rPr>
        <w:t xml:space="preserve"> крај с </w:t>
      </w:r>
      <w:r w:rsidR="006E68F7" w:rsidRPr="00A83C32">
        <w:rPr>
          <w:rFonts w:cs="Arial"/>
          <w:b/>
          <w:bCs/>
          <w:noProof/>
          <w:szCs w:val="20"/>
          <w:lang w:val="ru-RU"/>
        </w:rPr>
        <w:t>крајем“</w:t>
      </w:r>
      <w:r w:rsidRPr="00A83C32">
        <w:rPr>
          <w:rFonts w:cs="Arial"/>
          <w:b/>
          <w:bCs/>
          <w:noProof/>
          <w:szCs w:val="20"/>
          <w:lang w:val="ru-RU"/>
        </w:rPr>
        <w:t>)</w:t>
      </w:r>
      <w:r w:rsidR="006E68F7" w:rsidRPr="00A83C32">
        <w:rPr>
          <w:b/>
          <w:noProof/>
          <w:szCs w:val="20"/>
          <w:lang w:val="ru-RU"/>
        </w:rPr>
        <w:t xml:space="preserve"> </w:t>
      </w:r>
      <w:r w:rsidR="006E68F7" w:rsidRPr="00A83C32">
        <w:rPr>
          <w:noProof/>
          <w:szCs w:val="20"/>
          <w:lang w:val="ru-RU"/>
        </w:rPr>
        <w:t>представља субјективни осећај испитаника о тешкоћама са којима се суочава његово домаћинство у настојању да плаћа своје неопходне трошкове</w:t>
      </w:r>
      <w:r w:rsidR="00024500" w:rsidRPr="00A83C32">
        <w:rPr>
          <w:noProof/>
          <w:szCs w:val="20"/>
          <w:lang w:val="ru-RU"/>
        </w:rPr>
        <w:t>,</w:t>
      </w:r>
      <w:r w:rsidR="006E68F7" w:rsidRPr="00A83C32">
        <w:rPr>
          <w:noProof/>
          <w:szCs w:val="20"/>
          <w:lang w:val="ru-RU"/>
        </w:rPr>
        <w:t xml:space="preserve"> узимајући у обзир укупна примања тог домаћинства.</w:t>
      </w:r>
    </w:p>
    <w:p w14:paraId="43B793A2" w14:textId="7DB2F8EF" w:rsidR="00E262CA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Финансијско оптерећење буџета домаћинства трошковима становања</w:t>
      </w:r>
      <w:r w:rsidRPr="00A83C32">
        <w:rPr>
          <w:noProof/>
          <w:szCs w:val="20"/>
          <w:lang w:val="ru-RU"/>
        </w:rPr>
        <w:t xml:space="preserve"> </w:t>
      </w:r>
      <w:r w:rsidR="00E262CA" w:rsidRPr="00A83C32">
        <w:rPr>
          <w:noProof/>
          <w:szCs w:val="20"/>
          <w:lang w:val="ru-RU"/>
        </w:rPr>
        <w:t xml:space="preserve">односи се на субјективну </w:t>
      </w:r>
      <w:r w:rsidR="00E25E61" w:rsidRPr="00A83C32">
        <w:rPr>
          <w:noProof/>
          <w:szCs w:val="20"/>
          <w:lang w:val="ru-RU"/>
        </w:rPr>
        <w:t>процену</w:t>
      </w:r>
      <w:r w:rsidR="00E262CA" w:rsidRPr="00A83C32">
        <w:rPr>
          <w:noProof/>
          <w:szCs w:val="20"/>
          <w:lang w:val="ru-RU"/>
        </w:rPr>
        <w:t xml:space="preserve"> домаћинства у којој мери трошкови становања </w:t>
      </w:r>
      <w:r w:rsidR="005B02B6" w:rsidRPr="00A83C32">
        <w:rPr>
          <w:noProof/>
          <w:szCs w:val="20"/>
          <w:lang w:val="ru-RU"/>
        </w:rPr>
        <w:t>представљају финансијско оптерећење за домаћинство.</w:t>
      </w:r>
      <w:r w:rsidR="00E262CA" w:rsidRPr="00A83C32">
        <w:rPr>
          <w:noProof/>
          <w:szCs w:val="20"/>
          <w:lang w:val="ru-RU"/>
        </w:rPr>
        <w:t xml:space="preserve"> Ови издаци укључују рату за отплату кредита, уколико је члан домаћинства власник стана до којег је дошао уз помоћ кредита, или ренту, уколико је закупац. Такође, у трошкове становања, поред комуналних услуга, укључени су и издаци за услуге повезане са становањем, као и издаци за редовно одржавање стана.</w:t>
      </w:r>
    </w:p>
    <w:p w14:paraId="5604F025" w14:textId="033696B0" w:rsidR="00766DF3" w:rsidRPr="00A83C32" w:rsidRDefault="00766DF3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noProof/>
          <w:szCs w:val="20"/>
          <w:lang w:val="ru-RU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4E7E0373" w14:textId="77777777" w:rsidR="00C542BB" w:rsidRPr="00186E48" w:rsidRDefault="00C542BB" w:rsidP="006E68F7">
      <w:pPr>
        <w:jc w:val="center"/>
        <w:rPr>
          <w:rFonts w:cs="Arial"/>
          <w:bCs/>
          <w:szCs w:val="20"/>
        </w:rPr>
      </w:pPr>
    </w:p>
    <w:p w14:paraId="535743FE" w14:textId="77777777" w:rsidR="004A2B55" w:rsidRPr="00186E48" w:rsidRDefault="004A2B55" w:rsidP="004A2B55"/>
    <w:p w14:paraId="55D852B8" w14:textId="77777777" w:rsidR="004A2B55" w:rsidRDefault="004A2B55" w:rsidP="004A2B55">
      <w:pPr>
        <w:rPr>
          <w:lang w:val="sr-Latn-CS"/>
        </w:rPr>
      </w:pPr>
    </w:p>
    <w:p w14:paraId="66EA48D0" w14:textId="77777777" w:rsidR="004A2B55" w:rsidRDefault="004A2B55" w:rsidP="004A2B55">
      <w:pPr>
        <w:rPr>
          <w:lang w:val="sr-Latn-CS"/>
        </w:rPr>
      </w:pPr>
    </w:p>
    <w:p w14:paraId="44F849F3" w14:textId="77777777" w:rsidR="004A2B55" w:rsidRDefault="004A2B55" w:rsidP="004A2B55">
      <w:pPr>
        <w:rPr>
          <w:lang w:val="sr-Latn-CS"/>
        </w:rPr>
      </w:pPr>
    </w:p>
    <w:p w14:paraId="0439C8D2" w14:textId="77777777" w:rsidR="004A2B55" w:rsidRPr="00805911" w:rsidRDefault="004A2B55" w:rsidP="004A2B55">
      <w:pPr>
        <w:rPr>
          <w:lang w:val="sr-Latn-C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A2B55" w:rsidRPr="005E28CB" w14:paraId="3BA934B7" w14:textId="77777777">
        <w:tc>
          <w:tcPr>
            <w:tcW w:w="9379" w:type="dxa"/>
            <w:shd w:val="clear" w:color="auto" w:fill="auto"/>
          </w:tcPr>
          <w:p w14:paraId="37D9D617" w14:textId="5B9EEB2F" w:rsidR="00C542BB" w:rsidRPr="00DF2051" w:rsidRDefault="008F09D5" w:rsidP="005E28CB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sr-Latn-RS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Контакт</w:t>
            </w:r>
            <w:r w:rsidR="00C542BB"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371290" w:rsidRPr="00340589">
              <w:rPr>
                <w:rFonts w:cs="Arial"/>
                <w:iCs/>
                <w:sz w:val="18"/>
                <w:szCs w:val="18"/>
                <w:lang w:val="sr-Cyrl-CS"/>
              </w:rPr>
              <w:t>:</w:t>
            </w:r>
            <w:r w:rsidR="00371290"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hyperlink r:id="rId14" w:history="1"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natasa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.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mijakovac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@stat.gov.rs</w:t>
              </w:r>
            </w:hyperlink>
            <w:r w:rsidR="0043084E">
              <w:rPr>
                <w:rStyle w:val="Hyperlink"/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.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: 011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/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24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-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12-922</w:t>
            </w:r>
            <w:r w:rsidR="00340589">
              <w:rPr>
                <w:rFonts w:cs="Arial"/>
                <w:iCs/>
                <w:sz w:val="18"/>
                <w:szCs w:val="18"/>
                <w:lang w:val="sr-Latn-RS"/>
              </w:rPr>
              <w:t>,</w:t>
            </w:r>
            <w:r w:rsidR="0043084E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="00863186">
              <w:rPr>
                <w:rFonts w:cs="Arial"/>
                <w:iCs/>
                <w:sz w:val="18"/>
                <w:szCs w:val="18"/>
                <w:lang w:val="ru-RU"/>
              </w:rPr>
              <w:t>локал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="00DF2051">
              <w:rPr>
                <w:rFonts w:cs="Arial"/>
                <w:iCs/>
                <w:sz w:val="18"/>
                <w:szCs w:val="18"/>
                <w:lang w:val="sr-Latn-RS"/>
              </w:rPr>
              <w:t>242</w:t>
            </w:r>
          </w:p>
          <w:p w14:paraId="3AF6F3DE" w14:textId="77777777" w:rsidR="008F09D5" w:rsidRPr="00062A60" w:rsidRDefault="008F09D5" w:rsidP="005E28CB">
            <w:pPr>
              <w:tabs>
                <w:tab w:val="left" w:pos="3982"/>
              </w:tabs>
              <w:jc w:val="center"/>
              <w:rPr>
                <w:rFonts w:cs="Arial"/>
                <w:iCs/>
                <w:sz w:val="18"/>
                <w:szCs w:val="18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Издаје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штампа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Републички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завод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статистику</w:t>
            </w:r>
            <w:r w:rsidRPr="00340589">
              <w:rPr>
                <w:rFonts w:cs="Arial"/>
                <w:iCs/>
                <w:sz w:val="18"/>
                <w:szCs w:val="18"/>
              </w:rPr>
              <w:t>,</w:t>
            </w:r>
            <w:r w:rsidR="00340589">
              <w:rPr>
                <w:rFonts w:cs="Arial"/>
                <w:iCs/>
                <w:sz w:val="18"/>
                <w:szCs w:val="18"/>
              </w:rPr>
              <w:t xml:space="preserve"> 11 050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Београд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,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Милана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акића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5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елефон</w:t>
            </w:r>
            <w:r w:rsidRPr="00340589">
              <w:rPr>
                <w:rFonts w:cs="Arial"/>
                <w:iCs/>
                <w:sz w:val="18"/>
                <w:szCs w:val="18"/>
              </w:rPr>
              <w:t>: 011/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340589">
              <w:rPr>
                <w:rFonts w:cs="Arial"/>
                <w:iCs/>
                <w:sz w:val="18"/>
                <w:szCs w:val="18"/>
              </w:rPr>
              <w:t>4-12-922 (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централа</w:t>
            </w:r>
            <w:r w:rsidRPr="00340589">
              <w:rPr>
                <w:rFonts w:cs="Arial"/>
                <w:iCs/>
                <w:sz w:val="18"/>
                <w:szCs w:val="18"/>
              </w:rPr>
              <w:t>) • 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елефакс</w:t>
            </w:r>
            <w:r w:rsidRPr="00340589">
              <w:rPr>
                <w:rFonts w:cs="Arial"/>
                <w:iCs/>
                <w:sz w:val="18"/>
                <w:szCs w:val="18"/>
              </w:rPr>
              <w:t>: 011/24-11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340589">
              <w:rPr>
                <w:rFonts w:cs="Arial"/>
                <w:iCs/>
                <w:sz w:val="18"/>
                <w:szCs w:val="18"/>
              </w:rPr>
              <w:t>260 •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www.stat.gov.rs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Одговара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DB5277">
              <w:rPr>
                <w:sz w:val="18"/>
                <w:szCs w:val="18"/>
                <w:lang w:val="sr-Cyrl-CS"/>
              </w:rPr>
              <w:t xml:space="preserve"> </w:t>
            </w:r>
            <w:r w:rsidR="00DB5277" w:rsidRPr="00780082">
              <w:rPr>
                <w:sz w:val="18"/>
                <w:szCs w:val="18"/>
              </w:rPr>
              <w:t>д</w:t>
            </w:r>
            <w:r w:rsidR="00340589" w:rsidRPr="00780082">
              <w:rPr>
                <w:sz w:val="18"/>
                <w:szCs w:val="18"/>
              </w:rPr>
              <w:t>р</w:t>
            </w:r>
            <w:r w:rsidR="00340589" w:rsidRPr="00340589">
              <w:rPr>
                <w:sz w:val="18"/>
                <w:szCs w:val="18"/>
                <w:lang w:val="sr-Cyrl-CS"/>
              </w:rPr>
              <w:t xml:space="preserve"> Миладин Ковачевић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, </w:t>
            </w:r>
            <w:r w:rsidR="00990C9C">
              <w:rPr>
                <w:sz w:val="18"/>
                <w:szCs w:val="18"/>
                <w:lang w:val="ru-RU"/>
              </w:rPr>
              <w:t>д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иректор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ираж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●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Периодика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излажења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годишња</w:t>
            </w:r>
          </w:p>
          <w:p w14:paraId="2EF65860" w14:textId="77777777" w:rsidR="004A2B55" w:rsidRPr="005E28CB" w:rsidRDefault="004A2B55" w:rsidP="005E28CB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14:paraId="65582226" w14:textId="77777777" w:rsidR="004A2B55" w:rsidRPr="00062A60" w:rsidRDefault="004A2B55" w:rsidP="004A2B55">
      <w:pPr>
        <w:rPr>
          <w:sz w:val="2"/>
          <w:szCs w:val="2"/>
        </w:rPr>
      </w:pPr>
    </w:p>
    <w:p w14:paraId="01230B90" w14:textId="77777777" w:rsidR="009324E6" w:rsidRPr="00062A60" w:rsidRDefault="009324E6" w:rsidP="004A2B55">
      <w:pPr>
        <w:rPr>
          <w:sz w:val="2"/>
          <w:szCs w:val="2"/>
        </w:rPr>
      </w:pPr>
    </w:p>
    <w:sectPr w:rsidR="009324E6" w:rsidRPr="00062A60" w:rsidSect="00AB4DBE">
      <w:footerReference w:type="even" r:id="rId15"/>
      <w:footerReference w:type="default" r:id="rId16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D2BD" w14:textId="77777777" w:rsidR="00713C15" w:rsidRDefault="00713C15">
      <w:r>
        <w:separator/>
      </w:r>
    </w:p>
  </w:endnote>
  <w:endnote w:type="continuationSeparator" w:id="0">
    <w:p w14:paraId="63AC24C0" w14:textId="77777777" w:rsidR="00713C15" w:rsidRDefault="0071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2B44C0" w:rsidRPr="00593372" w14:paraId="1CFFF915" w14:textId="77777777">
      <w:tc>
        <w:tcPr>
          <w:tcW w:w="5210" w:type="dxa"/>
          <w:shd w:val="clear" w:color="auto" w:fill="auto"/>
        </w:tcPr>
        <w:p w14:paraId="3B629135" w14:textId="648DE720" w:rsidR="002B44C0" w:rsidRPr="00593372" w:rsidRDefault="002B44C0" w:rsidP="0043084E">
          <w:pPr>
            <w:spacing w:before="60"/>
            <w:rPr>
              <w:iCs/>
              <w:sz w:val="16"/>
              <w:szCs w:val="16"/>
            </w:rPr>
          </w:pPr>
          <w:r w:rsidRPr="00593372">
            <w:rPr>
              <w:iCs/>
              <w:sz w:val="16"/>
              <w:szCs w:val="16"/>
            </w:rPr>
            <w:fldChar w:fldCharType="begin"/>
          </w:r>
          <w:r w:rsidRPr="00593372">
            <w:rPr>
              <w:iCs/>
              <w:sz w:val="16"/>
              <w:szCs w:val="16"/>
            </w:rPr>
            <w:instrText xml:space="preserve"> PAGE </w:instrText>
          </w:r>
          <w:r w:rsidRPr="00593372">
            <w:rPr>
              <w:iCs/>
              <w:sz w:val="16"/>
              <w:szCs w:val="16"/>
            </w:rPr>
            <w:fldChar w:fldCharType="separate"/>
          </w:r>
          <w:r w:rsidR="00E07B86">
            <w:rPr>
              <w:iCs/>
              <w:noProof/>
              <w:sz w:val="16"/>
              <w:szCs w:val="16"/>
            </w:rPr>
            <w:t>6</w:t>
          </w:r>
          <w:r w:rsidRPr="00593372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4F697D7D" w14:textId="611AAFFD" w:rsidR="002B44C0" w:rsidRPr="007646AC" w:rsidRDefault="002B44C0" w:rsidP="0043084E">
          <w:pPr>
            <w:spacing w:before="60"/>
            <w:jc w:val="right"/>
            <w:rPr>
              <w:bCs/>
              <w:sz w:val="16"/>
              <w:szCs w:val="16"/>
            </w:rPr>
          </w:pPr>
          <w:r w:rsidRPr="00593372">
            <w:rPr>
              <w:bCs/>
              <w:sz w:val="16"/>
              <w:szCs w:val="16"/>
            </w:rPr>
            <w:t>СРБ</w:t>
          </w:r>
          <w:r>
            <w:rPr>
              <w:bCs/>
              <w:sz w:val="16"/>
              <w:szCs w:val="16"/>
            </w:rPr>
            <w:t>28</w:t>
          </w:r>
          <w:r w:rsidR="007646AC"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t xml:space="preserve"> ПД10 </w:t>
          </w:r>
          <w:r>
            <w:rPr>
              <w:bCs/>
              <w:sz w:val="16"/>
              <w:szCs w:val="16"/>
              <w:lang w:val="en-US"/>
            </w:rPr>
            <w:t>1510</w:t>
          </w:r>
          <w:r w:rsidR="007646AC">
            <w:rPr>
              <w:bCs/>
              <w:sz w:val="16"/>
              <w:szCs w:val="16"/>
            </w:rPr>
            <w:t>20</w:t>
          </w:r>
        </w:p>
      </w:tc>
    </w:tr>
  </w:tbl>
  <w:p w14:paraId="230357D9" w14:textId="77777777" w:rsidR="002B44C0" w:rsidRPr="00933BE7" w:rsidRDefault="002B44C0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bottom w:val="single" w:sz="4" w:space="0" w:color="auto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5108"/>
      <w:gridCol w:w="5097"/>
    </w:tblGrid>
    <w:tr w:rsidR="002B44C0" w:rsidRPr="00593372" w14:paraId="41014DB6" w14:textId="77777777">
      <w:tc>
        <w:tcPr>
          <w:tcW w:w="5210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0FD94DD" w14:textId="54EC7645" w:rsidR="002B44C0" w:rsidRPr="007646AC" w:rsidRDefault="002B44C0" w:rsidP="0043084E">
          <w:pPr>
            <w:spacing w:before="60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СРБ28</w:t>
          </w:r>
          <w:r w:rsidR="007646AC">
            <w:rPr>
              <w:iCs/>
              <w:sz w:val="16"/>
              <w:szCs w:val="16"/>
            </w:rPr>
            <w:t>3</w:t>
          </w:r>
          <w:r>
            <w:rPr>
              <w:iCs/>
              <w:sz w:val="16"/>
              <w:szCs w:val="16"/>
            </w:rPr>
            <w:t xml:space="preserve"> ПД10 </w:t>
          </w:r>
          <w:r>
            <w:rPr>
              <w:iCs/>
              <w:sz w:val="16"/>
              <w:szCs w:val="16"/>
              <w:lang w:val="en-US"/>
            </w:rPr>
            <w:t>1510</w:t>
          </w:r>
          <w:r w:rsidR="007646AC">
            <w:rPr>
              <w:iCs/>
              <w:sz w:val="16"/>
              <w:szCs w:val="16"/>
            </w:rPr>
            <w:t>20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  <w:shd w:val="clear" w:color="auto" w:fill="auto"/>
        </w:tcPr>
        <w:p w14:paraId="6B44947C" w14:textId="0215DE8D" w:rsidR="002B44C0" w:rsidRPr="00593372" w:rsidRDefault="002B44C0" w:rsidP="0043084E">
          <w:pPr>
            <w:spacing w:before="60"/>
            <w:jc w:val="right"/>
            <w:rPr>
              <w:bCs/>
              <w:sz w:val="16"/>
              <w:szCs w:val="16"/>
            </w:rPr>
          </w:pPr>
          <w:r w:rsidRPr="00593372">
            <w:rPr>
              <w:bCs/>
              <w:sz w:val="16"/>
              <w:szCs w:val="16"/>
            </w:rPr>
            <w:fldChar w:fldCharType="begin"/>
          </w:r>
          <w:r w:rsidRPr="00593372">
            <w:rPr>
              <w:bCs/>
              <w:sz w:val="16"/>
              <w:szCs w:val="16"/>
            </w:rPr>
            <w:instrText xml:space="preserve"> PAGE </w:instrText>
          </w:r>
          <w:r w:rsidRPr="00593372">
            <w:rPr>
              <w:bCs/>
              <w:sz w:val="16"/>
              <w:szCs w:val="16"/>
            </w:rPr>
            <w:fldChar w:fldCharType="separate"/>
          </w:r>
          <w:r w:rsidR="00E07B86">
            <w:rPr>
              <w:bCs/>
              <w:noProof/>
              <w:sz w:val="16"/>
              <w:szCs w:val="16"/>
            </w:rPr>
            <w:t>5</w:t>
          </w:r>
          <w:r w:rsidRPr="00593372">
            <w:rPr>
              <w:bCs/>
              <w:sz w:val="16"/>
              <w:szCs w:val="16"/>
            </w:rPr>
            <w:fldChar w:fldCharType="end"/>
          </w:r>
        </w:p>
      </w:tc>
    </w:tr>
  </w:tbl>
  <w:p w14:paraId="6A0F11E9" w14:textId="77777777" w:rsidR="002B44C0" w:rsidRPr="00933BE7" w:rsidRDefault="002B44C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8180" w14:textId="77777777" w:rsidR="00713C15" w:rsidRDefault="00713C15">
      <w:r>
        <w:separator/>
      </w:r>
    </w:p>
  </w:footnote>
  <w:footnote w:type="continuationSeparator" w:id="0">
    <w:p w14:paraId="217733A7" w14:textId="77777777" w:rsidR="00713C15" w:rsidRDefault="00713C15">
      <w:r>
        <w:continuationSeparator/>
      </w:r>
    </w:p>
  </w:footnote>
  <w:footnote w:id="1">
    <w:p w14:paraId="00ADEC94" w14:textId="77777777" w:rsidR="00E84591" w:rsidRPr="003D18C2" w:rsidRDefault="00E84591" w:rsidP="00E84591">
      <w:pPr>
        <w:jc w:val="both"/>
        <w:rPr>
          <w:sz w:val="14"/>
          <w:szCs w:val="14"/>
          <w:lang w:val="ru-RU"/>
        </w:rPr>
      </w:pPr>
      <w:r w:rsidRPr="003D18C2">
        <w:rPr>
          <w:rStyle w:val="FootnoteReference"/>
          <w:sz w:val="14"/>
          <w:szCs w:val="14"/>
        </w:rPr>
        <w:footnoteRef/>
      </w:r>
      <w:r w:rsidRPr="003D18C2">
        <w:rPr>
          <w:sz w:val="14"/>
          <w:szCs w:val="14"/>
          <w:lang w:val="ru-RU"/>
        </w:rPr>
        <w:t xml:space="preserve"> У самозапослена лица спадају и пољопривредници.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60D"/>
    <w:multiLevelType w:val="hybridMultilevel"/>
    <w:tmpl w:val="C07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3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144831"/>
    <w:multiLevelType w:val="hybridMultilevel"/>
    <w:tmpl w:val="A944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151E6E"/>
    <w:multiLevelType w:val="hybridMultilevel"/>
    <w:tmpl w:val="047EA6B0"/>
    <w:lvl w:ilvl="0" w:tplc="F2D4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6" w15:restartNumberingAfterBreak="0">
    <w:nsid w:val="413B32CA"/>
    <w:multiLevelType w:val="hybridMultilevel"/>
    <w:tmpl w:val="37B6968A"/>
    <w:lvl w:ilvl="0" w:tplc="7A92BDE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3828"/>
    <w:multiLevelType w:val="hybridMultilevel"/>
    <w:tmpl w:val="17DA5B72"/>
    <w:lvl w:ilvl="0" w:tplc="B29C8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0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1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2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3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4" w15:restartNumberingAfterBreak="0">
    <w:nsid w:val="5FE1771C"/>
    <w:multiLevelType w:val="hybridMultilevel"/>
    <w:tmpl w:val="234C7058"/>
    <w:lvl w:ilvl="0" w:tplc="1A045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6A3A"/>
    <w:multiLevelType w:val="hybridMultilevel"/>
    <w:tmpl w:val="0A9C3F9C"/>
    <w:lvl w:ilvl="0" w:tplc="188AD9FA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DEA"/>
    <w:multiLevelType w:val="hybridMultilevel"/>
    <w:tmpl w:val="16D65D68"/>
    <w:lvl w:ilvl="0" w:tplc="9C8C4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8"/>
  </w:num>
  <w:num w:numId="13">
    <w:abstractNumId w:val="8"/>
  </w:num>
  <w:num w:numId="14">
    <w:abstractNumId w:val="32"/>
  </w:num>
  <w:num w:numId="15">
    <w:abstractNumId w:val="30"/>
  </w:num>
  <w:num w:numId="16">
    <w:abstractNumId w:val="13"/>
  </w:num>
  <w:num w:numId="17">
    <w:abstractNumId w:val="14"/>
  </w:num>
  <w:num w:numId="18">
    <w:abstractNumId w:val="38"/>
  </w:num>
  <w:num w:numId="19">
    <w:abstractNumId w:val="25"/>
  </w:num>
  <w:num w:numId="20">
    <w:abstractNumId w:val="20"/>
  </w:num>
  <w:num w:numId="21">
    <w:abstractNumId w:val="37"/>
  </w:num>
  <w:num w:numId="22">
    <w:abstractNumId w:val="29"/>
  </w:num>
  <w:num w:numId="23">
    <w:abstractNumId w:val="23"/>
  </w:num>
  <w:num w:numId="24">
    <w:abstractNumId w:val="16"/>
  </w:num>
  <w:num w:numId="25">
    <w:abstractNumId w:val="15"/>
  </w:num>
  <w:num w:numId="26">
    <w:abstractNumId w:val="18"/>
  </w:num>
  <w:num w:numId="27">
    <w:abstractNumId w:val="33"/>
  </w:num>
  <w:num w:numId="28">
    <w:abstractNumId w:val="12"/>
  </w:num>
  <w:num w:numId="29">
    <w:abstractNumId w:val="31"/>
  </w:num>
  <w:num w:numId="30">
    <w:abstractNumId w:val="21"/>
  </w:num>
  <w:num w:numId="31">
    <w:abstractNumId w:val="19"/>
  </w:num>
  <w:num w:numId="32">
    <w:abstractNumId w:val="11"/>
  </w:num>
  <w:num w:numId="33">
    <w:abstractNumId w:val="35"/>
  </w:num>
  <w:num w:numId="34">
    <w:abstractNumId w:val="26"/>
  </w:num>
  <w:num w:numId="35">
    <w:abstractNumId w:val="34"/>
  </w:num>
  <w:num w:numId="36">
    <w:abstractNumId w:val="22"/>
  </w:num>
  <w:num w:numId="37">
    <w:abstractNumId w:val="10"/>
  </w:num>
  <w:num w:numId="38">
    <w:abstractNumId w:val="27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8193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9"/>
    <w:rsid w:val="0000130C"/>
    <w:rsid w:val="00001820"/>
    <w:rsid w:val="000049E7"/>
    <w:rsid w:val="00015706"/>
    <w:rsid w:val="00021C9B"/>
    <w:rsid w:val="000223FA"/>
    <w:rsid w:val="00023A43"/>
    <w:rsid w:val="00024500"/>
    <w:rsid w:val="000260F0"/>
    <w:rsid w:val="00027688"/>
    <w:rsid w:val="000301CD"/>
    <w:rsid w:val="000326DA"/>
    <w:rsid w:val="000356AE"/>
    <w:rsid w:val="00036DC2"/>
    <w:rsid w:val="000405D6"/>
    <w:rsid w:val="000415B6"/>
    <w:rsid w:val="00047476"/>
    <w:rsid w:val="000513BE"/>
    <w:rsid w:val="000540F3"/>
    <w:rsid w:val="00062A60"/>
    <w:rsid w:val="000772DD"/>
    <w:rsid w:val="00081124"/>
    <w:rsid w:val="00085E64"/>
    <w:rsid w:val="00087040"/>
    <w:rsid w:val="00091980"/>
    <w:rsid w:val="0009325B"/>
    <w:rsid w:val="00093B0A"/>
    <w:rsid w:val="000A5D0F"/>
    <w:rsid w:val="000B0A5F"/>
    <w:rsid w:val="000B3451"/>
    <w:rsid w:val="000C2788"/>
    <w:rsid w:val="000C5DA5"/>
    <w:rsid w:val="000C6AD0"/>
    <w:rsid w:val="000D4726"/>
    <w:rsid w:val="000D5BAD"/>
    <w:rsid w:val="000D612A"/>
    <w:rsid w:val="000E0DDA"/>
    <w:rsid w:val="000E48DB"/>
    <w:rsid w:val="000F56B7"/>
    <w:rsid w:val="000F5C92"/>
    <w:rsid w:val="000F7389"/>
    <w:rsid w:val="00101B60"/>
    <w:rsid w:val="001034CA"/>
    <w:rsid w:val="001057A8"/>
    <w:rsid w:val="00107815"/>
    <w:rsid w:val="00110976"/>
    <w:rsid w:val="00120DC5"/>
    <w:rsid w:val="00123D75"/>
    <w:rsid w:val="001245F5"/>
    <w:rsid w:val="0012764D"/>
    <w:rsid w:val="001301CA"/>
    <w:rsid w:val="00134E79"/>
    <w:rsid w:val="00135A24"/>
    <w:rsid w:val="0014018B"/>
    <w:rsid w:val="00146585"/>
    <w:rsid w:val="00154A61"/>
    <w:rsid w:val="001615BD"/>
    <w:rsid w:val="00161C21"/>
    <w:rsid w:val="0016241D"/>
    <w:rsid w:val="00165B24"/>
    <w:rsid w:val="00172091"/>
    <w:rsid w:val="00174E1D"/>
    <w:rsid w:val="00174E6E"/>
    <w:rsid w:val="00186E48"/>
    <w:rsid w:val="00190828"/>
    <w:rsid w:val="00194148"/>
    <w:rsid w:val="001A414A"/>
    <w:rsid w:val="001B2BF4"/>
    <w:rsid w:val="001B46B8"/>
    <w:rsid w:val="001B5C11"/>
    <w:rsid w:val="001B7F9E"/>
    <w:rsid w:val="001B7FB4"/>
    <w:rsid w:val="001D1053"/>
    <w:rsid w:val="001D7F10"/>
    <w:rsid w:val="001E042C"/>
    <w:rsid w:val="001E5AB2"/>
    <w:rsid w:val="001E7841"/>
    <w:rsid w:val="001F4FB6"/>
    <w:rsid w:val="0020045D"/>
    <w:rsid w:val="002004F6"/>
    <w:rsid w:val="00204F1D"/>
    <w:rsid w:val="00206161"/>
    <w:rsid w:val="00207099"/>
    <w:rsid w:val="002113B2"/>
    <w:rsid w:val="00215BB7"/>
    <w:rsid w:val="00220D87"/>
    <w:rsid w:val="00223F33"/>
    <w:rsid w:val="00225696"/>
    <w:rsid w:val="0022656F"/>
    <w:rsid w:val="00231514"/>
    <w:rsid w:val="0023218A"/>
    <w:rsid w:val="002338F2"/>
    <w:rsid w:val="00234E7F"/>
    <w:rsid w:val="002374F1"/>
    <w:rsid w:val="00247F24"/>
    <w:rsid w:val="002577D1"/>
    <w:rsid w:val="00266953"/>
    <w:rsid w:val="00270A8D"/>
    <w:rsid w:val="00285E97"/>
    <w:rsid w:val="00294133"/>
    <w:rsid w:val="002949DE"/>
    <w:rsid w:val="002A01C8"/>
    <w:rsid w:val="002A299A"/>
    <w:rsid w:val="002B1862"/>
    <w:rsid w:val="002B3264"/>
    <w:rsid w:val="002B44C0"/>
    <w:rsid w:val="002B7E37"/>
    <w:rsid w:val="002C2A2F"/>
    <w:rsid w:val="002C2ECD"/>
    <w:rsid w:val="002D063B"/>
    <w:rsid w:val="002D48E9"/>
    <w:rsid w:val="002D4F7D"/>
    <w:rsid w:val="002E51C1"/>
    <w:rsid w:val="002F5AFD"/>
    <w:rsid w:val="002F6B71"/>
    <w:rsid w:val="002F78CF"/>
    <w:rsid w:val="00302E3B"/>
    <w:rsid w:val="0030531D"/>
    <w:rsid w:val="0031538B"/>
    <w:rsid w:val="00320CB8"/>
    <w:rsid w:val="0032285D"/>
    <w:rsid w:val="00334340"/>
    <w:rsid w:val="00334F04"/>
    <w:rsid w:val="00340589"/>
    <w:rsid w:val="003427CA"/>
    <w:rsid w:val="003472A6"/>
    <w:rsid w:val="003626EB"/>
    <w:rsid w:val="00365267"/>
    <w:rsid w:val="00365B3B"/>
    <w:rsid w:val="00371290"/>
    <w:rsid w:val="0038204B"/>
    <w:rsid w:val="0039256C"/>
    <w:rsid w:val="003A00F7"/>
    <w:rsid w:val="003A26F1"/>
    <w:rsid w:val="003A2798"/>
    <w:rsid w:val="003A2F46"/>
    <w:rsid w:val="003A6B29"/>
    <w:rsid w:val="003B457C"/>
    <w:rsid w:val="003B6D15"/>
    <w:rsid w:val="003C169E"/>
    <w:rsid w:val="003C275B"/>
    <w:rsid w:val="003C4653"/>
    <w:rsid w:val="003D18C2"/>
    <w:rsid w:val="003D2DC5"/>
    <w:rsid w:val="003D4EAD"/>
    <w:rsid w:val="003E06F2"/>
    <w:rsid w:val="003E3C34"/>
    <w:rsid w:val="003E4554"/>
    <w:rsid w:val="003E726D"/>
    <w:rsid w:val="003F0ECB"/>
    <w:rsid w:val="003F525D"/>
    <w:rsid w:val="003F62AE"/>
    <w:rsid w:val="00403683"/>
    <w:rsid w:val="00406AB0"/>
    <w:rsid w:val="00406B86"/>
    <w:rsid w:val="00411224"/>
    <w:rsid w:val="0041739D"/>
    <w:rsid w:val="00417634"/>
    <w:rsid w:val="00420503"/>
    <w:rsid w:val="0043084E"/>
    <w:rsid w:val="00432F75"/>
    <w:rsid w:val="00433BD0"/>
    <w:rsid w:val="00434D4C"/>
    <w:rsid w:val="00436317"/>
    <w:rsid w:val="0044483B"/>
    <w:rsid w:val="004516BD"/>
    <w:rsid w:val="00460E10"/>
    <w:rsid w:val="004620C6"/>
    <w:rsid w:val="00464B50"/>
    <w:rsid w:val="004654B9"/>
    <w:rsid w:val="0047063A"/>
    <w:rsid w:val="00470D6F"/>
    <w:rsid w:val="004761F7"/>
    <w:rsid w:val="00481432"/>
    <w:rsid w:val="004838B0"/>
    <w:rsid w:val="0049168D"/>
    <w:rsid w:val="004946DA"/>
    <w:rsid w:val="004958A5"/>
    <w:rsid w:val="00495AFD"/>
    <w:rsid w:val="004A0B5E"/>
    <w:rsid w:val="004A0D19"/>
    <w:rsid w:val="004A13B8"/>
    <w:rsid w:val="004A18AD"/>
    <w:rsid w:val="004A2B55"/>
    <w:rsid w:val="004A2DA9"/>
    <w:rsid w:val="004A48B2"/>
    <w:rsid w:val="004B4330"/>
    <w:rsid w:val="004B5A98"/>
    <w:rsid w:val="004C0C14"/>
    <w:rsid w:val="004C20CA"/>
    <w:rsid w:val="004C3217"/>
    <w:rsid w:val="004C671D"/>
    <w:rsid w:val="004C705D"/>
    <w:rsid w:val="004D114A"/>
    <w:rsid w:val="004D318E"/>
    <w:rsid w:val="004D63C9"/>
    <w:rsid w:val="004E266D"/>
    <w:rsid w:val="004E5ADD"/>
    <w:rsid w:val="004F0AF6"/>
    <w:rsid w:val="004F4876"/>
    <w:rsid w:val="004F4A78"/>
    <w:rsid w:val="004F7EDC"/>
    <w:rsid w:val="0050523D"/>
    <w:rsid w:val="005062DF"/>
    <w:rsid w:val="00507C9E"/>
    <w:rsid w:val="00512C3D"/>
    <w:rsid w:val="00520B1D"/>
    <w:rsid w:val="00522C60"/>
    <w:rsid w:val="005326ED"/>
    <w:rsid w:val="005331C1"/>
    <w:rsid w:val="00540C39"/>
    <w:rsid w:val="0054168D"/>
    <w:rsid w:val="005452E1"/>
    <w:rsid w:val="00555978"/>
    <w:rsid w:val="005605E2"/>
    <w:rsid w:val="00570534"/>
    <w:rsid w:val="00573077"/>
    <w:rsid w:val="00585F3C"/>
    <w:rsid w:val="00591F3B"/>
    <w:rsid w:val="00593372"/>
    <w:rsid w:val="00596A18"/>
    <w:rsid w:val="005A06A3"/>
    <w:rsid w:val="005A2C94"/>
    <w:rsid w:val="005A563E"/>
    <w:rsid w:val="005B02B6"/>
    <w:rsid w:val="005B415C"/>
    <w:rsid w:val="005B4F62"/>
    <w:rsid w:val="005B75F7"/>
    <w:rsid w:val="005C10E4"/>
    <w:rsid w:val="005C1A61"/>
    <w:rsid w:val="005C2EFC"/>
    <w:rsid w:val="005C4034"/>
    <w:rsid w:val="005C56E2"/>
    <w:rsid w:val="005D0DC6"/>
    <w:rsid w:val="005D30B0"/>
    <w:rsid w:val="005D31B2"/>
    <w:rsid w:val="005D3223"/>
    <w:rsid w:val="005E1A52"/>
    <w:rsid w:val="005E28CB"/>
    <w:rsid w:val="005E34B7"/>
    <w:rsid w:val="005E691B"/>
    <w:rsid w:val="005F17C3"/>
    <w:rsid w:val="005F20A1"/>
    <w:rsid w:val="005F408E"/>
    <w:rsid w:val="005F7E9B"/>
    <w:rsid w:val="00607BD4"/>
    <w:rsid w:val="00613187"/>
    <w:rsid w:val="00613DE7"/>
    <w:rsid w:val="006161E7"/>
    <w:rsid w:val="00620A6D"/>
    <w:rsid w:val="00626DB8"/>
    <w:rsid w:val="00627497"/>
    <w:rsid w:val="00627E99"/>
    <w:rsid w:val="00632818"/>
    <w:rsid w:val="00643B57"/>
    <w:rsid w:val="00644C3D"/>
    <w:rsid w:val="006518B7"/>
    <w:rsid w:val="006648FD"/>
    <w:rsid w:val="0067119B"/>
    <w:rsid w:val="006721BB"/>
    <w:rsid w:val="00673F1A"/>
    <w:rsid w:val="00675E09"/>
    <w:rsid w:val="00677A51"/>
    <w:rsid w:val="0068090E"/>
    <w:rsid w:val="0068287D"/>
    <w:rsid w:val="00685E4F"/>
    <w:rsid w:val="0068642D"/>
    <w:rsid w:val="00690EF7"/>
    <w:rsid w:val="006911FB"/>
    <w:rsid w:val="00694395"/>
    <w:rsid w:val="006A0D29"/>
    <w:rsid w:val="006A6990"/>
    <w:rsid w:val="006A7E8E"/>
    <w:rsid w:val="006B606C"/>
    <w:rsid w:val="006B7517"/>
    <w:rsid w:val="006C0769"/>
    <w:rsid w:val="006C078D"/>
    <w:rsid w:val="006C15D6"/>
    <w:rsid w:val="006D3900"/>
    <w:rsid w:val="006D4183"/>
    <w:rsid w:val="006D5CF0"/>
    <w:rsid w:val="006D7D3A"/>
    <w:rsid w:val="006E09DC"/>
    <w:rsid w:val="006E41B8"/>
    <w:rsid w:val="006E5D00"/>
    <w:rsid w:val="006E5F6B"/>
    <w:rsid w:val="006E63B2"/>
    <w:rsid w:val="006E68F7"/>
    <w:rsid w:val="006E7AF4"/>
    <w:rsid w:val="006F1ABE"/>
    <w:rsid w:val="006F35D2"/>
    <w:rsid w:val="006F72CE"/>
    <w:rsid w:val="00713566"/>
    <w:rsid w:val="00713C15"/>
    <w:rsid w:val="0072034F"/>
    <w:rsid w:val="00721971"/>
    <w:rsid w:val="00724888"/>
    <w:rsid w:val="0073113A"/>
    <w:rsid w:val="00735420"/>
    <w:rsid w:val="00736F0F"/>
    <w:rsid w:val="00737BB7"/>
    <w:rsid w:val="0074088B"/>
    <w:rsid w:val="00742E08"/>
    <w:rsid w:val="007430D0"/>
    <w:rsid w:val="0075420B"/>
    <w:rsid w:val="00757DEC"/>
    <w:rsid w:val="00762A9E"/>
    <w:rsid w:val="0076372B"/>
    <w:rsid w:val="007646AC"/>
    <w:rsid w:val="00766DF3"/>
    <w:rsid w:val="00767ADD"/>
    <w:rsid w:val="00776508"/>
    <w:rsid w:val="00780082"/>
    <w:rsid w:val="00781701"/>
    <w:rsid w:val="00786150"/>
    <w:rsid w:val="007A551E"/>
    <w:rsid w:val="007B3F6F"/>
    <w:rsid w:val="007B6E41"/>
    <w:rsid w:val="007C6598"/>
    <w:rsid w:val="007C6D60"/>
    <w:rsid w:val="007C7E81"/>
    <w:rsid w:val="007D2878"/>
    <w:rsid w:val="007D28F9"/>
    <w:rsid w:val="007D4AF9"/>
    <w:rsid w:val="007D67F7"/>
    <w:rsid w:val="007E2127"/>
    <w:rsid w:val="007E2BD1"/>
    <w:rsid w:val="007E3FD2"/>
    <w:rsid w:val="007E6E68"/>
    <w:rsid w:val="007F1EB5"/>
    <w:rsid w:val="007F63EA"/>
    <w:rsid w:val="007F7E59"/>
    <w:rsid w:val="00803128"/>
    <w:rsid w:val="0081440F"/>
    <w:rsid w:val="008174D7"/>
    <w:rsid w:val="00821211"/>
    <w:rsid w:val="00821501"/>
    <w:rsid w:val="00823DBB"/>
    <w:rsid w:val="0083120D"/>
    <w:rsid w:val="0083197D"/>
    <w:rsid w:val="00833D45"/>
    <w:rsid w:val="0083581E"/>
    <w:rsid w:val="00840757"/>
    <w:rsid w:val="00840E17"/>
    <w:rsid w:val="00845FF4"/>
    <w:rsid w:val="00846C0D"/>
    <w:rsid w:val="00850635"/>
    <w:rsid w:val="00852CCD"/>
    <w:rsid w:val="00856212"/>
    <w:rsid w:val="00857451"/>
    <w:rsid w:val="00857E00"/>
    <w:rsid w:val="00860E4C"/>
    <w:rsid w:val="008622DD"/>
    <w:rsid w:val="00862A35"/>
    <w:rsid w:val="00863186"/>
    <w:rsid w:val="00864271"/>
    <w:rsid w:val="00865950"/>
    <w:rsid w:val="00866B96"/>
    <w:rsid w:val="008801D7"/>
    <w:rsid w:val="0088200E"/>
    <w:rsid w:val="00883348"/>
    <w:rsid w:val="00883A55"/>
    <w:rsid w:val="00885413"/>
    <w:rsid w:val="00886F1D"/>
    <w:rsid w:val="00893388"/>
    <w:rsid w:val="008A3A11"/>
    <w:rsid w:val="008B4F1A"/>
    <w:rsid w:val="008B7744"/>
    <w:rsid w:val="008C1D3F"/>
    <w:rsid w:val="008C3B72"/>
    <w:rsid w:val="008C44B8"/>
    <w:rsid w:val="008C49E2"/>
    <w:rsid w:val="008D6D05"/>
    <w:rsid w:val="008E0E18"/>
    <w:rsid w:val="008E4686"/>
    <w:rsid w:val="008E593B"/>
    <w:rsid w:val="008F09D5"/>
    <w:rsid w:val="008F361E"/>
    <w:rsid w:val="0090069F"/>
    <w:rsid w:val="00904BEC"/>
    <w:rsid w:val="0091407C"/>
    <w:rsid w:val="009175A5"/>
    <w:rsid w:val="00921663"/>
    <w:rsid w:val="009324E6"/>
    <w:rsid w:val="00933BE7"/>
    <w:rsid w:val="00935F76"/>
    <w:rsid w:val="00940DEA"/>
    <w:rsid w:val="0094111C"/>
    <w:rsid w:val="00942462"/>
    <w:rsid w:val="00943A4C"/>
    <w:rsid w:val="00945E63"/>
    <w:rsid w:val="00946CD0"/>
    <w:rsid w:val="00953B72"/>
    <w:rsid w:val="00961739"/>
    <w:rsid w:val="009645ED"/>
    <w:rsid w:val="009742A2"/>
    <w:rsid w:val="00982283"/>
    <w:rsid w:val="00982660"/>
    <w:rsid w:val="00990C9C"/>
    <w:rsid w:val="009928E4"/>
    <w:rsid w:val="00993019"/>
    <w:rsid w:val="00995B22"/>
    <w:rsid w:val="009977B2"/>
    <w:rsid w:val="009C1196"/>
    <w:rsid w:val="009C2676"/>
    <w:rsid w:val="009C54DC"/>
    <w:rsid w:val="009C6B41"/>
    <w:rsid w:val="009D1088"/>
    <w:rsid w:val="009D28E8"/>
    <w:rsid w:val="009D45EB"/>
    <w:rsid w:val="009E27E5"/>
    <w:rsid w:val="009E2CF3"/>
    <w:rsid w:val="009E44AF"/>
    <w:rsid w:val="009E4CF4"/>
    <w:rsid w:val="009F0F20"/>
    <w:rsid w:val="009F1A4C"/>
    <w:rsid w:val="009F7ECF"/>
    <w:rsid w:val="00A00F3D"/>
    <w:rsid w:val="00A01444"/>
    <w:rsid w:val="00A03717"/>
    <w:rsid w:val="00A04F82"/>
    <w:rsid w:val="00A129F4"/>
    <w:rsid w:val="00A1492B"/>
    <w:rsid w:val="00A1546A"/>
    <w:rsid w:val="00A20D67"/>
    <w:rsid w:val="00A22971"/>
    <w:rsid w:val="00A22F63"/>
    <w:rsid w:val="00A277D0"/>
    <w:rsid w:val="00A27E2A"/>
    <w:rsid w:val="00A30204"/>
    <w:rsid w:val="00A352E2"/>
    <w:rsid w:val="00A36CF3"/>
    <w:rsid w:val="00A51D92"/>
    <w:rsid w:val="00A5266C"/>
    <w:rsid w:val="00A62452"/>
    <w:rsid w:val="00A723C6"/>
    <w:rsid w:val="00A7556A"/>
    <w:rsid w:val="00A756BD"/>
    <w:rsid w:val="00A8093F"/>
    <w:rsid w:val="00A83C32"/>
    <w:rsid w:val="00A84F98"/>
    <w:rsid w:val="00A85F30"/>
    <w:rsid w:val="00A91572"/>
    <w:rsid w:val="00A97152"/>
    <w:rsid w:val="00AA5AE6"/>
    <w:rsid w:val="00AB0127"/>
    <w:rsid w:val="00AB08BA"/>
    <w:rsid w:val="00AB23F4"/>
    <w:rsid w:val="00AB2624"/>
    <w:rsid w:val="00AB4DBE"/>
    <w:rsid w:val="00AB7113"/>
    <w:rsid w:val="00AC1101"/>
    <w:rsid w:val="00AC43D9"/>
    <w:rsid w:val="00AC7E07"/>
    <w:rsid w:val="00AD2F78"/>
    <w:rsid w:val="00AD6355"/>
    <w:rsid w:val="00AD6545"/>
    <w:rsid w:val="00AE2AA3"/>
    <w:rsid w:val="00AE3E64"/>
    <w:rsid w:val="00AF3536"/>
    <w:rsid w:val="00AF6534"/>
    <w:rsid w:val="00AF6878"/>
    <w:rsid w:val="00AF7F4D"/>
    <w:rsid w:val="00B04C01"/>
    <w:rsid w:val="00B0741C"/>
    <w:rsid w:val="00B20D07"/>
    <w:rsid w:val="00B20EE1"/>
    <w:rsid w:val="00B25420"/>
    <w:rsid w:val="00B35B9D"/>
    <w:rsid w:val="00B41425"/>
    <w:rsid w:val="00B46912"/>
    <w:rsid w:val="00B57A58"/>
    <w:rsid w:val="00B64573"/>
    <w:rsid w:val="00B66332"/>
    <w:rsid w:val="00B668B3"/>
    <w:rsid w:val="00B75579"/>
    <w:rsid w:val="00B764AE"/>
    <w:rsid w:val="00B86684"/>
    <w:rsid w:val="00B93CE5"/>
    <w:rsid w:val="00B95E80"/>
    <w:rsid w:val="00B95EE2"/>
    <w:rsid w:val="00B967F5"/>
    <w:rsid w:val="00B9780C"/>
    <w:rsid w:val="00B97B19"/>
    <w:rsid w:val="00BA2A4A"/>
    <w:rsid w:val="00BA61C1"/>
    <w:rsid w:val="00BA7A2D"/>
    <w:rsid w:val="00BB4ABF"/>
    <w:rsid w:val="00BB787C"/>
    <w:rsid w:val="00BC02E7"/>
    <w:rsid w:val="00BC5F23"/>
    <w:rsid w:val="00BD086F"/>
    <w:rsid w:val="00BD4B31"/>
    <w:rsid w:val="00BD67BF"/>
    <w:rsid w:val="00BE0489"/>
    <w:rsid w:val="00BE2041"/>
    <w:rsid w:val="00BF50E3"/>
    <w:rsid w:val="00C0297F"/>
    <w:rsid w:val="00C029C3"/>
    <w:rsid w:val="00C11631"/>
    <w:rsid w:val="00C13D19"/>
    <w:rsid w:val="00C149A4"/>
    <w:rsid w:val="00C14B34"/>
    <w:rsid w:val="00C20399"/>
    <w:rsid w:val="00C24B3C"/>
    <w:rsid w:val="00C31454"/>
    <w:rsid w:val="00C31736"/>
    <w:rsid w:val="00C319AA"/>
    <w:rsid w:val="00C37F67"/>
    <w:rsid w:val="00C44158"/>
    <w:rsid w:val="00C45520"/>
    <w:rsid w:val="00C542BB"/>
    <w:rsid w:val="00C54BE0"/>
    <w:rsid w:val="00C61304"/>
    <w:rsid w:val="00C72290"/>
    <w:rsid w:val="00C8116E"/>
    <w:rsid w:val="00C8729A"/>
    <w:rsid w:val="00C90BC3"/>
    <w:rsid w:val="00C91037"/>
    <w:rsid w:val="00C94A15"/>
    <w:rsid w:val="00C94CC3"/>
    <w:rsid w:val="00CA16B2"/>
    <w:rsid w:val="00CA2AD0"/>
    <w:rsid w:val="00CA5F29"/>
    <w:rsid w:val="00CB7162"/>
    <w:rsid w:val="00CC2991"/>
    <w:rsid w:val="00CC5B41"/>
    <w:rsid w:val="00CD050D"/>
    <w:rsid w:val="00CD40C9"/>
    <w:rsid w:val="00CD6DB8"/>
    <w:rsid w:val="00CE1A38"/>
    <w:rsid w:val="00CF009E"/>
    <w:rsid w:val="00CF0587"/>
    <w:rsid w:val="00CF20F9"/>
    <w:rsid w:val="00CF4F3C"/>
    <w:rsid w:val="00CF74C4"/>
    <w:rsid w:val="00CF74ED"/>
    <w:rsid w:val="00CF779A"/>
    <w:rsid w:val="00D004D2"/>
    <w:rsid w:val="00D02A56"/>
    <w:rsid w:val="00D04A2B"/>
    <w:rsid w:val="00D06D64"/>
    <w:rsid w:val="00D075D6"/>
    <w:rsid w:val="00D10C4B"/>
    <w:rsid w:val="00D111E9"/>
    <w:rsid w:val="00D1147C"/>
    <w:rsid w:val="00D152D3"/>
    <w:rsid w:val="00D24906"/>
    <w:rsid w:val="00D2691E"/>
    <w:rsid w:val="00D26A1E"/>
    <w:rsid w:val="00D31BFF"/>
    <w:rsid w:val="00D36512"/>
    <w:rsid w:val="00D44043"/>
    <w:rsid w:val="00D44C25"/>
    <w:rsid w:val="00D467BD"/>
    <w:rsid w:val="00D476EA"/>
    <w:rsid w:val="00D53ED8"/>
    <w:rsid w:val="00D5713A"/>
    <w:rsid w:val="00D658D8"/>
    <w:rsid w:val="00D65E77"/>
    <w:rsid w:val="00D66EB9"/>
    <w:rsid w:val="00D717CC"/>
    <w:rsid w:val="00D727D4"/>
    <w:rsid w:val="00D77C68"/>
    <w:rsid w:val="00D81290"/>
    <w:rsid w:val="00D825C2"/>
    <w:rsid w:val="00D9798A"/>
    <w:rsid w:val="00DA14AE"/>
    <w:rsid w:val="00DA6195"/>
    <w:rsid w:val="00DA7791"/>
    <w:rsid w:val="00DB5277"/>
    <w:rsid w:val="00DB7534"/>
    <w:rsid w:val="00DC14BB"/>
    <w:rsid w:val="00DD0D0A"/>
    <w:rsid w:val="00DD0F5B"/>
    <w:rsid w:val="00DF2051"/>
    <w:rsid w:val="00DF433A"/>
    <w:rsid w:val="00E013C4"/>
    <w:rsid w:val="00E04AFE"/>
    <w:rsid w:val="00E06D52"/>
    <w:rsid w:val="00E07B86"/>
    <w:rsid w:val="00E25E61"/>
    <w:rsid w:val="00E26087"/>
    <w:rsid w:val="00E262CA"/>
    <w:rsid w:val="00E32E2E"/>
    <w:rsid w:val="00E51F61"/>
    <w:rsid w:val="00E545AE"/>
    <w:rsid w:val="00E610E9"/>
    <w:rsid w:val="00E65F1B"/>
    <w:rsid w:val="00E70E1F"/>
    <w:rsid w:val="00E716BA"/>
    <w:rsid w:val="00E7257B"/>
    <w:rsid w:val="00E744DE"/>
    <w:rsid w:val="00E7453D"/>
    <w:rsid w:val="00E8012D"/>
    <w:rsid w:val="00E83E69"/>
    <w:rsid w:val="00E84591"/>
    <w:rsid w:val="00E86944"/>
    <w:rsid w:val="00E955AC"/>
    <w:rsid w:val="00E96B79"/>
    <w:rsid w:val="00E96BBC"/>
    <w:rsid w:val="00EB3291"/>
    <w:rsid w:val="00EB37E4"/>
    <w:rsid w:val="00EC42DD"/>
    <w:rsid w:val="00EC457B"/>
    <w:rsid w:val="00EC4F79"/>
    <w:rsid w:val="00ED68B8"/>
    <w:rsid w:val="00EE19D1"/>
    <w:rsid w:val="00EE2ACA"/>
    <w:rsid w:val="00EE4236"/>
    <w:rsid w:val="00EF3E24"/>
    <w:rsid w:val="00EF687D"/>
    <w:rsid w:val="00EF7FD9"/>
    <w:rsid w:val="00F011E3"/>
    <w:rsid w:val="00F03FC6"/>
    <w:rsid w:val="00F11208"/>
    <w:rsid w:val="00F11D67"/>
    <w:rsid w:val="00F165F7"/>
    <w:rsid w:val="00F1736F"/>
    <w:rsid w:val="00F34A6A"/>
    <w:rsid w:val="00F47AFA"/>
    <w:rsid w:val="00F47CEB"/>
    <w:rsid w:val="00F50635"/>
    <w:rsid w:val="00F53D0D"/>
    <w:rsid w:val="00F554F4"/>
    <w:rsid w:val="00F60132"/>
    <w:rsid w:val="00F619CC"/>
    <w:rsid w:val="00F719DC"/>
    <w:rsid w:val="00F71AC2"/>
    <w:rsid w:val="00F730E3"/>
    <w:rsid w:val="00F771A0"/>
    <w:rsid w:val="00F801A0"/>
    <w:rsid w:val="00F86959"/>
    <w:rsid w:val="00F94AFA"/>
    <w:rsid w:val="00FA6F35"/>
    <w:rsid w:val="00FB3317"/>
    <w:rsid w:val="00FC021A"/>
    <w:rsid w:val="00FC3318"/>
    <w:rsid w:val="00FC4469"/>
    <w:rsid w:val="00FC4E71"/>
    <w:rsid w:val="00FC57E0"/>
    <w:rsid w:val="00FD1B20"/>
    <w:rsid w:val="00FD5172"/>
    <w:rsid w:val="00FE6A9C"/>
    <w:rsid w:val="00FF3BEC"/>
    <w:rsid w:val="00FF52A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3308443"/>
  <w15:docId w15:val="{C4B42BF7-609E-497A-B711-27D4E277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 w:eastAsia="en-U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389"/>
    <w:pPr>
      <w:keepNext/>
      <w:outlineLvl w:val="3"/>
    </w:pPr>
    <w:rPr>
      <w:rFonts w:cs="Arial"/>
      <w:sz w:val="32"/>
      <w:szCs w:val="40"/>
      <w:lang w:val="sr-Cyrl-CS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  <w:lang w:val="en-US" w:eastAsia="en-US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9E27E5"/>
    <w:rPr>
      <w:rFonts w:ascii="Courier New" w:hAnsi="Courier New" w:cs="Courier New"/>
      <w:szCs w:val="20"/>
    </w:rPr>
  </w:style>
  <w:style w:type="paragraph" w:styleId="NoSpacing">
    <w:name w:val="No Spacing"/>
    <w:qFormat/>
    <w:rsid w:val="004A2B5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otnoteTextChar">
    <w:name w:val="Footnote Text Char"/>
    <w:link w:val="FootnoteText"/>
    <w:semiHidden/>
    <w:locked/>
    <w:rsid w:val="004A2B55"/>
    <w:rPr>
      <w:rFonts w:ascii="Arial" w:hAnsi="Arial"/>
      <w:lang w:val="en-US" w:eastAsia="en-US" w:bidi="ar-SA"/>
    </w:rPr>
  </w:style>
  <w:style w:type="character" w:styleId="FootnoteReference">
    <w:name w:val="footnote reference"/>
    <w:semiHidden/>
    <w:rsid w:val="004A2B55"/>
    <w:rPr>
      <w:vertAlign w:val="superscript"/>
    </w:rPr>
  </w:style>
  <w:style w:type="paragraph" w:styleId="ListParagraph">
    <w:name w:val="List Paragraph"/>
    <w:basedOn w:val="Normal"/>
    <w:qFormat/>
    <w:rsid w:val="004A2B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71290"/>
    <w:rPr>
      <w:color w:val="0000FF"/>
      <w:u w:val="single"/>
    </w:rPr>
  </w:style>
  <w:style w:type="paragraph" w:customStyle="1" w:styleId="Char">
    <w:name w:val="Ch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paragraph" w:customStyle="1" w:styleId="CarCar">
    <w:name w:val="Car C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character" w:customStyle="1" w:styleId="CharChar5">
    <w:name w:val="Char Char5"/>
    <w:semiHidden/>
    <w:locked/>
    <w:rsid w:val="00101B60"/>
    <w:rPr>
      <w:sz w:val="20"/>
      <w:szCs w:val="20"/>
    </w:rPr>
  </w:style>
  <w:style w:type="character" w:styleId="CommentReference">
    <w:name w:val="annotation reference"/>
    <w:semiHidden/>
    <w:rsid w:val="00062A60"/>
    <w:rPr>
      <w:sz w:val="16"/>
      <w:szCs w:val="16"/>
    </w:rPr>
  </w:style>
  <w:style w:type="paragraph" w:styleId="CommentText">
    <w:name w:val="annotation text"/>
    <w:basedOn w:val="Normal"/>
    <w:semiHidden/>
    <w:rsid w:val="00062A6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62A60"/>
    <w:rPr>
      <w:b/>
      <w:bCs/>
    </w:rPr>
  </w:style>
  <w:style w:type="paragraph" w:styleId="EndnoteText">
    <w:name w:val="endnote text"/>
    <w:basedOn w:val="Normal"/>
    <w:link w:val="EndnoteTextChar"/>
    <w:rsid w:val="00FA6F3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FA6F35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FA6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tasa.mijakovac@stat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a.milosevic.STATSRB\Desktop\Saop&#353;tenja\MustraSaopSCi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rzsftp\SILC$\2019\Za%20saop&#353;tenje\Grafikoni%20za%20saopstenj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rzsftp\SILC$\2019\Za%20saop&#353;tenje\Grafikoni%20za%20saopstenj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rzsftp\SILC$\2019\Za%20saop&#353;tenje\Grafikoni%20za%20saopstenj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rzsftp\SILC$\2019\Za%20saop&#353;tenje\Grafikoni%20za%20saopsten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6733260357841557E-2"/>
          <c:y val="2.8157590759075913E-2"/>
          <c:w val="0.94901333779263053"/>
          <c:h val="0.87684873487348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2'!$C$1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12D65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28,9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563-415B-8AFA-505C0B2CD2D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563-415B-8AFA-505C0B2CD2D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21,9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563-415B-8AFA-505C0B2CD2D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21,7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563-415B-8AFA-505C0B2CD2D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21,1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563-415B-8AFA-505C0B2CD2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2'!$C$2:$C$6</c:f>
              <c:numCache>
                <c:formatCode>0.0</c:formatCode>
                <c:ptCount val="5"/>
                <c:pt idx="0">
                  <c:v>28.9</c:v>
                </c:pt>
                <c:pt idx="1">
                  <c:v>25.6</c:v>
                </c:pt>
                <c:pt idx="2">
                  <c:v>21.9</c:v>
                </c:pt>
                <c:pt idx="3">
                  <c:v>21.7</c:v>
                </c:pt>
                <c:pt idx="4">
                  <c:v>21.1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63-415B-8AFA-505C0B2CD2DB}"/>
            </c:ext>
          </c:extLst>
        </c:ser>
        <c:ser>
          <c:idx val="1"/>
          <c:order val="1"/>
          <c:tx>
            <c:strRef>
              <c:f>'graf 2'!$D$1</c:f>
              <c:strCache>
                <c:ptCount val="1"/>
                <c:pt idx="0">
                  <c:v>Мушко</c:v>
                </c:pt>
              </c:strCache>
            </c:strRef>
          </c:tx>
          <c:spPr>
            <a:solidFill>
              <a:srgbClr val="4F81BD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28,6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563-415B-8AFA-505C0B2CD2D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563-415B-8AFA-505C0B2CD2D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563-415B-8AFA-505C0B2CD2D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563-415B-8AFA-505C0B2CD2D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563-415B-8AFA-505C0B2CD2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2'!$D$2:$D$6</c:f>
              <c:numCache>
                <c:formatCode>0.0</c:formatCode>
                <c:ptCount val="5"/>
                <c:pt idx="0">
                  <c:v>28.6</c:v>
                </c:pt>
                <c:pt idx="1">
                  <c:v>25.2</c:v>
                </c:pt>
                <c:pt idx="2">
                  <c:v>21.2</c:v>
                </c:pt>
                <c:pt idx="3">
                  <c:v>23.9</c:v>
                </c:pt>
                <c:pt idx="4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563-415B-8AFA-505C0B2CD2DB}"/>
            </c:ext>
          </c:extLst>
        </c:ser>
        <c:ser>
          <c:idx val="2"/>
          <c:order val="2"/>
          <c:tx>
            <c:strRef>
              <c:f>'graf 2'!$E$1</c:f>
              <c:strCache>
                <c:ptCount val="1"/>
                <c:pt idx="0">
                  <c:v>Женско</c:v>
                </c:pt>
              </c:strCache>
            </c:strRef>
          </c:tx>
          <c:spPr>
            <a:solidFill>
              <a:srgbClr val="BBF0EA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29,3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563-415B-8AFA-505C0B2CD2D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563-415B-8AFA-505C0B2CD2D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22,6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563-415B-8AFA-505C0B2CD2D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563-415B-8AFA-505C0B2CD2D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23,2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563-415B-8AFA-505C0B2CD2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2'!$E$2:$E$6</c:f>
              <c:numCache>
                <c:formatCode>0.0</c:formatCode>
                <c:ptCount val="5"/>
                <c:pt idx="0">
                  <c:v>29.3</c:v>
                </c:pt>
                <c:pt idx="1">
                  <c:v>26</c:v>
                </c:pt>
                <c:pt idx="2">
                  <c:v>22.6</c:v>
                </c:pt>
                <c:pt idx="3">
                  <c:v>19.7</c:v>
                </c:pt>
                <c:pt idx="4">
                  <c:v>23.2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563-415B-8AFA-505C0B2CD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2254880"/>
        <c:axId val="1802253216"/>
      </c:barChart>
      <c:catAx>
        <c:axId val="18022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253216"/>
        <c:crosses val="autoZero"/>
        <c:auto val="1"/>
        <c:lblAlgn val="ctr"/>
        <c:lblOffset val="100"/>
        <c:noMultiLvlLbl val="0"/>
      </c:catAx>
      <c:valAx>
        <c:axId val="1802253216"/>
        <c:scaling>
          <c:orientation val="minMax"/>
          <c:max val="35"/>
        </c:scaling>
        <c:delete val="1"/>
        <c:axPos val="l"/>
        <c:numFmt formatCode="0.0" sourceLinked="1"/>
        <c:majorTickMark val="none"/>
        <c:minorTickMark val="none"/>
        <c:tickLblPos val="nextTo"/>
        <c:crossAx val="18022548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62200572916666663"/>
          <c:y val="3.1435643564356436E-2"/>
          <c:w val="0.33974362745098041"/>
          <c:h val="8.3604552469135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7196006944444443E-2"/>
          <c:y val="2.8157590759075913E-2"/>
          <c:w val="0.95855052083333336"/>
          <c:h val="0.91035351536736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4'!$C$1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12D65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78A-4794-BE7C-89619343E62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78A-4794-BE7C-89619343E62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47,5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78A-4794-BE7C-89619343E62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17,2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78A-4794-BE7C-89619343E62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33,5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78A-4794-BE7C-89619343E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
неактивни</c:v>
                </c:pt>
              </c:strCache>
            </c:strRef>
          </c:cat>
          <c:val>
            <c:numRef>
              <c:f>'graf 4'!$C$2:$C$6</c:f>
              <c:numCache>
                <c:formatCode>General</c:formatCode>
                <c:ptCount val="5"/>
                <c:pt idx="0">
                  <c:v>6.5</c:v>
                </c:pt>
                <c:pt idx="1">
                  <c:v>25.9</c:v>
                </c:pt>
                <c:pt idx="2">
                  <c:v>47.5</c:v>
                </c:pt>
                <c:pt idx="3">
                  <c:v>17.2</c:v>
                </c:pt>
                <c:pt idx="4">
                  <c:v>33.5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8A-4794-BE7C-89619343E62C}"/>
            </c:ext>
          </c:extLst>
        </c:ser>
        <c:ser>
          <c:idx val="1"/>
          <c:order val="1"/>
          <c:tx>
            <c:strRef>
              <c:f>'graf 4'!$D$1</c:f>
              <c:strCache>
                <c:ptCount val="1"/>
                <c:pt idx="0">
                  <c:v>Мушко</c:v>
                </c:pt>
              </c:strCache>
            </c:strRef>
          </c:tx>
          <c:spPr>
            <a:solidFill>
              <a:srgbClr val="4F81BD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78A-4794-BE7C-89619343E62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78A-4794-BE7C-89619343E62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78A-4794-BE7C-89619343E62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16,0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78A-4794-BE7C-89619343E62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27,4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78A-4794-BE7C-89619343E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
неактивни</c:v>
                </c:pt>
              </c:strCache>
            </c:strRef>
          </c:cat>
          <c:val>
            <c:numRef>
              <c:f>'graf 4'!$D$2:$D$6</c:f>
              <c:numCache>
                <c:formatCode>General</c:formatCode>
                <c:ptCount val="5"/>
                <c:pt idx="0">
                  <c:v>6.6</c:v>
                </c:pt>
                <c:pt idx="1">
                  <c:v>25.5</c:v>
                </c:pt>
                <c:pt idx="2">
                  <c:v>50.5</c:v>
                </c:pt>
                <c:pt idx="3">
                  <c:v>16</c:v>
                </c:pt>
                <c:pt idx="4">
                  <c:v>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78A-4794-BE7C-89619343E62C}"/>
            </c:ext>
          </c:extLst>
        </c:ser>
        <c:ser>
          <c:idx val="2"/>
          <c:order val="2"/>
          <c:tx>
            <c:strRef>
              <c:f>'graf 4'!$E$1</c:f>
              <c:strCache>
                <c:ptCount val="1"/>
                <c:pt idx="0">
                  <c:v>Женско</c:v>
                </c:pt>
              </c:strCache>
            </c:strRef>
          </c:tx>
          <c:spPr>
            <a:solidFill>
              <a:srgbClr val="BBF0EA">
                <a:alpha val="75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78A-4794-BE7C-89619343E62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78A-4794-BE7C-89619343E62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44,4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78A-4794-BE7C-89619343E62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18,2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78A-4794-BE7C-89619343E62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35,8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78A-4794-BE7C-89619343E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
неактивни</c:v>
                </c:pt>
              </c:strCache>
            </c:strRef>
          </c:cat>
          <c:val>
            <c:numRef>
              <c:f>'graf 4'!$E$2:$E$6</c:f>
              <c:numCache>
                <c:formatCode>General</c:formatCode>
                <c:ptCount val="5"/>
                <c:pt idx="0">
                  <c:v>6.4</c:v>
                </c:pt>
                <c:pt idx="1">
                  <c:v>26.9</c:v>
                </c:pt>
                <c:pt idx="2">
                  <c:v>44.4</c:v>
                </c:pt>
                <c:pt idx="3">
                  <c:v>18.2</c:v>
                </c:pt>
                <c:pt idx="4">
                  <c:v>35.799999999999997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78A-4794-BE7C-89619343E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2254880"/>
        <c:axId val="1802253216"/>
      </c:barChart>
      <c:catAx>
        <c:axId val="18022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253216"/>
        <c:crosses val="autoZero"/>
        <c:auto val="1"/>
        <c:lblAlgn val="ctr"/>
        <c:lblOffset val="100"/>
        <c:noMultiLvlLbl val="0"/>
      </c:catAx>
      <c:valAx>
        <c:axId val="1802253216"/>
        <c:scaling>
          <c:orientation val="minMax"/>
          <c:max val="55"/>
        </c:scaling>
        <c:delete val="1"/>
        <c:axPos val="l"/>
        <c:numFmt formatCode="General" sourceLinked="1"/>
        <c:majorTickMark val="none"/>
        <c:minorTickMark val="none"/>
        <c:tickLblPos val="nextTo"/>
        <c:crossAx val="18022548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58893281249999996"/>
          <c:y val="2.8085213032581449E-2"/>
          <c:w val="0.36097760416666669"/>
          <c:h val="6.0195277777777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47051027170312"/>
          <c:y val="1.5974141578429704E-2"/>
          <c:w val="0.65491346714190835"/>
          <c:h val="0.866044609340605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4CFB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0C4-4414-8209-6A0D6A06AEAC}"/>
              </c:ext>
            </c:extLst>
          </c:dPt>
          <c:dPt>
            <c:idx val="1"/>
            <c:invertIfNegative val="0"/>
            <c:bubble3D val="0"/>
            <c:spPr>
              <a:solidFill>
                <a:srgbClr val="00998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0C4-4414-8209-6A0D6A06AEAC}"/>
              </c:ext>
            </c:extLst>
          </c:dPt>
          <c:dPt>
            <c:idx val="2"/>
            <c:invertIfNegative val="0"/>
            <c:bubble3D val="0"/>
            <c:spPr>
              <a:solidFill>
                <a:srgbClr val="1A564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0C4-4414-8209-6A0D6A06AEAC}"/>
              </c:ext>
            </c:extLst>
          </c:dPt>
          <c:dPt>
            <c:idx val="3"/>
            <c:invertIfNegative val="0"/>
            <c:bubble3D val="0"/>
            <c:spPr>
              <a:solidFill>
                <a:srgbClr val="BCC2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0C4-4414-8209-6A0D6A06AEAC}"/>
              </c:ext>
            </c:extLst>
          </c:dPt>
          <c:dPt>
            <c:idx val="4"/>
            <c:invertIfNegative val="0"/>
            <c:bubble3D val="0"/>
            <c:spPr>
              <a:solidFill>
                <a:srgbClr val="95B5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0C4-4414-8209-6A0D6A06AEAC}"/>
              </c:ext>
            </c:extLst>
          </c:dPt>
          <c:dPt>
            <c:idx val="5"/>
            <c:invertIfNegative val="0"/>
            <c:bubble3D val="0"/>
            <c:spPr>
              <a:solidFill>
                <a:srgbClr val="4F81B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0C4-4414-8209-6A0D6A06AEA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0C4-4414-8209-6A0D6A06AEA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0C4-4414-8209-6A0D6A06AEA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4-4414-8209-6A0D6A06AEA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4-4414-8209-6A0D6A06AEA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0C4-4414-8209-6A0D6A06AEAC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0C4-4414-8209-6A0D6A06AE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5 и 6'!$M$2:$M$7</c:f>
              <c:strCache>
                <c:ptCount val="6"/>
                <c:pt idx="0">
                  <c:v>Веома 
лако</c:v>
                </c:pt>
                <c:pt idx="1">
                  <c:v>Лако</c:v>
                </c:pt>
                <c:pt idx="2">
                  <c:v>Прилично 
лако</c:v>
                </c:pt>
                <c:pt idx="3">
                  <c:v>Веома 
тешко</c:v>
                </c:pt>
                <c:pt idx="4">
                  <c:v>Тешко</c:v>
                </c:pt>
                <c:pt idx="5">
                  <c:v>Са извесним 
тешкоћама</c:v>
                </c:pt>
              </c:strCache>
            </c:strRef>
          </c:cat>
          <c:val>
            <c:numRef>
              <c:f>'граф 5 и 6'!$N$2:$N$7</c:f>
              <c:numCache>
                <c:formatCode>0.0</c:formatCode>
                <c:ptCount val="6"/>
                <c:pt idx="0">
                  <c:v>0.5</c:v>
                </c:pt>
                <c:pt idx="1">
                  <c:v>3</c:v>
                </c:pt>
                <c:pt idx="2">
                  <c:v>7.1</c:v>
                </c:pt>
                <c:pt idx="3">
                  <c:v>14.8</c:v>
                </c:pt>
                <c:pt idx="4">
                  <c:v>31.9</c:v>
                </c:pt>
                <c:pt idx="5">
                  <c:v>42.7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0C4-4414-8209-6A0D6A06A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560475103"/>
        <c:axId val="560459711"/>
      </c:barChart>
      <c:catAx>
        <c:axId val="560475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459711"/>
        <c:crosses val="autoZero"/>
        <c:auto val="1"/>
        <c:lblAlgn val="ctr"/>
        <c:lblOffset val="100"/>
        <c:noMultiLvlLbl val="0"/>
      </c:catAx>
      <c:valAx>
        <c:axId val="560459711"/>
        <c:scaling>
          <c:orientation val="minMax"/>
        </c:scaling>
        <c:delete val="0"/>
        <c:axPos val="b"/>
        <c:numFmt formatCode="#,#00%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47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47051027170312"/>
          <c:y val="1.1984473079710595E-2"/>
          <c:w val="0.60758117958913194"/>
          <c:h val="0.988015648987272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CC2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ACA-4D05-A7E9-749C5223FE55}"/>
              </c:ext>
            </c:extLst>
          </c:dPt>
          <c:dPt>
            <c:idx val="1"/>
            <c:invertIfNegative val="0"/>
            <c:bubble3D val="0"/>
            <c:spPr>
              <a:solidFill>
                <a:srgbClr val="95B5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ACA-4D05-A7E9-749C5223FE5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ACA-4D05-A7E9-749C5223FE5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CA-4D05-A7E9-749C5223FE5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ACA-4D05-A7E9-749C5223FE5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ACA-4D05-A7E9-749C5223FE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5 и 6'!$M$23:$M$25</c:f>
              <c:strCache>
                <c:ptCount val="3"/>
                <c:pt idx="0">
                  <c:v>Не оптерећују га уопште</c:v>
                </c:pt>
                <c:pt idx="1">
                  <c:v>У извесној мери га оптерећују</c:v>
                </c:pt>
                <c:pt idx="2">
                  <c:v>Знатно га оптерећују</c:v>
                </c:pt>
              </c:strCache>
            </c:strRef>
          </c:cat>
          <c:val>
            <c:numRef>
              <c:f>'граф 5 и 6'!$N$23:$N$25</c:f>
              <c:numCache>
                <c:formatCode>#,##0.0</c:formatCode>
                <c:ptCount val="3"/>
                <c:pt idx="0">
                  <c:v>4.0999999999999996</c:v>
                </c:pt>
                <c:pt idx="1">
                  <c:v>37.1</c:v>
                </c:pt>
                <c:pt idx="2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CA-4D05-A7E9-749C5223F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560475103"/>
        <c:axId val="560459711"/>
      </c:barChart>
      <c:catAx>
        <c:axId val="560475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459711"/>
        <c:crosses val="autoZero"/>
        <c:auto val="1"/>
        <c:lblAlgn val="ctr"/>
        <c:lblOffset val="100"/>
        <c:noMultiLvlLbl val="0"/>
      </c:catAx>
      <c:valAx>
        <c:axId val="560459711"/>
        <c:scaling>
          <c:orientation val="minMax"/>
        </c:scaling>
        <c:delete val="0"/>
        <c:axPos val="b"/>
        <c:numFmt formatCode="#,#00%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47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F994-6C04-4E37-8233-AA8040CF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MustraSaopSCir</Template>
  <TotalTime>707</TotalTime>
  <Pages>6</Pages>
  <Words>1965</Words>
  <Characters>11542</Characters>
  <Application>Microsoft Office Word</Application>
  <DocSecurity>0</DocSecurity>
  <Lines>524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13085</CharactersWithSpaces>
  <SharedDoc>false</SharedDoc>
  <HLinks>
    <vt:vector size="6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mailto:tijana.comic@stat.gov.rs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Dragana Steljic</cp:lastModifiedBy>
  <cp:revision>101</cp:revision>
  <cp:lastPrinted>2020-10-14T11:11:00Z</cp:lastPrinted>
  <dcterms:created xsi:type="dcterms:W3CDTF">2019-01-08T12:48:00Z</dcterms:created>
  <dcterms:modified xsi:type="dcterms:W3CDTF">2020-10-15T07:27:00Z</dcterms:modified>
</cp:coreProperties>
</file>