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FC" w:rsidRPr="0098390D" w:rsidRDefault="00DA51FC" w:rsidP="0098390D">
      <w:pPr>
        <w:spacing w:before="120" w:after="120" w:line="240" w:lineRule="auto"/>
        <w:jc w:val="both"/>
        <w:rPr>
          <w:rFonts w:asciiTheme="majorHAnsi" w:hAnsiTheme="majorHAnsi" w:cstheme="majorHAnsi"/>
          <w:color w:val="003399"/>
          <w:sz w:val="30"/>
          <w:szCs w:val="30"/>
          <w:lang w:val="sr-Cyrl-RS"/>
        </w:rPr>
      </w:pPr>
      <w:r w:rsidRPr="0098390D">
        <w:rPr>
          <w:rFonts w:asciiTheme="majorHAnsi" w:hAnsiTheme="majorHAnsi" w:cstheme="majorHAnsi"/>
          <w:color w:val="003399"/>
          <w:sz w:val="30"/>
          <w:szCs w:val="30"/>
          <w:lang w:val="sr-Cyrl-RS"/>
        </w:rPr>
        <w:t>Различити концепти запослености  ̶</w:t>
      </w:r>
      <w:r w:rsidRPr="0098390D">
        <w:rPr>
          <w:rFonts w:asciiTheme="majorHAnsi" w:hAnsiTheme="majorHAnsi" w:cstheme="majorHAnsi"/>
          <w:color w:val="003399"/>
          <w:sz w:val="30"/>
          <w:szCs w:val="30"/>
          <w:lang w:val="sr-Cyrl-RS"/>
        </w:rPr>
        <w:t xml:space="preserve"> </w:t>
      </w:r>
      <w:r w:rsidRPr="0098390D">
        <w:rPr>
          <w:rFonts w:asciiTheme="majorHAnsi" w:hAnsiTheme="majorHAnsi" w:cstheme="majorHAnsi"/>
          <w:color w:val="003399"/>
          <w:sz w:val="30"/>
          <w:szCs w:val="30"/>
          <w:lang w:val="sr-Cyrl-RS"/>
        </w:rPr>
        <w:t xml:space="preserve"> регистрована и анкетна запосленост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Републички завод за статистику прати кретање запослености из два извора – из Истраживања о регистрованој запослености и из Анкете о радној снази.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color w:val="003399"/>
          <w:u w:val="single"/>
          <w:lang w:val="sr-Cyrl-RS"/>
        </w:rPr>
        <w:t>Истраживање о</w:t>
      </w:r>
      <w:r w:rsidRPr="004E69A3">
        <w:rPr>
          <w:rFonts w:asciiTheme="majorHAnsi" w:hAnsiTheme="majorHAnsi" w:cstheme="majorHAnsi"/>
          <w:b/>
          <w:color w:val="003399"/>
          <w:u w:val="single"/>
          <w:lang w:val="sr-Cyrl-RS"/>
        </w:rPr>
        <w:t xml:space="preserve"> </w:t>
      </w:r>
      <w:r w:rsidRPr="004E69A3">
        <w:rPr>
          <w:rFonts w:asciiTheme="majorHAnsi" w:hAnsiTheme="majorHAnsi" w:cstheme="majorHAnsi"/>
          <w:color w:val="003399"/>
          <w:u w:val="single"/>
          <w:lang w:val="sr-Cyrl-RS"/>
        </w:rPr>
        <w:t>регистрованој запослености</w:t>
      </w:r>
      <w:r w:rsidRPr="004E69A3">
        <w:rPr>
          <w:rFonts w:asciiTheme="majorHAnsi" w:hAnsiTheme="majorHAnsi" w:cstheme="majorHAnsi"/>
          <w:color w:val="003399"/>
          <w:lang w:val="sr-Cyrl-RS"/>
        </w:rPr>
        <w:t>,</w:t>
      </w:r>
      <w:r w:rsidRPr="00DA51FC">
        <w:rPr>
          <w:rFonts w:asciiTheme="majorHAnsi" w:hAnsiTheme="majorHAnsi" w:cstheme="majorHAnsi"/>
          <w:lang w:val="sr-Cyrl-RS"/>
        </w:rPr>
        <w:t xml:space="preserve"> базирано на евиденцијама ЦРОСО и СПР, обезбеђује податке о регистрованој запослености.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color w:val="003399"/>
          <w:u w:val="single"/>
          <w:lang w:val="sr-Cyrl-RS"/>
        </w:rPr>
        <w:t>Анкета о радној снази (Анкета)</w:t>
      </w:r>
      <w:r w:rsidRPr="004E69A3">
        <w:rPr>
          <w:rFonts w:asciiTheme="majorHAnsi" w:hAnsiTheme="majorHAnsi" w:cstheme="majorHAnsi"/>
          <w:color w:val="003399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се спроводи на годишњем узорку од око 65 000 домаћинстава, с циљем да обезбеди податке о тзв. анкетној запослености, обухватајући притом формалну и неформалну запосленост.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</w:p>
    <w:p w:rsidR="00DA51FC" w:rsidRPr="00BB7EC2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color w:val="003399"/>
          <w:sz w:val="26"/>
          <w:szCs w:val="26"/>
          <w:lang w:val="sr-Cyrl-RS"/>
        </w:rPr>
      </w:pPr>
      <w:r w:rsidRPr="00BB7EC2">
        <w:rPr>
          <w:rFonts w:asciiTheme="majorHAnsi" w:hAnsiTheme="majorHAnsi" w:cstheme="majorHAnsi"/>
          <w:color w:val="003399"/>
          <w:sz w:val="26"/>
          <w:szCs w:val="26"/>
          <w:lang w:val="sr-Cyrl-RS"/>
        </w:rPr>
        <w:t>Дефиниције регистроване и анкетне запослености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u w:val="single"/>
          <w:lang w:val="sr-Cyrl-RS"/>
        </w:rPr>
        <w:t>Регистрована запосленост</w:t>
      </w:r>
      <w:r w:rsidRPr="004E69A3"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обухвата сва лица која у ЦРОСО имају статус: (1) запослених у радном односу (на одређено или неодређено време); (2) запослених ван радног односа (на основу уговора о делу или уговора о обављању привремених и повремених послова); (3) запослених који обављају самосталне делатности; (4) оснивача привредних друштава или предузетничких радњи; (5) индивидуалних пољопривредника до 65 година старости.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u w:val="single"/>
          <w:lang w:val="sr-Cyrl-RS"/>
        </w:rPr>
        <w:t>Анкетна запосленост</w:t>
      </w:r>
      <w:r w:rsidRPr="00DA51FC">
        <w:rPr>
          <w:rFonts w:asciiTheme="majorHAnsi" w:hAnsiTheme="majorHAnsi" w:cstheme="majorHAnsi"/>
          <w:lang w:val="sr-Cyrl-RS"/>
        </w:rPr>
        <w:t>, у складу са дефиницијом Евростата и Међународне организације рада, обухвата сва лица која су најмање један сат у посматраној седмици обављала плаћени посао (у новцу или натури) за послодавца, самостално или као помажући чланови домаћинства, као и лица која имају посао са кога су одсутна, а за који имају гаранцију повратка.</w:t>
      </w: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</w:p>
    <w:p w:rsidR="00DA51FC" w:rsidRPr="009268C6" w:rsidRDefault="00DA51FC" w:rsidP="009268C6">
      <w:pPr>
        <w:spacing w:before="120" w:after="120" w:line="240" w:lineRule="auto"/>
        <w:rPr>
          <w:rFonts w:asciiTheme="majorHAnsi" w:hAnsiTheme="majorHAnsi" w:cstheme="majorHAnsi"/>
          <w:color w:val="003399"/>
          <w:sz w:val="26"/>
          <w:szCs w:val="26"/>
          <w:lang w:val="sr-Cyrl-RS"/>
        </w:rPr>
      </w:pPr>
      <w:r w:rsidRPr="009268C6">
        <w:rPr>
          <w:rFonts w:asciiTheme="majorHAnsi" w:hAnsiTheme="majorHAnsi" w:cstheme="majorHAnsi"/>
          <w:color w:val="003399"/>
          <w:sz w:val="26"/>
          <w:szCs w:val="26"/>
          <w:lang w:val="sr-Cyrl-RS"/>
        </w:rPr>
        <w:t xml:space="preserve">У којим ситуацијама је адекватније користити податке о регистрованој, </w:t>
      </w:r>
      <w:r w:rsidR="009268C6">
        <w:rPr>
          <w:rFonts w:asciiTheme="majorHAnsi" w:hAnsiTheme="majorHAnsi" w:cstheme="majorHAnsi"/>
          <w:color w:val="003399"/>
          <w:sz w:val="26"/>
          <w:szCs w:val="26"/>
          <w:lang w:val="sr-Cyrl-RS"/>
        </w:rPr>
        <w:t xml:space="preserve">                                                           </w:t>
      </w:r>
      <w:r w:rsidRPr="009268C6">
        <w:rPr>
          <w:rFonts w:asciiTheme="majorHAnsi" w:hAnsiTheme="majorHAnsi" w:cstheme="majorHAnsi"/>
          <w:color w:val="003399"/>
          <w:sz w:val="26"/>
          <w:szCs w:val="26"/>
          <w:lang w:val="sr-Cyrl-RS"/>
        </w:rPr>
        <w:t>а у којим о анкетној запослености</w:t>
      </w:r>
    </w:p>
    <w:p w:rsidR="00CE3E9F" w:rsidRPr="00DA51FC" w:rsidRDefault="00CE3E9F" w:rsidP="00CE3E9F">
      <w:pPr>
        <w:spacing w:before="120" w:after="120" w:line="240" w:lineRule="auto"/>
        <w:ind w:left="170" w:hanging="170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lang w:val="sr-Cyrl-RS"/>
        </w:rPr>
        <w:t>Регистровану запосленост</w:t>
      </w:r>
      <w:r w:rsidRPr="00DA51FC">
        <w:rPr>
          <w:rFonts w:asciiTheme="majorHAnsi" w:hAnsiTheme="majorHAnsi" w:cstheme="majorHAnsi"/>
          <w:lang w:val="sr-Cyrl-RS"/>
        </w:rPr>
        <w:t xml:space="preserve"> треба користити:</w:t>
      </w:r>
    </w:p>
    <w:p w:rsidR="00CE3E9F" w:rsidRPr="00DA51FC" w:rsidRDefault="00CE3E9F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прецизно мерење повећања/смањења запослености у одређеном периоду;</w:t>
      </w:r>
    </w:p>
    <w:p w:rsidR="00CE3E9F" w:rsidRPr="00DA51FC" w:rsidRDefault="00CE3E9F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добијање информација о регистрованом броју запослених у радном односу и ван радног односа;</w:t>
      </w:r>
    </w:p>
    <w:p w:rsidR="00CE3E9F" w:rsidRPr="00DA51FC" w:rsidRDefault="00CE3E9F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добијање информација о броју запослених на нижим територијалним нивоима (до нивоа општина);</w:t>
      </w:r>
    </w:p>
    <w:p w:rsidR="00CE3E9F" w:rsidRPr="00DA51FC" w:rsidRDefault="00CE3E9F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добијање информација о броју запослених на нивоу сектора и области делатности;</w:t>
      </w:r>
    </w:p>
    <w:p w:rsidR="00CE3E9F" w:rsidRPr="00DA51FC" w:rsidRDefault="00CE3E9F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мерење запослености у јавном сектору.</w:t>
      </w:r>
    </w:p>
    <w:p w:rsidR="00CE3E9F" w:rsidRPr="004E69A3" w:rsidRDefault="00CE3E9F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</w:p>
    <w:p w:rsidR="00DA51FC" w:rsidRPr="00DA51FC" w:rsidRDefault="00DA51FC" w:rsidP="00DA51FC">
      <w:pPr>
        <w:spacing w:before="120" w:after="120" w:line="240" w:lineRule="auto"/>
        <w:jc w:val="both"/>
        <w:rPr>
          <w:rFonts w:asciiTheme="majorHAnsi" w:hAnsiTheme="majorHAnsi" w:cstheme="majorHAnsi"/>
          <w:lang w:val="sr-Cyrl-RS"/>
        </w:rPr>
      </w:pPr>
      <w:r w:rsidRPr="004E69A3">
        <w:rPr>
          <w:rFonts w:asciiTheme="majorHAnsi" w:hAnsiTheme="majorHAnsi" w:cstheme="majorHAnsi"/>
          <w:lang w:val="sr-Cyrl-RS"/>
        </w:rPr>
        <w:t>Анкетну запосленост</w:t>
      </w:r>
      <w:r w:rsidRPr="00DA51FC">
        <w:rPr>
          <w:rFonts w:asciiTheme="majorHAnsi" w:hAnsiTheme="majorHAnsi" w:cstheme="majorHAnsi"/>
          <w:lang w:val="sr-Cyrl-RS"/>
        </w:rPr>
        <w:t xml:space="preserve"> треба користити:</w:t>
      </w:r>
    </w:p>
    <w:p w:rsidR="00DA51FC" w:rsidRPr="00DA51FC" w:rsidRDefault="009268C6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 xml:space="preserve">• </w:t>
      </w:r>
      <w:r w:rsidR="00DA51FC" w:rsidRPr="00DA51FC">
        <w:rPr>
          <w:rFonts w:asciiTheme="majorHAnsi" w:hAnsiTheme="majorHAnsi" w:cstheme="majorHAnsi"/>
          <w:lang w:val="sr-Cyrl-RS"/>
        </w:rPr>
        <w:t>за сагледавање укупне запослености, укључујући и неформалну запосленост за коју је Анкета једини извор информација;</w:t>
      </w:r>
    </w:p>
    <w:p w:rsidR="00DA51FC" w:rsidRPr="00DA51FC" w:rsidRDefault="00DA51FC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 w:rsidR="009268C6"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добијање информација о квалитету запослености (запосленост на одређено/неодређено време или привремена/повремена и сезонска запосленост, самозапосленост, рад ноћу / викендом / од куће, број плаћених/неплаћених прековремених часова рада итд.);</w:t>
      </w:r>
    </w:p>
    <w:p w:rsidR="00DA51FC" w:rsidRPr="00DA51FC" w:rsidRDefault="00DA51FC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 w:rsidR="009268C6">
        <w:rPr>
          <w:rFonts w:asciiTheme="majorHAnsi" w:hAnsiTheme="majorHAnsi" w:cstheme="majorHAnsi"/>
          <w:lang w:val="sr-Cyrl-RS"/>
        </w:rPr>
        <w:t xml:space="preserve"> </w:t>
      </w:r>
      <w:r w:rsidRPr="00DA51FC">
        <w:rPr>
          <w:rFonts w:asciiTheme="majorHAnsi" w:hAnsiTheme="majorHAnsi" w:cstheme="majorHAnsi"/>
          <w:lang w:val="sr-Cyrl-RS"/>
        </w:rPr>
        <w:t>за добијање информација о структури запослених према степену образовања и занимањима;</w:t>
      </w:r>
    </w:p>
    <w:p w:rsidR="00224CAF" w:rsidRPr="00CE3E9F" w:rsidRDefault="00DA51FC" w:rsidP="004E69A3">
      <w:pPr>
        <w:spacing w:before="60" w:after="60" w:line="240" w:lineRule="auto"/>
        <w:ind w:left="283" w:hanging="170"/>
        <w:jc w:val="both"/>
        <w:rPr>
          <w:rFonts w:asciiTheme="majorHAnsi" w:hAnsiTheme="majorHAnsi" w:cstheme="majorHAnsi"/>
          <w:lang w:val="sr-Cyrl-RS"/>
        </w:rPr>
      </w:pPr>
      <w:r w:rsidRPr="00DA51FC">
        <w:rPr>
          <w:rFonts w:asciiTheme="majorHAnsi" w:hAnsiTheme="majorHAnsi" w:cstheme="majorHAnsi"/>
          <w:lang w:val="sr-Cyrl-RS"/>
        </w:rPr>
        <w:t>•</w:t>
      </w:r>
      <w:r w:rsidR="009268C6">
        <w:rPr>
          <w:rFonts w:asciiTheme="majorHAnsi" w:hAnsiTheme="majorHAnsi" w:cstheme="majorHAnsi"/>
          <w:lang w:val="sr-Cyrl-RS"/>
        </w:rPr>
        <w:t xml:space="preserve"> </w:t>
      </w:r>
      <w:r w:rsidR="00CE3E9F">
        <w:rPr>
          <w:rFonts w:asciiTheme="majorHAnsi" w:hAnsiTheme="majorHAnsi" w:cstheme="majorHAnsi"/>
          <w:lang w:val="sr-Cyrl-RS"/>
        </w:rPr>
        <w:t>за међународно поређење.</w:t>
      </w:r>
    </w:p>
    <w:p w:rsidR="005607F0" w:rsidRPr="00DA51FC" w:rsidRDefault="005607F0" w:rsidP="00DA51FC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:rsidR="009268C6" w:rsidRPr="00AF7A13" w:rsidRDefault="009268C6" w:rsidP="009268C6">
      <w:pPr>
        <w:pStyle w:val="Heading2"/>
        <w:rPr>
          <w:b w:val="0"/>
          <w:color w:val="003399"/>
        </w:rPr>
      </w:pPr>
      <w:r w:rsidRPr="00AF7A13">
        <w:rPr>
          <w:b w:val="0"/>
          <w:color w:val="003399"/>
        </w:rPr>
        <w:lastRenderedPageBreak/>
        <w:t>Концептуалне разлике између регистроване и</w:t>
      </w:r>
      <w:r w:rsidR="00AF7A13">
        <w:rPr>
          <w:b w:val="0"/>
          <w:color w:val="003399"/>
        </w:rPr>
        <w:t xml:space="preserve"> </w:t>
      </w:r>
      <w:r w:rsidRPr="00AF7A13">
        <w:rPr>
          <w:b w:val="0"/>
          <w:color w:val="003399"/>
        </w:rPr>
        <w:t>формалне анкетне запослености</w:t>
      </w:r>
    </w:p>
    <w:p w:rsidR="009268C6" w:rsidRPr="009268C6" w:rsidRDefault="009268C6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>Регистрована запосленост је пописног типа. Дакле, обухвата све запослене који су регистровани у ЦРОСО и осигурани по основу запослења у активним пословним субјектима (према информацијама из СПР-а).</w:t>
      </w:r>
    </w:p>
    <w:p w:rsidR="009268C6" w:rsidRPr="009268C6" w:rsidRDefault="009268C6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>Анкетна запосленост представља оцену запослености добијену на бази одговора испитаника изабраних у узорак. Дакле, подложна је узорачким и неузорачким грешкама (обухват, мерење, неодговор итд.).</w:t>
      </w:r>
    </w:p>
    <w:p w:rsidR="009268C6" w:rsidRPr="009268C6" w:rsidRDefault="009268C6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>Поред неформалне запослености, за коју је Анкета једини извор информација, ова анкета мери и формалну запосленост која се може упоредити, због сличних дефиниција, са регистрованом запосленошћу.</w:t>
      </w:r>
    </w:p>
    <w:p w:rsidR="009268C6" w:rsidRPr="009268C6" w:rsidRDefault="009268C6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>За разлику од регистроване запослености, где се право на социјално осигурање подразумева, формална запосленост из Анкете подразумева да постоји уговор о раду између послодавца и запосленог али право запосленог на социјално осигурање није обавезан критеријум. То је и најзначајнија разлика између регистроване запослености и формалне запослености из Анкете.</w:t>
      </w:r>
    </w:p>
    <w:p w:rsidR="009268C6" w:rsidRPr="009268C6" w:rsidRDefault="009268C6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>Други фактор који утиче на постојање разлике између регистроване и формалне запослености је временска тачка. Наиме, регистрована запосленост представља стање у регистрима ЦРОСО и СПР-а претпоследњег дана у месецу, док се Анкета спроводи у континуитету, током целе године. Тако се нпр. може десити да лице које је радило првих петнаест дана у месецу и које је у том периоду анкетирано, а затим се пријавило у Националној служби за запошљавање, на чијој је евиденцији остало до краја тог месеца, има статус запосленог у Анкети, док ће у ЦРОСО имати статус незапосленог, па самим тим неће бити обухваћено Истраживањем о регистрованој запослености.</w:t>
      </w:r>
    </w:p>
    <w:p w:rsidR="009268C6" w:rsidRPr="009268C6" w:rsidRDefault="009268C6" w:rsidP="009268C6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9268C6">
        <w:rPr>
          <w:rFonts w:asciiTheme="majorHAnsi" w:hAnsiTheme="majorHAnsi" w:cstheme="majorHAnsi"/>
        </w:rPr>
        <w:t xml:space="preserve">Поред наведених, у </w:t>
      </w:r>
      <w:r w:rsidRPr="00BB7EC2">
        <w:rPr>
          <w:rFonts w:asciiTheme="majorHAnsi" w:hAnsiTheme="majorHAnsi" w:cstheme="majorHAnsi"/>
          <w:color w:val="003399"/>
        </w:rPr>
        <w:t xml:space="preserve">табели 1 </w:t>
      </w:r>
      <w:r w:rsidRPr="009268C6">
        <w:rPr>
          <w:rFonts w:asciiTheme="majorHAnsi" w:hAnsiTheme="majorHAnsi" w:cstheme="majorHAnsi"/>
        </w:rPr>
        <w:t>наведене су и друге разлике између ова два концепта запослености: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3"/>
        <w:gridCol w:w="3302"/>
        <w:gridCol w:w="3201"/>
      </w:tblGrid>
      <w:tr w:rsidR="00CE3E9F" w:rsidRPr="00CE3E9F" w:rsidTr="00CE3E9F">
        <w:tc>
          <w:tcPr>
            <w:tcW w:w="3073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</w:tcPr>
          <w:p w:rsidR="00CE3E9F" w:rsidRPr="00CE3E9F" w:rsidRDefault="00CE3E9F" w:rsidP="00CE3E9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sr-Latn-RS"/>
              </w:rPr>
            </w:pPr>
          </w:p>
        </w:tc>
        <w:tc>
          <w:tcPr>
            <w:tcW w:w="3302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</w:tcPr>
          <w:p w:rsidR="00CE3E9F" w:rsidRPr="00CE3E9F" w:rsidRDefault="00CE3E9F" w:rsidP="00CE3E9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 xml:space="preserve">Регистрована запосленост </w:t>
            </w:r>
            <w:r w:rsidRPr="00CE3E9F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                   </w:t>
            </w: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(ЦРОСО + СПР)</w:t>
            </w:r>
          </w:p>
        </w:tc>
        <w:tc>
          <w:tcPr>
            <w:tcW w:w="3201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</w:tcPr>
          <w:p w:rsidR="00CE3E9F" w:rsidRPr="00CE3E9F" w:rsidRDefault="00CE3E9F" w:rsidP="00CE3E9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Формална запосленост</w:t>
            </w:r>
          </w:p>
          <w:p w:rsidR="00CE3E9F" w:rsidRPr="00CE3E9F" w:rsidRDefault="00CE3E9F" w:rsidP="00CE3E9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(Анкета)</w:t>
            </w:r>
          </w:p>
        </w:tc>
      </w:tr>
      <w:tr w:rsidR="00CE3E9F" w:rsidRPr="00CE3E9F" w:rsidTr="00CE3E9F">
        <w:tc>
          <w:tcPr>
            <w:tcW w:w="3073" w:type="dxa"/>
            <w:tcBorders>
              <w:top w:val="single" w:sz="4" w:space="0" w:color="2B71AC"/>
            </w:tcBorders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sr-Latn-RS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Лице које се води као запослено у пословном субјекту који је у стечају</w:t>
            </w:r>
          </w:p>
        </w:tc>
        <w:tc>
          <w:tcPr>
            <w:tcW w:w="3302" w:type="dxa"/>
            <w:tcBorders>
              <w:top w:val="single" w:sz="4" w:space="0" w:color="2B71AC"/>
            </w:tcBorders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3201" w:type="dxa"/>
            <w:tcBorders>
              <w:top w:val="single" w:sz="4" w:space="0" w:color="2B71AC"/>
            </w:tcBorders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+/-</w:t>
            </w:r>
          </w:p>
        </w:tc>
      </w:tr>
      <w:tr w:rsidR="00CE3E9F" w:rsidRPr="00CE3E9F" w:rsidTr="00CE3E9F">
        <w:tc>
          <w:tcPr>
            <w:tcW w:w="3073" w:type="dxa"/>
            <w:shd w:val="clear" w:color="auto" w:fill="F2F2F2" w:themeFill="background1" w:themeFillShade="F2"/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Индивидуални пољопривредници старији од 65 година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</w:tr>
      <w:tr w:rsidR="00CE3E9F" w:rsidRPr="00CE3E9F" w:rsidTr="00CE3E9F">
        <w:tc>
          <w:tcPr>
            <w:tcW w:w="3073" w:type="dxa"/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Пензионери који раде на основу уговора о делу</w:t>
            </w:r>
          </w:p>
        </w:tc>
        <w:tc>
          <w:tcPr>
            <w:tcW w:w="3302" w:type="dxa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01" w:type="dxa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</w:tr>
      <w:tr w:rsidR="00CE3E9F" w:rsidRPr="00CE3E9F" w:rsidTr="00CE3E9F">
        <w:tc>
          <w:tcPr>
            <w:tcW w:w="3073" w:type="dxa"/>
            <w:shd w:val="clear" w:color="auto" w:fill="F2F2F2" w:themeFill="background1" w:themeFillShade="F2"/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Труднице фиктивно пријављене као запослене код послодавца да би оствариле право на плаћено трудничко/породиљско боловање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CE3E9F" w:rsidRPr="00CE3E9F" w:rsidTr="00CE3E9F">
        <w:tc>
          <w:tcPr>
            <w:tcW w:w="3073" w:type="dxa"/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Запослена лица која имају уговор са послодавцем али не остварују право на социјално осигурање</w:t>
            </w:r>
          </w:p>
        </w:tc>
        <w:tc>
          <w:tcPr>
            <w:tcW w:w="3302" w:type="dxa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01" w:type="dxa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+/-</w:t>
            </w:r>
          </w:p>
        </w:tc>
      </w:tr>
      <w:tr w:rsidR="00CE3E9F" w:rsidRPr="00CE3E9F" w:rsidTr="00CE3E9F">
        <w:tc>
          <w:tcPr>
            <w:tcW w:w="3073" w:type="dxa"/>
            <w:shd w:val="clear" w:color="auto" w:fill="F2F2F2" w:themeFill="background1" w:themeFillShade="F2"/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Индивидуални пољопривредници који су пољопривредно газдинство регистровали у Управи за трезор</w:t>
            </w: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+/-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</w:tr>
      <w:tr w:rsidR="00CE3E9F" w:rsidRPr="00CE3E9F" w:rsidTr="00CE3E9F">
        <w:tc>
          <w:tcPr>
            <w:tcW w:w="3073" w:type="dxa"/>
            <w:tcBorders>
              <w:bottom w:val="single" w:sz="4" w:space="0" w:color="2B71AC"/>
            </w:tcBorders>
          </w:tcPr>
          <w:p w:rsidR="00CE3E9F" w:rsidRPr="00CE3E9F" w:rsidRDefault="00CE3E9F" w:rsidP="004E69A3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Лица која посао обављају од куће, путем интернета, за страног послодавца (са којим имају уговор)</w:t>
            </w:r>
          </w:p>
        </w:tc>
        <w:tc>
          <w:tcPr>
            <w:tcW w:w="3302" w:type="dxa"/>
            <w:tcBorders>
              <w:bottom w:val="single" w:sz="4" w:space="0" w:color="2B71AC"/>
            </w:tcBorders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01" w:type="dxa"/>
            <w:tcBorders>
              <w:bottom w:val="single" w:sz="4" w:space="0" w:color="2B71AC"/>
            </w:tcBorders>
            <w:vAlign w:val="center"/>
          </w:tcPr>
          <w:p w:rsidR="00CE3E9F" w:rsidRPr="00CE3E9F" w:rsidRDefault="00CE3E9F" w:rsidP="004E69A3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+</w:t>
            </w:r>
          </w:p>
        </w:tc>
      </w:tr>
    </w:tbl>
    <w:p w:rsidR="00AF7A13" w:rsidRDefault="00AF7A13" w:rsidP="00CE3E9F">
      <w:pPr>
        <w:spacing w:before="120" w:after="120" w:line="240" w:lineRule="auto"/>
        <w:rPr>
          <w:rFonts w:asciiTheme="majorHAnsi" w:hAnsiTheme="majorHAnsi" w:cstheme="majorHAnsi"/>
          <w:color w:val="003399"/>
          <w:sz w:val="26"/>
          <w:szCs w:val="26"/>
        </w:rPr>
      </w:pPr>
    </w:p>
    <w:p w:rsidR="00CE3E9F" w:rsidRPr="00AF7A13" w:rsidRDefault="00AF7A13" w:rsidP="00AF7A13">
      <w:pPr>
        <w:rPr>
          <w:rFonts w:asciiTheme="majorHAnsi" w:hAnsiTheme="majorHAnsi" w:cstheme="majorHAnsi"/>
          <w:color w:val="003399"/>
          <w:sz w:val="26"/>
          <w:szCs w:val="26"/>
        </w:rPr>
      </w:pPr>
      <w:r>
        <w:rPr>
          <w:rFonts w:asciiTheme="majorHAnsi" w:hAnsiTheme="majorHAnsi" w:cstheme="majorHAnsi"/>
          <w:color w:val="003399"/>
          <w:sz w:val="26"/>
          <w:szCs w:val="26"/>
        </w:rPr>
        <w:br w:type="page"/>
      </w:r>
      <w:r w:rsidR="00CE3E9F" w:rsidRPr="00AF7A13">
        <w:rPr>
          <w:rFonts w:asciiTheme="majorHAnsi" w:hAnsiTheme="majorHAnsi" w:cstheme="majorHAnsi"/>
          <w:color w:val="003399"/>
          <w:sz w:val="26"/>
          <w:szCs w:val="26"/>
        </w:rPr>
        <w:lastRenderedPageBreak/>
        <w:t xml:space="preserve">Поређење регистроване и  формалне анкетне запослености  </w:t>
      </w:r>
    </w:p>
    <w:p w:rsidR="00CE3E9F" w:rsidRPr="00CE3E9F" w:rsidRDefault="00CE3E9F" w:rsidP="00AF7A1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CE3E9F">
        <w:rPr>
          <w:rFonts w:asciiTheme="majorHAnsi" w:hAnsiTheme="majorHAnsi" w:cstheme="majorHAnsi"/>
        </w:rPr>
        <w:t>У табели 2 су дати подаци о регистрованој и анкетној запослености за период 2012–2016. Подаци који се могу упоређивати, због сличне дефиниције, су регистрована запосленост и формална запосленост – Анкета.</w:t>
      </w:r>
    </w:p>
    <w:p w:rsidR="00CE3E9F" w:rsidRPr="00CE3E9F" w:rsidRDefault="00CE3E9F" w:rsidP="00136E32">
      <w:pPr>
        <w:spacing w:before="120" w:after="60" w:line="240" w:lineRule="auto"/>
        <w:rPr>
          <w:rFonts w:asciiTheme="majorHAnsi" w:hAnsiTheme="majorHAnsi" w:cstheme="majorHAnsi"/>
        </w:rPr>
      </w:pPr>
      <w:r w:rsidRPr="00136E32">
        <w:rPr>
          <w:rFonts w:asciiTheme="majorHAnsi" w:hAnsiTheme="majorHAnsi" w:cstheme="majorHAnsi"/>
          <w:color w:val="003399"/>
        </w:rPr>
        <w:t xml:space="preserve">Табела 2. </w:t>
      </w:r>
      <w:r w:rsidRPr="00CE3E9F">
        <w:rPr>
          <w:rFonts w:asciiTheme="majorHAnsi" w:hAnsiTheme="majorHAnsi" w:cstheme="majorHAnsi"/>
        </w:rPr>
        <w:t>Регистрована и анкетна запосленост, 2012-2016.</w:t>
      </w:r>
    </w:p>
    <w:tbl>
      <w:tblPr>
        <w:tblW w:w="10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960"/>
        <w:gridCol w:w="960"/>
        <w:gridCol w:w="960"/>
        <w:gridCol w:w="1200"/>
        <w:gridCol w:w="960"/>
        <w:gridCol w:w="960"/>
      </w:tblGrid>
      <w:tr w:rsidR="00CE3E9F" w:rsidRPr="00CE3E9F" w:rsidTr="00AF7A13">
        <w:trPr>
          <w:trHeight w:val="300"/>
        </w:trPr>
        <w:tc>
          <w:tcPr>
            <w:tcW w:w="4076" w:type="dxa"/>
            <w:vMerge w:val="restart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3E9F" w:rsidRPr="00CE3E9F" w:rsidRDefault="00CE3E9F" w:rsidP="00DB05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2014 рев.</w:t>
            </w:r>
          </w:p>
        </w:tc>
        <w:tc>
          <w:tcPr>
            <w:tcW w:w="96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F2128D">
            <w:pPr>
              <w:spacing w:before="120" w:after="120"/>
              <w:ind w:left="17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</w:tr>
      <w:tr w:rsidR="00CE3E9F" w:rsidRPr="00CE3E9F" w:rsidTr="00AF7A13">
        <w:trPr>
          <w:trHeight w:val="300"/>
        </w:trPr>
        <w:tc>
          <w:tcPr>
            <w:tcW w:w="4076" w:type="dxa"/>
            <w:vMerge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E9F" w:rsidRPr="00CE3E9F" w:rsidRDefault="00CE3E9F" w:rsidP="00DB05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0" w:type="dxa"/>
            <w:gridSpan w:val="6"/>
            <w:tcBorders>
              <w:top w:val="single" w:sz="4" w:space="0" w:color="2B71AC"/>
              <w:bottom w:val="single" w:sz="4" w:space="0" w:color="2B71AC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3E9F" w:rsidRPr="00CE3E9F" w:rsidRDefault="00CE3E9F" w:rsidP="00F2128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(у хиљ.)</w:t>
            </w:r>
          </w:p>
        </w:tc>
      </w:tr>
      <w:tr w:rsidR="00CE3E9F" w:rsidRPr="00CE3E9F" w:rsidTr="00F2128D">
        <w:trPr>
          <w:trHeight w:val="300"/>
        </w:trPr>
        <w:tc>
          <w:tcPr>
            <w:tcW w:w="4076" w:type="dxa"/>
            <w:tcBorders>
              <w:top w:val="single" w:sz="4" w:space="0" w:color="2B71A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Регистрована запосленост*  (а + б)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2010</w:t>
            </w:r>
          </w:p>
        </w:tc>
      </w:tr>
      <w:tr w:rsidR="00CE3E9F" w:rsidRPr="00CE3E9F" w:rsidTr="00AF7A13">
        <w:trPr>
          <w:trHeight w:val="780"/>
        </w:trPr>
        <w:tc>
          <w:tcPr>
            <w:tcW w:w="4076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Запослени у правним лицима, лица која самостално обављају делатност, предузетници и запослени код њих** (a)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1866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1865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1845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1845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1896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1921</w:t>
            </w:r>
          </w:p>
        </w:tc>
      </w:tr>
      <w:tr w:rsidR="00CE3E9F" w:rsidRPr="00CE3E9F" w:rsidTr="00F2128D">
        <w:trPr>
          <w:trHeight w:val="345"/>
        </w:trPr>
        <w:tc>
          <w:tcPr>
            <w:tcW w:w="4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Регистровани индивидуални пољопривредници* (б)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 xml:space="preserve">    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 xml:space="preserve">    89</w:t>
            </w:r>
          </w:p>
        </w:tc>
      </w:tr>
      <w:tr w:rsidR="00CE3E9F" w:rsidRPr="00CE3E9F" w:rsidTr="00AF7A13">
        <w:trPr>
          <w:trHeight w:val="300"/>
        </w:trPr>
        <w:tc>
          <w:tcPr>
            <w:tcW w:w="4076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Укупна запосленост – Анкета ***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2228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2311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2421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2559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2574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2719</w:t>
            </w:r>
          </w:p>
        </w:tc>
      </w:tr>
      <w:tr w:rsidR="00CE3E9F" w:rsidRPr="00CE3E9F" w:rsidTr="00AF7A13">
        <w:trPr>
          <w:trHeight w:val="300"/>
        </w:trPr>
        <w:tc>
          <w:tcPr>
            <w:tcW w:w="4076" w:type="dxa"/>
            <w:tcBorders>
              <w:bottom w:val="single" w:sz="4" w:space="0" w:color="2B71A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Формална запосленост - Анкета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bottom w:val="single" w:sz="4" w:space="0" w:color="2B71A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E9F" w:rsidRPr="00CE3E9F" w:rsidRDefault="00CE3E9F" w:rsidP="00136E32">
            <w:pPr>
              <w:spacing w:before="60" w:after="60" w:line="240" w:lineRule="auto"/>
              <w:ind w:right="17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E3E9F">
              <w:rPr>
                <w:rFonts w:asciiTheme="majorHAnsi" w:hAnsiTheme="majorHAnsi" w:cstheme="majorHAnsi"/>
                <w:sz w:val="20"/>
                <w:szCs w:val="20"/>
              </w:rPr>
              <w:t>2120</w:t>
            </w:r>
          </w:p>
        </w:tc>
      </w:tr>
    </w:tbl>
    <w:p w:rsidR="00CE3E9F" w:rsidRPr="00AF7A13" w:rsidRDefault="00CE3E9F" w:rsidP="00CE3E9F">
      <w:pPr>
        <w:spacing w:before="120" w:after="120" w:line="240" w:lineRule="auto"/>
        <w:rPr>
          <w:rFonts w:asciiTheme="majorHAnsi" w:hAnsiTheme="majorHAnsi" w:cstheme="majorHAnsi"/>
          <w:sz w:val="18"/>
          <w:szCs w:val="18"/>
        </w:rPr>
      </w:pPr>
      <w:r w:rsidRPr="00AF7A13">
        <w:rPr>
          <w:rFonts w:asciiTheme="majorHAnsi" w:hAnsiTheme="majorHAnsi" w:cstheme="majorHAnsi"/>
          <w:sz w:val="18"/>
          <w:szCs w:val="18"/>
        </w:rPr>
        <w:t>Извор: Истраживање о регистрованој запослености и Анкета о радној снази</w:t>
      </w:r>
    </w:p>
    <w:p w:rsidR="00CE3E9F" w:rsidRPr="00AF7A13" w:rsidRDefault="00CE3E9F" w:rsidP="00136E32">
      <w:pPr>
        <w:spacing w:before="60" w:after="60" w:line="240" w:lineRule="auto"/>
        <w:rPr>
          <w:rFonts w:asciiTheme="majorHAnsi" w:hAnsiTheme="majorHAnsi" w:cstheme="majorHAnsi"/>
          <w:sz w:val="18"/>
          <w:szCs w:val="18"/>
        </w:rPr>
      </w:pPr>
      <w:r w:rsidRPr="00AF7A13">
        <w:rPr>
          <w:rFonts w:asciiTheme="majorHAnsi" w:hAnsiTheme="majorHAnsi" w:cstheme="majorHAnsi"/>
          <w:sz w:val="18"/>
          <w:szCs w:val="18"/>
        </w:rPr>
        <w:t>*</w:t>
      </w:r>
      <w:r w:rsidR="00AF7A1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 w:rsidRPr="00AF7A13">
        <w:rPr>
          <w:rFonts w:asciiTheme="majorHAnsi" w:hAnsiTheme="majorHAnsi" w:cstheme="majorHAnsi"/>
          <w:sz w:val="18"/>
          <w:szCs w:val="18"/>
        </w:rPr>
        <w:t>Подаци су добијени из Истраживања о регистрованој запослености, ЦРОСО и СПР</w:t>
      </w:r>
    </w:p>
    <w:p w:rsidR="00CE3E9F" w:rsidRPr="00AF7A13" w:rsidRDefault="00CE3E9F" w:rsidP="00136E32">
      <w:pPr>
        <w:spacing w:before="60" w:after="60" w:line="240" w:lineRule="auto"/>
        <w:ind w:left="227" w:hanging="227"/>
        <w:rPr>
          <w:rFonts w:asciiTheme="majorHAnsi" w:hAnsiTheme="majorHAnsi" w:cstheme="majorHAnsi"/>
          <w:sz w:val="18"/>
          <w:szCs w:val="18"/>
        </w:rPr>
      </w:pPr>
      <w:r w:rsidRPr="00AF7A13">
        <w:rPr>
          <w:rFonts w:asciiTheme="majorHAnsi" w:hAnsiTheme="majorHAnsi" w:cstheme="majorHAnsi"/>
          <w:sz w:val="18"/>
          <w:szCs w:val="18"/>
        </w:rPr>
        <w:t>**</w:t>
      </w:r>
      <w:r w:rsidR="00AF7A1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 w:rsidRPr="00AF7A13">
        <w:rPr>
          <w:rFonts w:asciiTheme="majorHAnsi" w:hAnsiTheme="majorHAnsi" w:cstheme="majorHAnsi"/>
          <w:sz w:val="18"/>
          <w:szCs w:val="18"/>
        </w:rPr>
        <w:t>Подаци за период 2012-2014. добијени ревидирањем података из истраживања РАД-1 на бази података из ЦРОСО и СПР. Тиме је направљена серија упоредивих података за период  2000-2016.</w:t>
      </w:r>
    </w:p>
    <w:p w:rsidR="00CE3E9F" w:rsidRPr="00AF7A13" w:rsidRDefault="00CE3E9F" w:rsidP="00136E32">
      <w:pPr>
        <w:spacing w:before="60" w:after="60" w:line="240" w:lineRule="auto"/>
        <w:ind w:left="312" w:hanging="312"/>
        <w:rPr>
          <w:rFonts w:asciiTheme="majorHAnsi" w:hAnsiTheme="majorHAnsi" w:cstheme="majorHAnsi"/>
          <w:sz w:val="18"/>
          <w:szCs w:val="18"/>
        </w:rPr>
      </w:pPr>
      <w:r w:rsidRPr="00AF7A13">
        <w:rPr>
          <w:rFonts w:asciiTheme="majorHAnsi" w:hAnsiTheme="majorHAnsi" w:cstheme="majorHAnsi"/>
          <w:sz w:val="18"/>
          <w:szCs w:val="18"/>
        </w:rPr>
        <w:t>***</w:t>
      </w:r>
      <w:r w:rsidR="00AF7A1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 w:rsidRPr="00AF7A13">
        <w:rPr>
          <w:rFonts w:asciiTheme="majorHAnsi" w:hAnsiTheme="majorHAnsi" w:cstheme="majorHAnsi"/>
          <w:sz w:val="18"/>
          <w:szCs w:val="18"/>
        </w:rPr>
        <w:t>У Анкети о радној снази 2014. године промењена методологија, због чега су подаци за 2014. ревидирани. Тиме је обезбеђена упоредивост података за период 2012–2014. и 2014. рев. – 2016.</w:t>
      </w:r>
    </w:p>
    <w:p w:rsidR="00CE3E9F" w:rsidRPr="00CE3E9F" w:rsidRDefault="00CE3E9F" w:rsidP="00136E32">
      <w:pPr>
        <w:spacing w:before="240" w:after="120" w:line="240" w:lineRule="auto"/>
        <w:jc w:val="both"/>
        <w:rPr>
          <w:rFonts w:asciiTheme="majorHAnsi" w:hAnsiTheme="majorHAnsi" w:cstheme="majorHAnsi"/>
        </w:rPr>
      </w:pPr>
      <w:r w:rsidRPr="00CE3E9F">
        <w:rPr>
          <w:rFonts w:asciiTheme="majorHAnsi" w:hAnsiTheme="majorHAnsi" w:cstheme="majorHAnsi"/>
        </w:rPr>
        <w:t>Из табеле 2 може се видети да  је разлика између регистроване и формалне запослености у 2016. години износила 110 000. На бази разлика наведених у претходном одељку, измерене су неке категорије које су обухваћене једним а нису обухваћене другим концептом.</w:t>
      </w:r>
    </w:p>
    <w:p w:rsidR="00CE3E9F" w:rsidRPr="00CE3E9F" w:rsidRDefault="00CE3E9F" w:rsidP="00136E32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CE3E9F">
        <w:rPr>
          <w:rFonts w:asciiTheme="majorHAnsi" w:hAnsiTheme="majorHAnsi" w:cstheme="majorHAnsi"/>
        </w:rPr>
        <w:t>Нпр. број формално запослених лица, према Анкети, која нису имала право на социјално осигурање је у 2016. години износио 194 000, a број формално запослених индивидуалних пољопривредника старијих од 65 година био је 45 000. Изузимањем ових категорија из формалне анкетне запослености дошли бисмо до тога да је формална запосленост чак и потцењена у односу на регистровану запосленост. Наравно да не треба занемарити грешку оцењивања којој подлежу подаци добијени из Анкете, као ни друге наведене разлике између ова два извора.</w:t>
      </w:r>
    </w:p>
    <w:p w:rsidR="00CE3E9F" w:rsidRPr="00CE3E9F" w:rsidRDefault="00CE3E9F" w:rsidP="00136E32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CE3E9F">
        <w:rPr>
          <w:rFonts w:asciiTheme="majorHAnsi" w:hAnsiTheme="majorHAnsi" w:cstheme="majorHAnsi"/>
        </w:rPr>
        <w:t>Изузимањем пољопривредних делатности (индивидуални пољопривредници, као и сектор делатности Пољопривреда, шумарство и рибарство) из поређења, долазимо до тога да је разлика између регистроване и формалне запослености у 2015. и 2016. години била незнатна (видети табелу 3).</w:t>
      </w:r>
    </w:p>
    <w:p w:rsidR="00136E32" w:rsidRPr="00136E32" w:rsidRDefault="00136E32" w:rsidP="00136E32">
      <w:pPr>
        <w:spacing w:before="120" w:after="60"/>
        <w:jc w:val="both"/>
        <w:rPr>
          <w:rFonts w:asciiTheme="majorHAnsi" w:hAnsiTheme="majorHAnsi" w:cstheme="majorHAnsi"/>
          <w:color w:val="003399"/>
        </w:rPr>
      </w:pPr>
      <w:r w:rsidRPr="00136E32">
        <w:rPr>
          <w:rFonts w:asciiTheme="majorHAnsi" w:hAnsiTheme="majorHAnsi" w:cstheme="majorHAnsi"/>
          <w:color w:val="003399"/>
        </w:rPr>
        <w:t>Табела 3:</w:t>
      </w:r>
    </w:p>
    <w:tbl>
      <w:tblPr>
        <w:tblW w:w="6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5"/>
        <w:gridCol w:w="960"/>
        <w:gridCol w:w="960"/>
      </w:tblGrid>
      <w:tr w:rsidR="00136E32" w:rsidRPr="00136E32" w:rsidTr="00136E32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B71AC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  <w:t>у хиљ.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B71AC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B71AC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</w:tr>
      <w:tr w:rsidR="00136E32" w:rsidRPr="00136E32" w:rsidTr="00136E32">
        <w:trPr>
          <w:trHeight w:val="45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Формална запосленост (Анкета)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2120</w:t>
            </w:r>
          </w:p>
        </w:tc>
      </w:tr>
      <w:tr w:rsidR="00136E32" w:rsidRPr="00136E32" w:rsidTr="00136E32">
        <w:trPr>
          <w:trHeight w:val="46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Регистрована запосленост (ЦРОСО + СПР)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2010</w:t>
            </w:r>
          </w:p>
        </w:tc>
      </w:tr>
      <w:tr w:rsidR="00136E32" w:rsidRPr="00136E32" w:rsidTr="00136E32">
        <w:trPr>
          <w:trHeight w:val="300"/>
        </w:trPr>
        <w:tc>
          <w:tcPr>
            <w:tcW w:w="45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2B71AC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  <w:t>(без пољопривреде)*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B71AC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136E32" w:rsidRPr="00136E32" w:rsidTr="00136E32">
        <w:trPr>
          <w:trHeight w:val="43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Формална запосленост (Анкета)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1888</w:t>
            </w:r>
          </w:p>
        </w:tc>
      </w:tr>
      <w:tr w:rsidR="00136E32" w:rsidRPr="00136E32" w:rsidTr="00136E32">
        <w:trPr>
          <w:trHeight w:val="4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Регистрована запосленост (ЦРОСО + СПР)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6E32" w:rsidRPr="00136E32" w:rsidRDefault="00136E32" w:rsidP="00136E32">
            <w:pPr>
              <w:spacing w:before="60" w:after="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36E32">
              <w:rPr>
                <w:rFonts w:asciiTheme="majorHAnsi" w:eastAsia="Times New Roman" w:hAnsiTheme="majorHAnsi" w:cstheme="majorHAnsi"/>
                <w:sz w:val="20"/>
                <w:szCs w:val="20"/>
              </w:rPr>
              <w:t>1887</w:t>
            </w:r>
          </w:p>
        </w:tc>
      </w:tr>
    </w:tbl>
    <w:p w:rsidR="005607F0" w:rsidRPr="007528E8" w:rsidRDefault="005607F0" w:rsidP="007528E8">
      <w:pPr>
        <w:spacing w:before="120" w:after="120" w:line="240" w:lineRule="auto"/>
        <w:jc w:val="both"/>
        <w:rPr>
          <w:rFonts w:asciiTheme="majorHAnsi" w:hAnsiTheme="majorHAnsi" w:cstheme="majorHAnsi"/>
          <w:sz w:val="2"/>
          <w:szCs w:val="2"/>
        </w:rPr>
      </w:pPr>
      <w:bookmarkStart w:id="0" w:name="_GoBack"/>
      <w:bookmarkEnd w:id="0"/>
    </w:p>
    <w:sectPr w:rsidR="005607F0" w:rsidRPr="007528E8" w:rsidSect="0098390D">
      <w:footerReference w:type="even" r:id="rId7"/>
      <w:footerReference w:type="default" r:id="rId8"/>
      <w:pgSz w:w="11907" w:h="16840" w:code="9"/>
      <w:pgMar w:top="1021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5B" w:rsidRDefault="003A535B" w:rsidP="005607F0">
      <w:pPr>
        <w:spacing w:after="0" w:line="240" w:lineRule="auto"/>
      </w:pPr>
      <w:r>
        <w:separator/>
      </w:r>
    </w:p>
  </w:endnote>
  <w:endnote w:type="continuationSeparator" w:id="0">
    <w:p w:rsidR="003A535B" w:rsidRDefault="003A535B" w:rsidP="0056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0D" w:rsidRDefault="0098390D"/>
  <w:tbl>
    <w:tblPr>
      <w:tblW w:w="11916" w:type="dxa"/>
      <w:jc w:val="center"/>
      <w:shd w:val="clear" w:color="auto" w:fill="2B71AC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4395"/>
      <w:gridCol w:w="1559"/>
      <w:gridCol w:w="3673"/>
      <w:gridCol w:w="1155"/>
    </w:tblGrid>
    <w:tr w:rsidR="005607F0" w:rsidRPr="002B288C" w:rsidTr="00DB0544">
      <w:trPr>
        <w:trHeight w:val="355"/>
        <w:jc w:val="center"/>
      </w:trPr>
      <w:tc>
        <w:tcPr>
          <w:tcW w:w="1134" w:type="dxa"/>
          <w:shd w:val="clear" w:color="auto" w:fill="2B71AC"/>
          <w:tcMar>
            <w:left w:w="28" w:type="dxa"/>
            <w:right w:w="28" w:type="dxa"/>
          </w:tcMar>
        </w:tcPr>
        <w:p w:rsidR="005607F0" w:rsidRPr="001D09DD" w:rsidRDefault="005607F0" w:rsidP="005607F0">
          <w:pPr>
            <w:pStyle w:val="Footer"/>
            <w:shd w:val="clear" w:color="auto" w:fill="2B71AC"/>
            <w:tabs>
              <w:tab w:val="left" w:pos="574"/>
              <w:tab w:val="right" w:pos="2863"/>
            </w:tabs>
            <w:rPr>
              <w:rFonts w:ascii="Arial Narrow" w:hAnsi="Arial Narrow" w:cs="Arial IS"/>
              <w:color w:val="FFFFFF" w:themeColor="background1"/>
              <w:sz w:val="15"/>
              <w:szCs w:val="15"/>
            </w:rPr>
          </w:pPr>
        </w:p>
      </w:tc>
      <w:tc>
        <w:tcPr>
          <w:tcW w:w="4395" w:type="dxa"/>
          <w:shd w:val="clear" w:color="auto" w:fill="2B71AC"/>
          <w:vAlign w:val="center"/>
        </w:tcPr>
        <w:p w:rsidR="005607F0" w:rsidRPr="005607F0" w:rsidRDefault="005607F0" w:rsidP="005607F0">
          <w:pPr>
            <w:pStyle w:val="Footer"/>
            <w:shd w:val="clear" w:color="auto" w:fill="2B71AC"/>
            <w:spacing w:before="60" w:after="60"/>
            <w:ind w:right="57"/>
            <w:rPr>
              <w:rFonts w:cstheme="minorHAnsi"/>
              <w:b/>
              <w:color w:val="FFFFFF" w:themeColor="background1"/>
              <w:sz w:val="18"/>
              <w:szCs w:val="18"/>
              <w:lang w:val="sr-Latn-RS"/>
            </w:rPr>
          </w:pP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begin"/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instrText xml:space="preserve"> PAGE </w:instrText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separate"/>
          </w:r>
          <w:r w:rsidR="007528E8">
            <w:rPr>
              <w:rStyle w:val="PageNumber"/>
              <w:rFonts w:cstheme="minorHAnsi"/>
              <w:noProof/>
              <w:color w:val="FFFFFF" w:themeColor="background1"/>
              <w:sz w:val="20"/>
              <w:szCs w:val="20"/>
            </w:rPr>
            <w:t>2</w:t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1559" w:type="dxa"/>
          <w:shd w:val="clear" w:color="auto" w:fill="2B71AC"/>
          <w:vAlign w:val="center"/>
        </w:tcPr>
        <w:p w:rsidR="005607F0" w:rsidRPr="005607F0" w:rsidRDefault="005607F0" w:rsidP="005607F0">
          <w:pPr>
            <w:pStyle w:val="Footer"/>
            <w:shd w:val="clear" w:color="auto" w:fill="2B71AC"/>
            <w:spacing w:before="60" w:after="60"/>
            <w:ind w:right="113"/>
            <w:jc w:val="right"/>
            <w:rPr>
              <w:rFonts w:cstheme="minorHAnsi"/>
              <w:b/>
              <w:color w:val="FFFFFF" w:themeColor="background1"/>
              <w:sz w:val="18"/>
              <w:szCs w:val="18"/>
              <w:lang w:val="sr-Cyrl-RS"/>
            </w:rPr>
          </w:pPr>
        </w:p>
      </w:tc>
      <w:tc>
        <w:tcPr>
          <w:tcW w:w="3673" w:type="dxa"/>
          <w:shd w:val="clear" w:color="auto" w:fill="2B71AC"/>
          <w:vAlign w:val="center"/>
        </w:tcPr>
        <w:p w:rsidR="005607F0" w:rsidRPr="005607F0" w:rsidRDefault="005607F0" w:rsidP="005607F0">
          <w:pPr>
            <w:pStyle w:val="Footer"/>
            <w:shd w:val="clear" w:color="auto" w:fill="2B71AC"/>
            <w:jc w:val="right"/>
            <w:rPr>
              <w:rFonts w:cstheme="minorHAnsi"/>
              <w:color w:val="FFFFFF" w:themeColor="background1"/>
              <w:sz w:val="20"/>
              <w:szCs w:val="20"/>
            </w:rPr>
          </w:pPr>
          <w:r>
            <w:rPr>
              <w:rFonts w:ascii="Arial Narrow" w:hAnsi="Arial Narrow"/>
              <w:noProof/>
              <w:color w:val="FFFFFF" w:themeColor="background1"/>
              <w:sz w:val="15"/>
              <w:szCs w:val="15"/>
            </w:rPr>
            <w:drawing>
              <wp:inline distT="0" distB="0" distL="0" distR="0" wp14:anchorId="3FBC2016" wp14:editId="2F27B98B">
                <wp:extent cx="612000" cy="15248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UTLINE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15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" w:type="dxa"/>
          <w:shd w:val="clear" w:color="auto" w:fill="2B71AC"/>
        </w:tcPr>
        <w:p w:rsidR="005607F0" w:rsidRPr="002B288C" w:rsidRDefault="005607F0" w:rsidP="005607F0">
          <w:pPr>
            <w:pStyle w:val="Footer"/>
            <w:shd w:val="clear" w:color="auto" w:fill="2B71AC"/>
            <w:jc w:val="right"/>
            <w:rPr>
              <w:rStyle w:val="PageNumber"/>
              <w:rFonts w:ascii="Arial Narrow" w:hAnsi="Arial Narrow"/>
              <w:b/>
              <w:color w:val="FFFFFF" w:themeColor="background1"/>
            </w:rPr>
          </w:pPr>
        </w:p>
      </w:tc>
    </w:tr>
  </w:tbl>
  <w:p w:rsidR="005607F0" w:rsidRPr="005607F0" w:rsidRDefault="005607F0" w:rsidP="005607F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0D" w:rsidRDefault="0098390D"/>
  <w:tbl>
    <w:tblPr>
      <w:tblW w:w="11916" w:type="dxa"/>
      <w:jc w:val="center"/>
      <w:shd w:val="clear" w:color="auto" w:fill="2B71AC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5954"/>
      <w:gridCol w:w="3673"/>
      <w:gridCol w:w="1155"/>
    </w:tblGrid>
    <w:tr w:rsidR="005607F0" w:rsidRPr="002B288C" w:rsidTr="002D7E7A">
      <w:trPr>
        <w:trHeight w:val="355"/>
        <w:jc w:val="center"/>
      </w:trPr>
      <w:tc>
        <w:tcPr>
          <w:tcW w:w="1134" w:type="dxa"/>
          <w:shd w:val="clear" w:color="auto" w:fill="2B71AC"/>
          <w:tcMar>
            <w:left w:w="28" w:type="dxa"/>
            <w:right w:w="28" w:type="dxa"/>
          </w:tcMar>
        </w:tcPr>
        <w:p w:rsidR="005607F0" w:rsidRPr="001D09DD" w:rsidRDefault="005607F0" w:rsidP="005607F0">
          <w:pPr>
            <w:pStyle w:val="Footer"/>
            <w:shd w:val="clear" w:color="auto" w:fill="2B71AC"/>
            <w:tabs>
              <w:tab w:val="left" w:pos="574"/>
              <w:tab w:val="right" w:pos="2863"/>
            </w:tabs>
            <w:rPr>
              <w:rFonts w:ascii="Arial Narrow" w:hAnsi="Arial Narrow" w:cs="Arial IS"/>
              <w:color w:val="FFFFFF" w:themeColor="background1"/>
              <w:sz w:val="15"/>
              <w:szCs w:val="15"/>
            </w:rPr>
          </w:pPr>
        </w:p>
      </w:tc>
      <w:tc>
        <w:tcPr>
          <w:tcW w:w="5954" w:type="dxa"/>
          <w:shd w:val="clear" w:color="auto" w:fill="2B71AC"/>
          <w:vAlign w:val="center"/>
        </w:tcPr>
        <w:p w:rsidR="005607F0" w:rsidRPr="005607F0" w:rsidRDefault="005607F0" w:rsidP="005607F0">
          <w:pPr>
            <w:pStyle w:val="Footer"/>
            <w:shd w:val="clear" w:color="auto" w:fill="2B71AC"/>
            <w:spacing w:before="60" w:after="60"/>
            <w:ind w:right="57"/>
            <w:rPr>
              <w:rFonts w:cstheme="minorHAnsi"/>
              <w:b/>
              <w:color w:val="FFFFFF" w:themeColor="background1"/>
              <w:sz w:val="18"/>
              <w:szCs w:val="18"/>
              <w:lang w:val="sr-Cyrl-RS"/>
            </w:rPr>
          </w:pPr>
          <w:r w:rsidRPr="005607F0">
            <w:rPr>
              <w:rFonts w:cstheme="minorHAnsi"/>
              <w:color w:val="FFFFFF" w:themeColor="background1"/>
              <w:sz w:val="18"/>
              <w:szCs w:val="18"/>
              <w:lang w:val="sr-Cyrl-CS"/>
            </w:rPr>
            <w:t>Тржиште рада</w:t>
          </w:r>
          <w:r>
            <w:rPr>
              <w:rFonts w:cstheme="minorHAnsi"/>
              <w:color w:val="FFFFFF" w:themeColor="background1"/>
              <w:sz w:val="18"/>
              <w:szCs w:val="18"/>
              <w:lang w:val="sr-Cyrl-CS"/>
            </w:rPr>
            <w:t xml:space="preserve"> - с</w:t>
          </w:r>
          <w:r w:rsidRPr="005607F0">
            <w:rPr>
              <w:rFonts w:cstheme="minorHAnsi"/>
              <w:color w:val="FFFFFF" w:themeColor="background1"/>
              <w:sz w:val="18"/>
              <w:szCs w:val="18"/>
              <w:lang w:val="sr-Cyrl-RS"/>
            </w:rPr>
            <w:t>ептембар, 2017.</w:t>
          </w:r>
        </w:p>
      </w:tc>
      <w:tc>
        <w:tcPr>
          <w:tcW w:w="3673" w:type="dxa"/>
          <w:shd w:val="clear" w:color="auto" w:fill="2B71AC"/>
          <w:vAlign w:val="center"/>
        </w:tcPr>
        <w:p w:rsidR="005607F0" w:rsidRPr="005607F0" w:rsidRDefault="005607F0" w:rsidP="005607F0">
          <w:pPr>
            <w:pStyle w:val="Footer"/>
            <w:shd w:val="clear" w:color="auto" w:fill="2B71AC"/>
            <w:jc w:val="right"/>
            <w:rPr>
              <w:rFonts w:cstheme="minorHAnsi"/>
              <w:color w:val="FFFFFF" w:themeColor="background1"/>
              <w:sz w:val="20"/>
              <w:szCs w:val="20"/>
            </w:rPr>
          </w:pP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begin"/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instrText xml:space="preserve"> PAGE </w:instrText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separate"/>
          </w:r>
          <w:r w:rsidR="007528E8">
            <w:rPr>
              <w:rStyle w:val="PageNumber"/>
              <w:rFonts w:cstheme="minorHAnsi"/>
              <w:noProof/>
              <w:color w:val="FFFFFF" w:themeColor="background1"/>
              <w:sz w:val="20"/>
              <w:szCs w:val="20"/>
            </w:rPr>
            <w:t>1</w:t>
          </w:r>
          <w:r w:rsidRPr="005607F0">
            <w:rPr>
              <w:rStyle w:val="PageNumber"/>
              <w:rFonts w:cstheme="minorHAnsi"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1155" w:type="dxa"/>
          <w:shd w:val="clear" w:color="auto" w:fill="2B71AC"/>
        </w:tcPr>
        <w:p w:rsidR="005607F0" w:rsidRPr="002B288C" w:rsidRDefault="005607F0" w:rsidP="005607F0">
          <w:pPr>
            <w:pStyle w:val="Footer"/>
            <w:shd w:val="clear" w:color="auto" w:fill="2B71AC"/>
            <w:jc w:val="right"/>
            <w:rPr>
              <w:rStyle w:val="PageNumber"/>
              <w:rFonts w:ascii="Arial Narrow" w:hAnsi="Arial Narrow"/>
              <w:b/>
              <w:color w:val="FFFFFF" w:themeColor="background1"/>
            </w:rPr>
          </w:pPr>
        </w:p>
      </w:tc>
    </w:tr>
  </w:tbl>
  <w:p w:rsidR="005607F0" w:rsidRPr="00044E97" w:rsidRDefault="005607F0" w:rsidP="005607F0">
    <w:pPr>
      <w:pStyle w:val="Footer"/>
      <w:rPr>
        <w:rFonts w:ascii="Arial" w:hAnsi="Arial" w:cs="Arial"/>
        <w:sz w:val="2"/>
        <w:szCs w:val="2"/>
      </w:rPr>
    </w:pPr>
  </w:p>
  <w:p w:rsidR="005607F0" w:rsidRPr="005607F0" w:rsidRDefault="005607F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5B" w:rsidRDefault="003A535B" w:rsidP="005607F0">
      <w:pPr>
        <w:spacing w:after="0" w:line="240" w:lineRule="auto"/>
      </w:pPr>
      <w:r>
        <w:separator/>
      </w:r>
    </w:p>
  </w:footnote>
  <w:footnote w:type="continuationSeparator" w:id="0">
    <w:p w:rsidR="003A535B" w:rsidRDefault="003A535B" w:rsidP="00560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F0"/>
    <w:rsid w:val="00136E32"/>
    <w:rsid w:val="00224CAF"/>
    <w:rsid w:val="002C30C9"/>
    <w:rsid w:val="003A535B"/>
    <w:rsid w:val="004E69A3"/>
    <w:rsid w:val="005607F0"/>
    <w:rsid w:val="007528E8"/>
    <w:rsid w:val="00910D06"/>
    <w:rsid w:val="009268C6"/>
    <w:rsid w:val="0098390D"/>
    <w:rsid w:val="009F3F74"/>
    <w:rsid w:val="00AE6A18"/>
    <w:rsid w:val="00AF7A13"/>
    <w:rsid w:val="00BB7EC2"/>
    <w:rsid w:val="00CE3E9F"/>
    <w:rsid w:val="00D24A87"/>
    <w:rsid w:val="00DA51FC"/>
    <w:rsid w:val="00E87F6D"/>
    <w:rsid w:val="00F2128D"/>
    <w:rsid w:val="00F7641D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D6D8C"/>
  <w15:chartTrackingRefBased/>
  <w15:docId w15:val="{8BD699AA-54ED-426F-AECF-8B6F5DB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Cyrl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56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F0"/>
  </w:style>
  <w:style w:type="paragraph" w:styleId="Footer">
    <w:name w:val="footer"/>
    <w:basedOn w:val="Normal"/>
    <w:link w:val="FooterChar"/>
    <w:unhideWhenUsed/>
    <w:rsid w:val="0056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07F0"/>
  </w:style>
  <w:style w:type="table" w:styleId="TableGrid">
    <w:name w:val="Table Grid"/>
    <w:basedOn w:val="TableNormal"/>
    <w:uiPriority w:val="39"/>
    <w:rsid w:val="005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07F0"/>
  </w:style>
  <w:style w:type="character" w:customStyle="1" w:styleId="Heading2Char">
    <w:name w:val="Heading 2 Char"/>
    <w:basedOn w:val="DefaultParagraphFont"/>
    <w:link w:val="Heading2"/>
    <w:uiPriority w:val="9"/>
    <w:rsid w:val="009268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Cyrl-RS" w:eastAsia="sr-Latn-RS"/>
    </w:rPr>
  </w:style>
  <w:style w:type="paragraph" w:styleId="ListParagraph">
    <w:name w:val="List Paragraph"/>
    <w:basedOn w:val="Normal"/>
    <w:uiPriority w:val="34"/>
    <w:qFormat/>
    <w:rsid w:val="00AF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F905-4B61-44D4-A93C-F8F9DB5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Dragana Steljic</cp:lastModifiedBy>
  <cp:revision>7</cp:revision>
  <dcterms:created xsi:type="dcterms:W3CDTF">2019-05-28T07:49:00Z</dcterms:created>
  <dcterms:modified xsi:type="dcterms:W3CDTF">2019-05-28T09:06:00Z</dcterms:modified>
</cp:coreProperties>
</file>