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8FFB46" Type="http://schemas.openxmlformats.org/officeDocument/2006/relationships/officeDocument" Target="/word/document.xml" /><Relationship Id="coreR308FFB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Borders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0296" w:type="dxa"/>
          </w:tcPr>
          <w:p>
            <w:pPr>
              <w:jc w:val="right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15.10.2019.</w:t>
            </w:r>
          </w:p>
          <w:p>
            <w:pPr>
              <w:jc w:val="right"/>
              <w:rPr>
                <w:rFonts w:ascii="Tahoma" w:hAnsi="Tahoma"/>
                <w:sz w:val="22"/>
              </w:rPr>
            </w:pPr>
          </w:p>
          <w:tbl>
            <w:tblPr>
              <w:tblStyle w:val="T2"/>
              <w:tblW w:w="0" w:type="auto"/>
              <w:tblBorders>
                <w:top w:val="none" w:sz="0" w:space="0" w:shadow="0" w:frame="0"/>
                <w:left w:val="none" w:sz="0" w:space="0" w:shadow="0" w:frame="0"/>
                <w:bottom w:val="none" w:sz="0" w:space="0" w:shadow="0" w:frame="0"/>
                <w:right w:val="none" w:sz="0" w:space="0" w:shadow="0" w:frame="0"/>
                <w:insideH w:val="single" w:sz="4" w:space="0" w:shadow="0" w:frame="0"/>
                <w:insideV w:val="single" w:sz="4" w:space="0" w:shadow="0" w:frame="0"/>
              </w:tblBorders>
              <w:tblLayout w:type="autofit"/>
            </w:tblPr>
            <w:tblGrid/>
            <w:tr>
              <w:tc>
                <w:tcPr>
                  <w:tcW w:w="10065" w:type="dxa"/>
                </w:tcPr>
                <w:p>
                  <w:pPr>
                    <w:spacing w:before="240" w:after="240"/>
                    <w:jc w:val="center"/>
                    <w:rPr>
                      <w:rFonts w:ascii="Tahoma" w:hAnsi="Tahoma"/>
                      <w:b w:val="1"/>
                      <w:color w:val="333333"/>
                    </w:rPr>
                  </w:pP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Сиромаштво и с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оцијална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 xml:space="preserve"> 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неједнакост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, 201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8</w:t>
                  </w:r>
                  <w:r>
                    <w:rPr>
                      <w:rFonts w:ascii="Tahoma" w:hAnsi="Tahoma"/>
                      <w:b w:val="1"/>
                      <w:color w:val="333333"/>
                      <w:sz w:val="22"/>
                    </w:rPr>
                    <w:t>.</w:t>
                  </w:r>
                </w:p>
              </w:tc>
            </w:tr>
          </w:tbl>
          <w:p>
            <w:pPr>
              <w:jc w:val="both"/>
              <w:rPr>
                <w:rFonts w:ascii="Arial" w:hAnsi="Arial"/>
                <w:sz w:val="22"/>
              </w:rPr>
            </w:pPr>
          </w:p>
          <w:p>
            <w:pPr>
              <w:pStyle w:val="P1"/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Анкета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о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приходима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и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условима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живота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b w:val="1"/>
                <w:sz w:val="20"/>
              </w:rPr>
              <w:t>(The Survey on Income and Living Conditions – SILC)</w:t>
            </w:r>
            <w:r>
              <w:rPr>
                <w:rFonts w:ascii="Tahoma" w:hAnsi="Tahoma"/>
                <w:sz w:val="20"/>
              </w:rPr>
              <w:t xml:space="preserve"> у 2018. години спроведена је по шести пут. </w:t>
            </w:r>
          </w:p>
          <w:p>
            <w:pPr>
              <w:pStyle w:val="P1"/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Циљ</w:t>
            </w:r>
            <w:r>
              <w:rPr>
                <w:rFonts w:ascii="Tahoma" w:hAnsi="Tahoma"/>
                <w:sz w:val="20"/>
              </w:rPr>
              <w:t xml:space="preserve"> овог истраживања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је прикупљање података на основу којих се израчунавају индикатори сиромаштва, социјалне искључености и услова живота. Истраживање се спроводи једном годишње, по стандардизованој методологији, која се примењује у свим државама чланицама Европске уније. </w:t>
            </w:r>
          </w:p>
          <w:p>
            <w:pPr>
              <w:pStyle w:val="P1"/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</w:p>
          <w:p>
            <w:pPr>
              <w:jc w:val="center"/>
              <w:rPr>
                <w:rFonts w:ascii="Tahoma" w:hAnsi="Tahoma"/>
                <w:b w:val="1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С</w:t>
            </w:r>
            <w:r>
              <w:rPr>
                <w:rFonts w:ascii="Tahoma" w:hAnsi="Tahoma"/>
                <w:b w:val="1"/>
                <w:sz w:val="20"/>
              </w:rPr>
              <w:t>топа ризика од сиромаштва по годинама,%</w:t>
            </w:r>
          </w:p>
          <w:p>
            <w:pPr>
              <w:rPr>
                <w:rFonts w:ascii="Tahoma" w:hAnsi="Tahoma"/>
                <w:b w:val="1"/>
                <w:sz w:val="16"/>
              </w:rPr>
            </w:pPr>
          </w:p>
          <w:tbl>
            <w:tblPr>
              <w:tblStyle w:val="T2"/>
              <w:tblW w:w="5000" w:type="pct"/>
              <w:jc w:val="center"/>
              <w:tblLayout w:type="autofit"/>
              <w:tblCellMar>
                <w:left w:w="28" w:type="dxa"/>
                <w:right w:w="28" w:type="dxa"/>
              </w:tblCellMar>
            </w:tblPr>
            <w:tblGrid/>
            <w:tr>
              <w:trPr>
                <w:trHeight w:hRule="atLeast" w:val="20"/>
              </w:trPr>
              <w:tc>
                <w:tcPr>
                  <w:tcW w:w="2961" w:type="pct"/>
                  <w:tcBorders>
                    <w:top w:val="single" w:sz="4" w:space="0" w:shadow="0" w:frame="0"/>
                    <w:bottom w:val="single" w:sz="4" w:space="0" w:shadow="0" w:frame="0"/>
                    <w:right w:val="single" w:sz="4" w:space="0" w:shadow="0" w:frame="0"/>
                  </w:tcBorders>
                </w:tcPr>
                <w:p>
                  <w:pPr>
                    <w:spacing w:before="120" w:after="120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  <w:left w:val="single" w:sz="4" w:space="0" w:shadow="0" w:frame="0"/>
                    <w:bottom w:val="single" w:sz="4" w:space="0" w:shadow="0" w:frame="0"/>
                  </w:tcBorders>
                </w:tcPr>
                <w:p>
                  <w:pPr>
                    <w:spacing w:before="120" w:after="120"/>
                    <w:jc w:val="center"/>
                    <w:rPr>
                      <w:rFonts w:ascii="Tahoma" w:hAnsi="Tahoma"/>
                      <w:b w:val="1"/>
                      <w:sz w:val="20"/>
                    </w:rPr>
                  </w:pPr>
                  <w:r>
                    <w:rPr>
                      <w:rFonts w:ascii="Tahoma" w:hAnsi="Tahoma"/>
                      <w:b w:val="1"/>
                      <w:sz w:val="20"/>
                    </w:rPr>
                    <w:t>2015</w:t>
                  </w: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  <w:left w:val="single" w:sz="4" w:space="0" w:shadow="0" w:frame="0"/>
                    <w:bottom w:val="single" w:sz="4" w:space="0" w:shadow="0" w:frame="0"/>
                  </w:tcBorders>
                </w:tcPr>
                <w:p>
                  <w:pPr>
                    <w:spacing w:before="120" w:after="120"/>
                    <w:jc w:val="center"/>
                    <w:rPr>
                      <w:rFonts w:ascii="Tahoma" w:hAnsi="Tahoma"/>
                      <w:b w:val="1"/>
                      <w:sz w:val="20"/>
                    </w:rPr>
                  </w:pPr>
                  <w:r>
                    <w:rPr>
                      <w:rFonts w:ascii="Tahoma" w:hAnsi="Tahoma"/>
                      <w:b w:val="1"/>
                      <w:sz w:val="20"/>
                    </w:rPr>
                    <w:t>2016</w:t>
                  </w: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  <w:left w:val="single" w:sz="4" w:space="0" w:shadow="0" w:frame="0"/>
                    <w:bottom w:val="single" w:sz="4" w:space="0" w:shadow="0" w:frame="0"/>
                  </w:tcBorders>
                </w:tcPr>
                <w:p>
                  <w:pPr>
                    <w:spacing w:before="120" w:after="120"/>
                    <w:jc w:val="center"/>
                    <w:rPr>
                      <w:rFonts w:ascii="Tahoma" w:hAnsi="Tahoma"/>
                      <w:b w:val="1"/>
                      <w:sz w:val="20"/>
                    </w:rPr>
                  </w:pPr>
                  <w:r>
                    <w:rPr>
                      <w:rFonts w:ascii="Tahoma" w:hAnsi="Tahoma"/>
                      <w:b w:val="1"/>
                      <w:sz w:val="20"/>
                    </w:rPr>
                    <w:t>201</w:t>
                  </w:r>
                  <w:r>
                    <w:rPr>
                      <w:rFonts w:ascii="Tahoma" w:hAnsi="Tahoma"/>
                      <w:b w:val="1"/>
                      <w:sz w:val="20"/>
                    </w:rPr>
                    <w:t>7</w:t>
                  </w:r>
                </w:p>
              </w:tc>
              <w:tc>
                <w:tcPr>
                  <w:tcW w:w="509" w:type="pct"/>
                  <w:tcBorders>
                    <w:top w:val="single" w:sz="4" w:space="0" w:shadow="0" w:frame="0"/>
                    <w:left w:val="single" w:sz="4" w:space="0" w:shadow="0" w:frame="0"/>
                    <w:bottom w:val="single" w:sz="4" w:space="0" w:shadow="0" w:frame="0"/>
                  </w:tcBorders>
                </w:tcPr>
                <w:p>
                  <w:pPr>
                    <w:spacing w:before="120" w:after="120"/>
                    <w:jc w:val="center"/>
                    <w:rPr>
                      <w:rFonts w:ascii="Tahoma" w:hAnsi="Tahoma"/>
                      <w:b w:val="1"/>
                      <w:sz w:val="20"/>
                    </w:rPr>
                  </w:pPr>
                  <w:r>
                    <w:rPr>
                      <w:rFonts w:ascii="Tahoma" w:hAnsi="Tahoma"/>
                      <w:b w:val="1"/>
                      <w:sz w:val="20"/>
                    </w:rPr>
                    <w:t>2018</w:t>
                  </w:r>
                </w:p>
              </w:tc>
            </w:tr>
            <w:tr>
              <w:trPr>
                <w:trHeight w:hRule="atLeast" w:val="284"/>
              </w:trPr>
              <w:tc>
                <w:tcPr>
                  <w:tcW w:w="2961" w:type="pct"/>
                  <w:tcBorders>
                    <w:top w:val="single" w:sz="4" w:space="0" w:shadow="0" w:frame="0"/>
                    <w:right w:val="single" w:sz="4" w:space="0" w:shadow="0" w:frame="0"/>
                  </w:tcBorders>
                  <w:shd w:val="nil" w:color="auto" w:fill="auto"/>
                  <w:vAlign w:val="center"/>
                </w:tcPr>
                <w:p>
                  <w:pPr>
                    <w:spacing w:before="60" w:after="60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Стопа ризика од сиромаштва</w:t>
                  </w: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  <w:left w:val="none" w:sz="0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26,7</w:t>
                  </w: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25,9</w:t>
                  </w:r>
                </w:p>
              </w:tc>
              <w:tc>
                <w:tcPr>
                  <w:tcW w:w="510" w:type="pct"/>
                  <w:tcBorders>
                    <w:top w:val="single" w:sz="4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25,7</w:t>
                  </w:r>
                </w:p>
              </w:tc>
              <w:tc>
                <w:tcPr>
                  <w:tcW w:w="509" w:type="pct"/>
                  <w:tcBorders>
                    <w:top w:val="single" w:sz="4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24,3</w:t>
                  </w:r>
                </w:p>
              </w:tc>
            </w:tr>
            <w:tr>
              <w:trPr>
                <w:trHeight w:hRule="atLeast" w:val="284"/>
              </w:trPr>
              <w:tc>
                <w:tcPr>
                  <w:tcW w:w="2961" w:type="pct"/>
                  <w:tcBorders>
                    <w:bottom w:val="single" w:sz="2" w:space="0" w:shadow="0" w:frame="0"/>
                    <w:right w:val="single" w:sz="4" w:space="0" w:shadow="0" w:frame="0"/>
                  </w:tcBorders>
                  <w:shd w:val="nil" w:color="auto" w:fill="auto"/>
                  <w:vAlign w:val="center"/>
                </w:tcPr>
                <w:p>
                  <w:pPr>
                    <w:spacing w:before="60" w:after="60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 Стопа ризика од сиромаштва или социјалне искључености</w:t>
                  </w:r>
                </w:p>
              </w:tc>
              <w:tc>
                <w:tcPr>
                  <w:tcW w:w="510" w:type="pct"/>
                  <w:tcBorders>
                    <w:top w:val="none" w:sz="0" w:space="0" w:shadow="0" w:frame="0"/>
                    <w:left w:val="none" w:sz="0" w:space="0" w:shadow="0" w:frame="0"/>
                    <w:bottom w:val="single" w:sz="2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41,7</w:t>
                  </w:r>
                </w:p>
              </w:tc>
              <w:tc>
                <w:tcPr>
                  <w:tcW w:w="510" w:type="pct"/>
                  <w:tcBorders>
                    <w:top w:val="none" w:sz="0" w:space="0" w:shadow="0" w:frame="0"/>
                    <w:bottom w:val="single" w:sz="2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38,5</w:t>
                  </w:r>
                </w:p>
              </w:tc>
              <w:tc>
                <w:tcPr>
                  <w:tcW w:w="510" w:type="pct"/>
                  <w:tcBorders>
                    <w:top w:val="none" w:sz="0" w:space="0" w:shadow="0" w:frame="0"/>
                    <w:bottom w:val="single" w:sz="2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36,7</w:t>
                  </w:r>
                </w:p>
              </w:tc>
              <w:tc>
                <w:tcPr>
                  <w:tcW w:w="509" w:type="pct"/>
                  <w:tcBorders>
                    <w:top w:val="none" w:sz="0" w:space="0" w:shadow="0" w:frame="0"/>
                    <w:bottom w:val="single" w:sz="2" w:space="0" w:shadow="0" w:frame="0"/>
                  </w:tcBorders>
                  <w:vAlign w:val="center"/>
                </w:tcPr>
                <w:p>
                  <w:pPr>
                    <w:spacing w:before="60" w:after="60"/>
                    <w:ind w:right="227"/>
                    <w:jc w:val="right"/>
                    <w:rPr>
                      <w:rFonts w:ascii="Tahoma" w:hAnsi="Tahoma"/>
                      <w:color w:val="000000"/>
                      <w:sz w:val="20"/>
                    </w:rPr>
                  </w:pPr>
                  <w:r>
                    <w:rPr>
                      <w:rFonts w:ascii="Tahoma" w:hAnsi="Tahoma"/>
                      <w:color w:val="000000"/>
                      <w:sz w:val="20"/>
                    </w:rPr>
                    <w:t>34,3</w:t>
                  </w:r>
                </w:p>
              </w:tc>
            </w:tr>
          </w:tbl>
          <w:p>
            <w:pPr>
              <w:pStyle w:val="P1"/>
              <w:jc w:val="both"/>
              <w:rPr>
                <w:rFonts w:ascii="Tahoma" w:hAnsi="Tahoma"/>
                <w:b w:val="1"/>
                <w:sz w:val="20"/>
              </w:rPr>
            </w:pPr>
          </w:p>
          <w:p>
            <w:pPr>
              <w:pStyle w:val="P1"/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 w:val="1"/>
                <w:sz w:val="20"/>
              </w:rPr>
              <w:t>С</w:t>
            </w:r>
            <w:r>
              <w:rPr>
                <w:rFonts w:ascii="Tahoma" w:hAnsi="Tahoma"/>
                <w:b w:val="1"/>
                <w:sz w:val="20"/>
              </w:rPr>
              <w:t xml:space="preserve">топа ризика од сиромаштва </w:t>
            </w:r>
            <w:r>
              <w:rPr>
                <w:rFonts w:ascii="Tahoma" w:hAnsi="Tahoma"/>
                <w:sz w:val="20"/>
              </w:rPr>
              <w:t xml:space="preserve">(ова лица нису нужно сиромашна, већ само имају већи ризик да то буду) у 2018. години износила је 24,3%, и нижа је за 1,4 процентна поена у односу на 2017. </w:t>
            </w:r>
            <w:r>
              <w:rPr>
                <w:rFonts w:ascii="Tahoma" w:hAnsi="Tahoma"/>
                <w:b w:val="1"/>
                <w:sz w:val="20"/>
              </w:rPr>
              <w:t>Стопа ризика од сиромаштва или социјалне искључености</w:t>
            </w:r>
            <w:r>
              <w:rPr>
                <w:rFonts w:ascii="Tahoma" w:hAnsi="Tahoma"/>
                <w:sz w:val="20"/>
              </w:rPr>
              <w:t xml:space="preserve"> (ова лица су у ризику од сиромаштва, или су изразито материјално ускраћена, или живе у домаћинствима веома ниског интезитета рада) износила је 34,3%, и нижа је за 2,4 процентна поена у односу на 2017.</w:t>
            </w:r>
          </w:p>
          <w:p>
            <w:pPr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Посматрано према</w:t>
            </w:r>
            <w:r>
              <w:rPr>
                <w:rFonts w:ascii="Tahoma" w:hAnsi="Tahoma"/>
                <w:b w:val="1"/>
                <w:sz w:val="20"/>
              </w:rPr>
              <w:t xml:space="preserve"> старости</w:t>
            </w:r>
            <w:r>
              <w:rPr>
                <w:rFonts w:ascii="Tahoma" w:hAnsi="Tahoma"/>
                <w:sz w:val="20"/>
              </w:rPr>
              <w:t>, лица од 18 до 24 године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највише су била изложена ризику од сиромаштва (29,1%),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као и лица млађа од 18 година (28,8%). Најнижу стопу ризика од сиромаштва имале су особе старије од 65 година (21,1%).</w:t>
            </w:r>
          </w:p>
          <w:p>
            <w:pPr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Према </w:t>
            </w:r>
            <w:r>
              <w:rPr>
                <w:rFonts w:ascii="Tahoma" w:hAnsi="Tahoma"/>
                <w:b w:val="1"/>
                <w:sz w:val="20"/>
              </w:rPr>
              <w:t>типу домаћинства</w:t>
            </w:r>
            <w:r>
              <w:rPr>
                <w:rFonts w:ascii="Tahoma" w:hAnsi="Tahoma"/>
                <w:sz w:val="20"/>
              </w:rPr>
              <w:t>, највишу стопу ризика од сиромаштва имала су лица у домаћинствима која чине две одрасле особе с троје или више издржаване деце (53,6%),</w:t>
            </w:r>
            <w:r>
              <w:rPr>
                <w:rFonts w:ascii="Tahoma" w:hAnsi="Tahoma"/>
                <w:b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затим лица млађа од 65 година која живе у једночланим домаћинствима (37,2%). </w:t>
            </w:r>
          </w:p>
          <w:p>
            <w:pPr>
              <w:spacing w:lineRule="auto" w:line="228" w:before="120" w:after="120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У зависности од </w:t>
            </w:r>
            <w:r>
              <w:rPr>
                <w:rFonts w:ascii="Tahoma" w:hAnsi="Tahoma"/>
                <w:b w:val="1"/>
                <w:sz w:val="20"/>
              </w:rPr>
              <w:t xml:space="preserve">радног статуса, </w:t>
            </w:r>
            <w:r>
              <w:rPr>
                <w:rFonts w:ascii="Tahoma" w:hAnsi="Tahoma"/>
                <w:sz w:val="20"/>
              </w:rPr>
              <w:t xml:space="preserve">код лица старих 18 и више година, најизложенија ризику од сиромаштва била су незапослена лица (49,0%), док је најнижа стопа ризика од сиромаштва код запослених код послодавца (6,8%). Код самозапослених лица ова стопа износила је 31,0%, а код пензионера 17,1%. </w:t>
            </w:r>
          </w:p>
          <w:p>
            <w:pPr>
              <w:spacing w:lineRule="auto" w:line="228" w:before="120" w:after="120"/>
              <w:jc w:val="both"/>
              <w:rPr>
                <w:rFonts w:ascii="Tahoma" w:hAnsi="Tahoma"/>
                <w:b w:val="1"/>
                <w:sz w:val="20"/>
              </w:rPr>
            </w:pPr>
            <w:r>
              <w:rPr>
                <w:rFonts w:ascii="Tahoma" w:hAnsi="Tahoma"/>
                <w:sz w:val="20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(укупно).</w:t>
            </w:r>
          </w:p>
          <w:p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Детаљније податке о сиромаштву, материјалној ускраћености, неједнакости и интензитету рада можете наћи у нашем Саопштењу ПД10 (број 281, од 15.10.2019.) „</w:t>
            </w:r>
            <w:r>
              <w:rPr>
                <w:rFonts w:ascii="Tahoma" w:hAnsi="Tahoma"/>
                <w:sz w:val="20"/>
              </w:rPr>
              <w:fldChar w:fldCharType="begin"/>
            </w:r>
            <w:r>
              <w:rPr>
                <w:rFonts w:ascii="Tahoma" w:hAnsi="Tahoma"/>
                <w:sz w:val="20"/>
              </w:rPr>
              <w:instrText>HYPERLINK "\\\\rzsftp\\SILC$\\2018\\SAOPSTENJE_2018\\Сиромаштво и социјална неједнакост, 2018.\“"</w:instrText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Style w:val="C2"/>
                <w:rFonts w:ascii="Tahoma" w:hAnsi="Tahoma"/>
                <w:sz w:val="20"/>
              </w:rPr>
              <w:t>Сиромаштво и социјална неједнакост, 2018.“</w:t>
            </w:r>
            <w:r>
              <w:rPr>
                <w:rStyle w:val="C2"/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20"/>
              </w:rPr>
              <w:t>на адреси:</w:t>
            </w:r>
            <w:r>
              <w:rPr>
                <w:rFonts w:ascii="Tahoma" w:hAnsi="Tahoma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fldChar w:fldCharType="begin"/>
            </w:r>
            <w:r>
              <w:rPr>
                <w:rFonts w:ascii="Tahoma" w:hAnsi="Tahoma"/>
                <w:sz w:val="20"/>
              </w:rPr>
              <w:instrText xml:space="preserve"> HYPERLINK "http://www.stat.gov.rs/oblasti/potrosnja-prihodi-i-uslovi-zivota/prihodi-i-uslovi-zivota/" </w:instrText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Style w:val="C2"/>
                <w:rFonts w:ascii="Tahoma" w:hAnsi="Tahoma"/>
                <w:sz w:val="20"/>
              </w:rPr>
              <w:t>http://www.stat.gov.rs/oblasti/potrosnja-prihodi-i-uslovi-zivota/prihodi-i-uslovi-zivota/</w:t>
            </w:r>
            <w:r>
              <w:rPr>
                <w:rStyle w:val="C2"/>
                <w:rFonts w:ascii="Tahoma" w:hAnsi="Tahoma"/>
                <w:sz w:val="20"/>
              </w:rPr>
              <w:fldChar w:fldCharType="end"/>
            </w:r>
          </w:p>
          <w:p>
            <w:pPr>
              <w:jc w:val="both"/>
              <w:rPr>
                <w:rFonts w:ascii="Tahoma" w:hAnsi="Tahoma"/>
                <w:sz w:val="22"/>
              </w:rPr>
            </w:pPr>
          </w:p>
          <w:p>
            <w:pPr>
              <w:jc w:val="both"/>
              <w:rPr>
                <w:rFonts w:ascii="Tahoma" w:hAnsi="Tahoma"/>
                <w:sz w:val="20"/>
              </w:rPr>
            </w:pPr>
          </w:p>
        </w:tc>
      </w:tr>
    </w:tbl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7" w:h="16840" w:code="0"/>
      <w:pgMar w:left="907" w:right="907" w:top="357" w:bottom="261" w:header="431" w:footer="454" w:gutter="0"/>
      <w:cols w:equalWidth="1" w:space="720"/>
      <w:vAlign w:val="both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11268" w:type="dxa"/>
      <w:tblLayout w:type="autofit"/>
    </w:tblPr>
    <w:tblGrid/>
    <w:tr>
      <w:trPr>
        <w:wAfter w:w="0" w:type="dxa"/>
      </w:trPr>
      <w:tc>
        <w:tcPr>
          <w:tcW w:w="5868" w:type="dxa"/>
        </w:tcPr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Контакт: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Наташа Мијаковац, руководилац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Одсек за статистику животног стандарда 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тел: +381 11 2412- 922, локал 242</w:t>
          </w:r>
        </w:p>
        <w:p>
          <w:pPr>
            <w:jc w:val="both"/>
            <w:rPr>
              <w:rFonts w:ascii="Tahoma" w:hAnsi="Tahoma"/>
              <w:sz w:val="20"/>
            </w:rPr>
          </w:pP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Група за информисање и дисеминацију 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Тел.: +381 11 2401-284</w:t>
          </w:r>
        </w:p>
        <w:p>
          <w:pPr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stat@stat.gov.rs</w:t>
          </w:r>
        </w:p>
        <w:p>
          <w:pPr>
            <w:jc w:val="both"/>
            <w:rPr>
              <w:rFonts w:ascii="Tahoma" w:hAnsi="Tahoma"/>
              <w:sz w:val="20"/>
            </w:rPr>
          </w:pPr>
        </w:p>
      </w:tc>
      <w:tc>
        <w:tcPr>
          <w:tcW w:w="5400" w:type="dxa"/>
        </w:tcPr>
        <w:p>
          <w:pPr>
            <w:jc w:val="center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Директор</w:t>
          </w:r>
        </w:p>
        <w:p>
          <w:pPr>
            <w:ind w:left="972"/>
            <w:jc w:val="both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 xml:space="preserve">         Др Миладин Ковачевић</w:t>
          </w:r>
        </w:p>
        <w:p>
          <w:pPr>
            <w:jc w:val="both"/>
            <w:rPr>
              <w:rFonts w:ascii="Tahoma" w:hAnsi="Tahoma"/>
              <w:color w:val="808080"/>
              <w:sz w:val="20"/>
            </w:rPr>
          </w:pPr>
        </w:p>
        <w:p>
          <w:pPr>
            <w:jc w:val="both"/>
            <w:rPr>
              <w:rFonts w:ascii="Tahoma" w:hAnsi="Tahoma"/>
              <w:sz w:val="20"/>
            </w:rPr>
          </w:pPr>
        </w:p>
      </w:tc>
    </w:tr>
  </w:tbl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autofit"/>
    </w:tblPr>
    <w:tblGrid/>
    <w:tr>
      <w:tc>
        <w:tcPr>
          <w:tcW w:w="4788" w:type="dxa"/>
        </w:tcPr>
        <w:p>
          <w:pPr>
            <w:jc w:val="both"/>
            <w:rPr>
              <w:rFonts w:ascii="Tahoma" w:hAnsi="Tahoma"/>
              <w:color w:val="333333"/>
              <w:sz w:val="22"/>
            </w:rPr>
          </w:pPr>
        </w:p>
      </w:tc>
      <w:tc>
        <w:tcPr>
          <w:tcW w:w="5400" w:type="dxa"/>
        </w:tcPr>
        <w:p>
          <w:pPr>
            <w:rPr>
              <w:rFonts w:ascii="Tahoma" w:hAnsi="Tahoma"/>
              <w:color w:val="333333"/>
              <w:sz w:val="22"/>
            </w:rPr>
          </w:pPr>
        </w:p>
      </w:tc>
    </w:tr>
    <w:tr>
      <w:tblPrEx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Ex>
      <w:tc>
        <w:tcPr>
          <w:tcW w:w="4788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jc w:val="both"/>
            <w:rPr>
              <w:rFonts w:ascii="Tahoma" w:hAnsi="Tahoma"/>
              <w:sz w:val="22"/>
            </w:rPr>
          </w:pPr>
        </w:p>
      </w:tc>
      <w:tc>
        <w:tcPr>
          <w:tcW w:w="5400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ind w:left="972"/>
            <w:jc w:val="both"/>
            <w:rPr>
              <w:rFonts w:ascii="Tahoma" w:hAnsi="Tahoma"/>
              <w:sz w:val="20"/>
            </w:rPr>
          </w:pPr>
        </w:p>
      </w:tc>
    </w:tr>
  </w:tbl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2"/>
            <w:ind w:right="972"/>
            <w:rPr>
              <w:rFonts w:ascii="Tahoma" w:hAnsi="Tahoma"/>
              <w:sz w:val="20"/>
            </w:rPr>
          </w:pPr>
          <w:r>
            <w:drawing>
              <wp:inline xmlns:wp="http://schemas.openxmlformats.org/drawingml/2006/wordprocessingDrawing">
                <wp:extent cx="1564005" cy="70993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005" cy="70993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20"/>
            </w:rPr>
            <w:t xml:space="preserve"> Република Србија</w:t>
          </w:r>
        </w:p>
        <w:p>
          <w:pPr>
            <w:pStyle w:val="P2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Републички завод за статистику</w:t>
          </w:r>
        </w:p>
      </w:tc>
      <w:tc>
        <w:tcPr>
          <w:tcW w:w="6588" w:type="dxa"/>
        </w:tcPr>
        <w:p>
          <w:pPr>
            <w:pStyle w:val="P2"/>
            <w:jc w:val="right"/>
            <w:rPr>
              <w:rFonts w:ascii="Tahoma" w:hAnsi="Tahoma"/>
              <w:sz w:val="32"/>
            </w:rPr>
          </w:pPr>
          <w:r>
            <w:rPr>
              <w:rFonts w:ascii="Tahoma" w:hAnsi="Tahoma"/>
              <w:sz w:val="32"/>
            </w:rPr>
            <w:t>Саопштење за јавност</w:t>
          </w:r>
        </w:p>
        <w:p>
          <w:pPr>
            <w:pStyle w:val="P2"/>
            <w:jc w:val="right"/>
            <w:rPr>
              <w:rFonts w:ascii="Tahoma" w:hAnsi="Tahoma"/>
            </w:rPr>
          </w:pPr>
        </w:p>
        <w:p>
          <w:pPr>
            <w:pStyle w:val="P2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11 050 Београд, Милана Ракића 5</w:t>
          </w:r>
        </w:p>
        <w:p>
          <w:pPr>
            <w:pStyle w:val="P2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Телефон +381 11 24-12-922</w:t>
          </w:r>
        </w:p>
        <w:p>
          <w:pPr>
            <w:pStyle w:val="P2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www.stat.gov.rs</w:t>
          </w:r>
        </w:p>
        <w:p>
          <w:pPr>
            <w:pStyle w:val="P2"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stat@stat.gov.rs</w:t>
          </w:r>
        </w:p>
      </w:tc>
    </w:tr>
  </w:tbl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2"/>
            <w:rPr>
              <w:rFonts w:ascii="Tahoma" w:hAnsi="Tahoma"/>
              <w:sz w:val="20"/>
            </w:rPr>
          </w:pPr>
        </w:p>
      </w:tc>
      <w:tc>
        <w:tcPr>
          <w:tcW w:w="6588" w:type="dxa"/>
        </w:tcPr>
        <w:p>
          <w:pPr>
            <w:pStyle w:val="P2"/>
            <w:jc w:val="right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22"/>
            </w:rPr>
            <w:t xml:space="preserve">Саопштење за јавностстрана </w:t>
          </w:r>
          <w:r>
            <w:rPr>
              <w:rFonts w:ascii="Tahoma" w:hAnsi="Tahoma"/>
              <w:sz w:val="22"/>
            </w:rPr>
            <w:fldChar w:fldCharType="begin"/>
          </w:r>
          <w:r>
            <w:rPr>
              <w:rStyle w:val="C6"/>
              <w:rFonts w:ascii="Tahoma" w:hAnsi="Tahoma"/>
              <w:sz w:val="22"/>
            </w:rPr>
            <w:instrText xml:space="preserve"> NUMPAGES </w:instrText>
          </w:r>
          <w:r>
            <w:rPr>
              <w:rStyle w:val="C6"/>
              <w:rFonts w:ascii="Tahoma" w:hAnsi="Tahoma"/>
              <w:sz w:val="22"/>
            </w:rPr>
            <w:fldChar w:fldCharType="separate"/>
          </w:r>
          <w:r>
            <w:rPr>
              <w:rStyle w:val="C6"/>
              <w:rFonts w:ascii="Tahoma" w:hAnsi="Tahoma"/>
              <w:sz w:val="22"/>
            </w:rPr>
            <w:t>#</w:t>
          </w:r>
          <w:r>
            <w:rPr>
              <w:rStyle w:val="C6"/>
              <w:rFonts w:ascii="Tahoma" w:hAnsi="Tahoma"/>
              <w:sz w:val="22"/>
            </w:rPr>
            <w:fldChar w:fldCharType="end"/>
          </w:r>
        </w:p>
        <w:p>
          <w:pPr>
            <w:pStyle w:val="P2"/>
            <w:jc w:val="right"/>
            <w:rPr>
              <w:rFonts w:ascii="Tahoma" w:hAnsi="Tahoma"/>
            </w:rPr>
          </w:pPr>
        </w:p>
        <w:p>
          <w:pPr>
            <w:pStyle w:val="P2"/>
            <w:jc w:val="right"/>
            <w:rPr>
              <w:rFonts w:ascii="Tahoma" w:hAnsi="Tahoma"/>
              <w:sz w:val="20"/>
            </w:rPr>
          </w:pPr>
        </w:p>
      </w:tc>
    </w:tr>
  </w:tbl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D7C7C46"/>
    <w:multiLevelType w:val="hybridMultilevel"/>
    <w:lvl w:ilvl="0" w:tplc="50C7CE0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66B4D0A"/>
    <w:multiLevelType w:val="hybridMultilevel"/>
    <w:lvl w:ilvl="0" w:tplc="561DF9DB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No Spacing"/>
    <w:next w:val="P1"/>
    <w:qFormat/>
    <w:pPr/>
    <w:rPr>
      <w:rFonts w:ascii="Calibri" w:hAnsi="Calibri"/>
      <w:sz w:val="22"/>
    </w:rPr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paragraph" w:styleId="P4">
    <w:name w:val="Body Text"/>
    <w:basedOn w:val="P0"/>
    <w:next w:val="P4"/>
    <w:pPr>
      <w:spacing w:after="120"/>
    </w:pPr>
    <w:rPr/>
  </w:style>
  <w:style w:type="paragraph" w:styleId="P5">
    <w:name w:val="Balloon Text"/>
    <w:basedOn w:val="P0"/>
    <w:next w:val="P5"/>
    <w:link w:val="C3"/>
    <w:pPr/>
    <w:rPr>
      <w:rFonts w:ascii="Tahoma" w:hAnsi="Tahoma"/>
      <w:sz w:val="16"/>
    </w:rPr>
  </w:style>
  <w:style w:type="paragraph" w:styleId="P6">
    <w:name w:val="Footnote Text"/>
    <w:basedOn w:val="P0"/>
    <w:next w:val="P6"/>
    <w:link w:val="C4"/>
    <w:pPr/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5"/>
    <w:rPr>
      <w:rFonts w:ascii="Tahoma" w:hAnsi="Tahoma"/>
      <w:sz w:val="16"/>
    </w:rPr>
  </w:style>
  <w:style w:type="character" w:styleId="C4">
    <w:name w:val="Footnote Text Char"/>
    <w:link w:val="P6"/>
    <w:rPr>
      <w:sz w:val="20"/>
    </w:rPr>
  </w:style>
  <w:style w:type="character" w:styleId="C5">
    <w:name w:val="Footnote Reference"/>
    <w:rPr>
      <w:vertAlign w:val="superscript"/>
    </w:rPr>
  </w:style>
  <w:style w:type="character" w:styleId="C6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Aleksandra Danilovic</dc:creator>
  <dcterms:created xsi:type="dcterms:W3CDTF">2019-10-14T10:46:00Z</dcterms:created>
  <cp:lastModifiedBy>Nikola Kapetanovic</cp:lastModifiedBy>
  <cp:lastPrinted>2019-10-15T07:43:00Z</cp:lastPrinted>
  <dcterms:modified xsi:type="dcterms:W3CDTF">2020-01-10T11:23:03Z</dcterms:modified>
  <cp:revision>16</cp:revision>
  <dc:title>ДАТУМ</dc:title>
</cp:coreProperties>
</file>