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FE" w:rsidRDefault="004573FA" w:rsidP="007B277A">
      <w:pPr>
        <w:spacing w:after="240" w:line="264" w:lineRule="auto"/>
        <w:jc w:val="both"/>
        <w:rPr>
          <w:rFonts w:ascii="Calibri" w:hAnsi="Calibri"/>
          <w:b/>
          <w:bCs/>
          <w:u w:val="single"/>
          <w:lang w:val="en-GB"/>
        </w:rPr>
      </w:pPr>
      <w:bookmarkStart w:id="0" w:name="is"/>
      <w:bookmarkStart w:id="1" w:name="_GoBack"/>
      <w:bookmarkEnd w:id="1"/>
      <w:r w:rsidRPr="001A603A">
        <w:rPr>
          <w:rFonts w:ascii="Calibri" w:hAnsi="Calibri"/>
          <w:b/>
          <w:bCs/>
          <w:u w:val="single"/>
          <w:lang w:val="en-GB"/>
        </w:rPr>
        <w:t>INVESTMENTS IN FIXED ASSETS</w:t>
      </w:r>
      <w:r w:rsidR="004816A0" w:rsidRPr="001A603A">
        <w:rPr>
          <w:rFonts w:ascii="Calibri" w:hAnsi="Calibri"/>
          <w:b/>
          <w:bCs/>
          <w:u w:val="single"/>
          <w:lang w:val="en-GB"/>
        </w:rPr>
        <w:t xml:space="preserve"> </w:t>
      </w:r>
    </w:p>
    <w:p w:rsidR="0050324E" w:rsidRPr="0085534E" w:rsidRDefault="00F551C7" w:rsidP="007B277A">
      <w:pPr>
        <w:spacing w:after="100" w:afterAutospacing="1" w:line="264" w:lineRule="auto"/>
        <w:jc w:val="both"/>
        <w:rPr>
          <w:rFonts w:ascii="Calibri" w:hAnsi="Calibri"/>
          <w:lang w:val="en-GB"/>
        </w:rPr>
      </w:pPr>
      <w:r w:rsidRPr="001A603A">
        <w:rPr>
          <w:rFonts w:ascii="Calibri" w:hAnsi="Calibri"/>
          <w:i/>
          <w:lang w:val="en-GB"/>
        </w:rPr>
        <w:t>Investments in fixed assets</w:t>
      </w:r>
      <w:r w:rsidRPr="001A603A">
        <w:rPr>
          <w:rFonts w:ascii="Calibri" w:hAnsi="Calibri"/>
          <w:lang w:val="en-GB"/>
        </w:rPr>
        <w:t xml:space="preserve"> present any </w:t>
      </w:r>
      <w:r w:rsidR="009569AA">
        <w:rPr>
          <w:rFonts w:ascii="Calibri" w:hAnsi="Calibri"/>
          <w:lang w:val="en-GB"/>
        </w:rPr>
        <w:t>acquisition</w:t>
      </w:r>
      <w:r w:rsidRPr="001A603A">
        <w:rPr>
          <w:rFonts w:ascii="Calibri" w:hAnsi="Calibri"/>
          <w:lang w:val="en-GB"/>
        </w:rPr>
        <w:t xml:space="preserve"> of fixed assets made by</w:t>
      </w:r>
      <w:r w:rsidR="00D91892">
        <w:rPr>
          <w:rFonts w:ascii="Calibri" w:hAnsi="Calibri"/>
          <w:lang w:val="en-GB"/>
        </w:rPr>
        <w:t xml:space="preserve"> resident</w:t>
      </w:r>
      <w:r w:rsidRPr="001A603A">
        <w:rPr>
          <w:rFonts w:ascii="Calibri" w:hAnsi="Calibri"/>
          <w:lang w:val="en-GB"/>
        </w:rPr>
        <w:t xml:space="preserve"> </w:t>
      </w:r>
      <w:r w:rsidR="004661A3" w:rsidRPr="004661A3">
        <w:rPr>
          <w:rFonts w:ascii="Calibri" w:hAnsi="Calibri"/>
          <w:lang w:val="en-GB"/>
        </w:rPr>
        <w:t>business entities</w:t>
      </w:r>
      <w:r w:rsidR="004661A3">
        <w:rPr>
          <w:rFonts w:ascii="Calibri" w:hAnsi="Calibri"/>
          <w:lang w:val="en-GB"/>
        </w:rPr>
        <w:t xml:space="preserve"> </w:t>
      </w:r>
      <w:r w:rsidR="004661A3" w:rsidRPr="00D44BA8">
        <w:rPr>
          <w:rFonts w:ascii="Calibri" w:hAnsi="Calibri"/>
          <w:lang w:val="en-GB"/>
        </w:rPr>
        <w:t>aimed at obtaining new, as well as increasing the value or replacement of</w:t>
      </w:r>
      <w:r w:rsidRPr="00D44BA8">
        <w:rPr>
          <w:rFonts w:ascii="Calibri" w:hAnsi="Calibri"/>
          <w:lang w:val="en-GB"/>
        </w:rPr>
        <w:t xml:space="preserve"> the existing capacities, reduced </w:t>
      </w:r>
      <w:r w:rsidR="0085534E" w:rsidRPr="00D44BA8">
        <w:rPr>
          <w:rFonts w:ascii="Calibri" w:hAnsi="Calibri"/>
          <w:lang w:val="en-GB"/>
        </w:rPr>
        <w:t>by</w:t>
      </w:r>
      <w:r w:rsidRPr="00D44BA8">
        <w:rPr>
          <w:rFonts w:ascii="Calibri" w:hAnsi="Calibri"/>
          <w:lang w:val="en-GB"/>
        </w:rPr>
        <w:t xml:space="preserve"> disinvestments, i.e. </w:t>
      </w:r>
      <w:r w:rsidR="00D91892" w:rsidRPr="00D44BA8">
        <w:rPr>
          <w:rFonts w:ascii="Calibri" w:hAnsi="Calibri"/>
          <w:lang w:val="en-GB"/>
        </w:rPr>
        <w:t>disposals</w:t>
      </w:r>
      <w:r w:rsidRPr="00D44BA8">
        <w:rPr>
          <w:rFonts w:ascii="Calibri" w:hAnsi="Calibri"/>
          <w:lang w:val="en-GB"/>
        </w:rPr>
        <w:t xml:space="preserve"> of fixed assets (sale,</w:t>
      </w:r>
      <w:r w:rsidR="004E583F" w:rsidRPr="00D44BA8">
        <w:rPr>
          <w:rFonts w:ascii="Calibri" w:hAnsi="Calibri"/>
          <w:lang w:val="en-GB"/>
        </w:rPr>
        <w:t xml:space="preserve"> capital goods </w:t>
      </w:r>
      <w:r w:rsidR="00F03327" w:rsidRPr="00D44BA8">
        <w:rPr>
          <w:rFonts w:ascii="Calibri" w:hAnsi="Calibri"/>
          <w:lang w:val="en-GB"/>
        </w:rPr>
        <w:t xml:space="preserve">surrendered </w:t>
      </w:r>
      <w:r w:rsidR="004E583F" w:rsidRPr="00D44BA8">
        <w:rPr>
          <w:rFonts w:ascii="Calibri" w:hAnsi="Calibri"/>
          <w:lang w:val="en-GB"/>
        </w:rPr>
        <w:t>in</w:t>
      </w:r>
      <w:r w:rsidRPr="00D44BA8">
        <w:rPr>
          <w:rFonts w:ascii="Calibri" w:hAnsi="Calibri"/>
          <w:lang w:val="en-GB"/>
        </w:rPr>
        <w:t xml:space="preserve"> </w:t>
      </w:r>
      <w:r w:rsidR="004E583F" w:rsidRPr="00D44BA8">
        <w:rPr>
          <w:rFonts w:ascii="Calibri" w:hAnsi="Calibri"/>
          <w:lang w:val="en-GB"/>
        </w:rPr>
        <w:t xml:space="preserve">barters and capital transfers in kind). </w:t>
      </w:r>
      <w:r w:rsidR="004E583F" w:rsidRPr="00D44BA8">
        <w:rPr>
          <w:rFonts w:ascii="Calibri" w:hAnsi="Calibri"/>
          <w:i/>
          <w:lang w:val="en-GB"/>
        </w:rPr>
        <w:t>Fixed assets</w:t>
      </w:r>
      <w:r w:rsidR="004E583F" w:rsidRPr="00D44BA8">
        <w:rPr>
          <w:rFonts w:ascii="Calibri" w:hAnsi="Calibri"/>
          <w:lang w:val="en-GB"/>
        </w:rPr>
        <w:t xml:space="preserve"> are all </w:t>
      </w:r>
      <w:r w:rsidR="0085534E" w:rsidRPr="00D44BA8">
        <w:rPr>
          <w:rFonts w:ascii="Calibri" w:hAnsi="Calibri"/>
          <w:lang w:val="en-GB"/>
        </w:rPr>
        <w:t>produced assets used in production process for more than one year</w:t>
      </w:r>
      <w:r w:rsidR="00624AB5" w:rsidRPr="00D44BA8">
        <w:rPr>
          <w:rFonts w:ascii="Calibri" w:hAnsi="Calibri"/>
          <w:lang w:val="en-GB"/>
        </w:rPr>
        <w:t>, whereby</w:t>
      </w:r>
      <w:r w:rsidR="005C46AD" w:rsidRPr="00D44BA8">
        <w:rPr>
          <w:rFonts w:ascii="Calibri" w:hAnsi="Calibri"/>
          <w:lang w:val="en-GB"/>
        </w:rPr>
        <w:t xml:space="preserve">, without changing the primary form, they are gradually consumed through transferring their value </w:t>
      </w:r>
      <w:r w:rsidR="00E252FB" w:rsidRPr="00D44BA8">
        <w:rPr>
          <w:rFonts w:ascii="Calibri" w:hAnsi="Calibri"/>
          <w:lang w:val="en-GB"/>
        </w:rPr>
        <w:t>on</w:t>
      </w:r>
      <w:r w:rsidR="005C46AD" w:rsidRPr="00D44BA8">
        <w:rPr>
          <w:rFonts w:ascii="Calibri" w:hAnsi="Calibri"/>
          <w:lang w:val="en-GB"/>
        </w:rPr>
        <w:t xml:space="preserve">to new products and services. </w:t>
      </w:r>
      <w:r w:rsidR="00B1646C" w:rsidRPr="00D44BA8">
        <w:rPr>
          <w:rFonts w:ascii="Calibri" w:hAnsi="Calibri" w:cs="Arial"/>
          <w:bCs/>
          <w:lang w:val="en-GB"/>
        </w:rPr>
        <w:t xml:space="preserve">Fixed assets can be bought in the country and abroad, acquired by barter, received as capital transfer in kind, produced and </w:t>
      </w:r>
      <w:r w:rsidR="00E252FB" w:rsidRPr="00D44BA8">
        <w:rPr>
          <w:rFonts w:ascii="Calibri" w:hAnsi="Calibri" w:cs="Arial"/>
          <w:bCs/>
          <w:lang w:val="en-GB"/>
        </w:rPr>
        <w:t>retained</w:t>
      </w:r>
      <w:r w:rsidR="00B1646C" w:rsidRPr="00D44BA8">
        <w:rPr>
          <w:rFonts w:ascii="Calibri" w:hAnsi="Calibri" w:cs="Arial"/>
          <w:bCs/>
          <w:lang w:val="en-GB"/>
        </w:rPr>
        <w:t xml:space="preserve"> for own </w:t>
      </w:r>
      <w:r w:rsidR="00E252FB" w:rsidRPr="00D44BA8">
        <w:rPr>
          <w:rFonts w:ascii="Calibri" w:hAnsi="Calibri" w:cs="Arial"/>
          <w:bCs/>
          <w:lang w:val="en-GB"/>
        </w:rPr>
        <w:t>use</w:t>
      </w:r>
      <w:r w:rsidR="00B1646C" w:rsidRPr="00D44BA8">
        <w:rPr>
          <w:rFonts w:ascii="Calibri" w:hAnsi="Calibri" w:cs="Arial"/>
          <w:bCs/>
          <w:lang w:val="en-GB"/>
        </w:rPr>
        <w:t xml:space="preserve">, or obtained via financial </w:t>
      </w:r>
      <w:r w:rsidR="00E252FB" w:rsidRPr="00D44BA8">
        <w:rPr>
          <w:rFonts w:ascii="Calibri" w:hAnsi="Calibri" w:cs="Arial"/>
          <w:bCs/>
          <w:lang w:val="en-GB"/>
        </w:rPr>
        <w:t>lease</w:t>
      </w:r>
      <w:r w:rsidR="00B1646C" w:rsidRPr="00D44BA8">
        <w:rPr>
          <w:rFonts w:ascii="Calibri" w:hAnsi="Calibri" w:cs="Arial"/>
          <w:bCs/>
          <w:lang w:val="en-GB"/>
        </w:rPr>
        <w:t>.</w:t>
      </w:r>
      <w:r w:rsidR="00BC0EE5" w:rsidRPr="00D44BA8">
        <w:rPr>
          <w:rFonts w:ascii="Calibri" w:hAnsi="Calibri" w:cs="Arial"/>
          <w:bCs/>
          <w:lang w:val="en-GB"/>
        </w:rPr>
        <w:t xml:space="preserve"> In difference to fixed assets obtained via financial leasing, based on which the </w:t>
      </w:r>
      <w:r w:rsidR="00E252FB" w:rsidRPr="00D44BA8">
        <w:rPr>
          <w:rFonts w:ascii="Calibri" w:hAnsi="Calibri" w:cs="Arial"/>
          <w:bCs/>
          <w:lang w:val="en-GB"/>
        </w:rPr>
        <w:t xml:space="preserve">lessee </w:t>
      </w:r>
      <w:r w:rsidR="00BC0EE5" w:rsidRPr="00D44BA8">
        <w:rPr>
          <w:rFonts w:ascii="Calibri" w:hAnsi="Calibri" w:cs="Arial"/>
          <w:bCs/>
          <w:lang w:val="en-GB"/>
        </w:rPr>
        <w:t xml:space="preserve">acquires almost the same rights as those of the owner, the assets obtained by </w:t>
      </w:r>
      <w:r w:rsidR="00FC72C4" w:rsidRPr="00D44BA8">
        <w:rPr>
          <w:rFonts w:ascii="Calibri" w:hAnsi="Calibri" w:cs="Arial"/>
          <w:bCs/>
          <w:lang w:val="en-GB"/>
        </w:rPr>
        <w:t>operational leasing (equipment and property lease) are not regarded as investments. The reduced value of fixed assets resulting from</w:t>
      </w:r>
      <w:r w:rsidR="00A94A96" w:rsidRPr="00D44BA8">
        <w:rPr>
          <w:rFonts w:ascii="Calibri" w:hAnsi="Calibri" w:cs="Arial"/>
          <w:bCs/>
          <w:lang w:val="en-GB"/>
        </w:rPr>
        <w:t xml:space="preserve"> their</w:t>
      </w:r>
      <w:r w:rsidR="00FC72C4" w:rsidRPr="00D44BA8">
        <w:rPr>
          <w:rFonts w:ascii="Calibri" w:hAnsi="Calibri" w:cs="Arial"/>
          <w:bCs/>
          <w:lang w:val="en-GB"/>
        </w:rPr>
        <w:t xml:space="preserve"> </w:t>
      </w:r>
      <w:r w:rsidR="00A94A96" w:rsidRPr="00D44BA8">
        <w:rPr>
          <w:rFonts w:ascii="Calibri" w:hAnsi="Calibri" w:cs="Arial"/>
          <w:bCs/>
          <w:lang w:val="en-GB"/>
        </w:rPr>
        <w:t xml:space="preserve">consumption </w:t>
      </w:r>
      <w:r w:rsidR="0056173E" w:rsidRPr="00D44BA8">
        <w:rPr>
          <w:rFonts w:ascii="Calibri" w:hAnsi="Calibri" w:cs="Arial"/>
          <w:bCs/>
          <w:lang w:val="en-GB"/>
        </w:rPr>
        <w:t xml:space="preserve">and </w:t>
      </w:r>
      <w:r w:rsidR="00502689" w:rsidRPr="00D44BA8">
        <w:rPr>
          <w:rFonts w:ascii="Calibri" w:hAnsi="Calibri" w:cs="Arial"/>
          <w:bCs/>
          <w:lang w:val="en-GB"/>
        </w:rPr>
        <w:t>obsolescence</w:t>
      </w:r>
      <w:r w:rsidR="00D46D54" w:rsidRPr="00D44BA8">
        <w:rPr>
          <w:rFonts w:ascii="Calibri" w:hAnsi="Calibri" w:cs="Arial"/>
          <w:bCs/>
          <w:lang w:val="en-GB"/>
        </w:rPr>
        <w:t xml:space="preserve">, as well as </w:t>
      </w:r>
      <w:r w:rsidR="007E756E" w:rsidRPr="00D44BA8">
        <w:rPr>
          <w:rFonts w:ascii="Calibri" w:hAnsi="Calibri" w:cs="Arial"/>
          <w:bCs/>
          <w:lang w:val="en-GB"/>
        </w:rPr>
        <w:t>exceptional</w:t>
      </w:r>
      <w:r w:rsidR="00D46D54" w:rsidRPr="00D44BA8">
        <w:rPr>
          <w:rFonts w:ascii="Calibri" w:hAnsi="Calibri" w:cs="Arial"/>
          <w:bCs/>
          <w:lang w:val="en-GB"/>
        </w:rPr>
        <w:t xml:space="preserve"> and catastrophic losses </w:t>
      </w:r>
      <w:r w:rsidR="007E756E" w:rsidRPr="00D44BA8">
        <w:rPr>
          <w:rFonts w:ascii="Calibri" w:hAnsi="Calibri" w:cs="Arial"/>
          <w:bCs/>
          <w:lang w:val="en-GB"/>
        </w:rPr>
        <w:t>due to</w:t>
      </w:r>
      <w:r w:rsidR="00D46D54" w:rsidRPr="00D44BA8">
        <w:rPr>
          <w:rFonts w:ascii="Calibri" w:hAnsi="Calibri" w:cs="Arial"/>
          <w:bCs/>
          <w:lang w:val="en-GB"/>
        </w:rPr>
        <w:t xml:space="preserve"> floods, fire, drought, epidemic diseases with </w:t>
      </w:r>
      <w:r w:rsidR="007E756E" w:rsidRPr="00D44BA8">
        <w:rPr>
          <w:rFonts w:ascii="Calibri" w:hAnsi="Calibri" w:cs="Arial"/>
          <w:bCs/>
          <w:lang w:val="en-GB"/>
        </w:rPr>
        <w:t>bred</w:t>
      </w:r>
      <w:r w:rsidR="00D46D54" w:rsidRPr="00D44BA8">
        <w:rPr>
          <w:rFonts w:ascii="Calibri" w:hAnsi="Calibri" w:cs="Arial"/>
          <w:bCs/>
          <w:lang w:val="en-GB"/>
        </w:rPr>
        <w:t xml:space="preserve"> animals, war devastations, etc.</w:t>
      </w:r>
      <w:r w:rsidR="0050324E" w:rsidRPr="00D44BA8">
        <w:rPr>
          <w:rFonts w:ascii="Calibri" w:hAnsi="Calibri" w:cs="Arial"/>
          <w:bCs/>
          <w:lang w:val="en-GB"/>
        </w:rPr>
        <w:t>,</w:t>
      </w:r>
      <w:r w:rsidR="00D46D54" w:rsidRPr="00D44BA8">
        <w:rPr>
          <w:rFonts w:ascii="Calibri" w:hAnsi="Calibri" w:cs="Arial"/>
          <w:bCs/>
          <w:lang w:val="en-GB"/>
        </w:rPr>
        <w:t xml:space="preserve"> shall not be considered as </w:t>
      </w:r>
      <w:r w:rsidR="00A06CBC" w:rsidRPr="00D44BA8">
        <w:rPr>
          <w:rFonts w:ascii="Calibri" w:hAnsi="Calibri" w:cs="Arial"/>
          <w:bCs/>
          <w:lang w:val="en-GB"/>
        </w:rPr>
        <w:t>decrease in</w:t>
      </w:r>
      <w:r w:rsidR="00D46D54" w:rsidRPr="00D44BA8">
        <w:rPr>
          <w:rFonts w:ascii="Calibri" w:hAnsi="Calibri" w:cs="Arial"/>
          <w:bCs/>
          <w:lang w:val="en-GB"/>
        </w:rPr>
        <w:t xml:space="preserve"> investments.</w:t>
      </w:r>
    </w:p>
    <w:p w:rsidR="000F3F03" w:rsidRPr="00D44BA8" w:rsidRDefault="0050324E" w:rsidP="007B277A">
      <w:pPr>
        <w:spacing w:after="120" w:line="264" w:lineRule="auto"/>
        <w:jc w:val="both"/>
        <w:rPr>
          <w:rFonts w:ascii="Calibri" w:hAnsi="Calibri" w:cs="Arial"/>
          <w:bCs/>
          <w:lang w:val="en-GB"/>
        </w:rPr>
      </w:pPr>
      <w:r w:rsidRPr="001A603A">
        <w:rPr>
          <w:rFonts w:ascii="Calibri" w:hAnsi="Calibri" w:cs="Arial"/>
          <w:bCs/>
          <w:lang w:val="en-GB"/>
        </w:rPr>
        <w:t>Determining certain type of investments is of utmost impor</w:t>
      </w:r>
      <w:r w:rsidR="00A4167A">
        <w:rPr>
          <w:rFonts w:ascii="Calibri" w:hAnsi="Calibri" w:cs="Arial"/>
          <w:bCs/>
          <w:lang w:val="en-GB"/>
        </w:rPr>
        <w:t>tance from the point of</w:t>
      </w:r>
      <w:r w:rsidRPr="001A603A">
        <w:rPr>
          <w:rFonts w:ascii="Calibri" w:hAnsi="Calibri" w:cs="Arial"/>
          <w:bCs/>
          <w:lang w:val="en-GB"/>
        </w:rPr>
        <w:t xml:space="preserve"> economic policy </w:t>
      </w:r>
      <w:r w:rsidR="00A4167A" w:rsidRPr="00A4167A">
        <w:rPr>
          <w:rFonts w:ascii="Calibri" w:hAnsi="Calibri" w:cs="Arial"/>
          <w:bCs/>
          <w:lang w:val="en-GB"/>
        </w:rPr>
        <w:t>creation</w:t>
      </w:r>
      <w:r w:rsidR="00A4167A" w:rsidRPr="001A603A">
        <w:rPr>
          <w:rFonts w:ascii="Calibri" w:hAnsi="Calibri" w:cs="Arial"/>
          <w:bCs/>
          <w:lang w:val="en-GB"/>
        </w:rPr>
        <w:t xml:space="preserve"> </w:t>
      </w:r>
      <w:r w:rsidRPr="001A603A">
        <w:rPr>
          <w:rFonts w:ascii="Calibri" w:hAnsi="Calibri" w:cs="Arial"/>
          <w:bCs/>
          <w:lang w:val="en-GB"/>
        </w:rPr>
        <w:t>and directing development trends for a national economy. Investments in machinery, equipment, software, etc. are expected to increase the national production capacity, while investments in traffic infrastructure</w:t>
      </w:r>
      <w:r w:rsidR="00A06CBC" w:rsidRPr="001A603A">
        <w:rPr>
          <w:rFonts w:ascii="Calibri" w:hAnsi="Calibri" w:cs="Arial"/>
          <w:bCs/>
          <w:lang w:val="en-GB"/>
        </w:rPr>
        <w:t>,</w:t>
      </w:r>
      <w:r w:rsidRPr="001A603A">
        <w:rPr>
          <w:rFonts w:ascii="Calibri" w:hAnsi="Calibri" w:cs="Arial"/>
          <w:bCs/>
          <w:lang w:val="en-GB"/>
        </w:rPr>
        <w:t xml:space="preserve"> </w:t>
      </w:r>
      <w:r w:rsidR="00A06CBC" w:rsidRPr="001A603A">
        <w:rPr>
          <w:rFonts w:ascii="Calibri" w:hAnsi="Calibri" w:cs="Arial"/>
          <w:bCs/>
          <w:lang w:val="en-GB"/>
        </w:rPr>
        <w:t xml:space="preserve">construction of </w:t>
      </w:r>
      <w:r w:rsidR="00537C6F" w:rsidRPr="00537C6F">
        <w:rPr>
          <w:rFonts w:ascii="Calibri" w:hAnsi="Calibri" w:cs="Arial"/>
          <w:bCs/>
          <w:lang w:val="en-GB"/>
        </w:rPr>
        <w:t>dwellings and other buildings</w:t>
      </w:r>
      <w:r w:rsidR="00537C6F" w:rsidRPr="001A603A">
        <w:rPr>
          <w:rFonts w:ascii="Calibri" w:hAnsi="Calibri" w:cs="Arial"/>
          <w:bCs/>
          <w:lang w:val="en-GB"/>
        </w:rPr>
        <w:t xml:space="preserve"> </w:t>
      </w:r>
      <w:r w:rsidRPr="001A603A">
        <w:rPr>
          <w:rFonts w:ascii="Calibri" w:hAnsi="Calibri" w:cs="Arial"/>
          <w:bCs/>
          <w:lang w:val="en-GB"/>
        </w:rPr>
        <w:t xml:space="preserve">increase </w:t>
      </w:r>
      <w:r w:rsidR="004A1F20" w:rsidRPr="001A603A">
        <w:rPr>
          <w:rFonts w:ascii="Calibri" w:hAnsi="Calibri" w:cs="Arial"/>
          <w:bCs/>
          <w:lang w:val="en-GB"/>
        </w:rPr>
        <w:t xml:space="preserve">the social wealth and </w:t>
      </w:r>
      <w:r w:rsidR="00537C6F" w:rsidRPr="00537C6F">
        <w:rPr>
          <w:rFonts w:ascii="Calibri" w:hAnsi="Calibri" w:cs="Arial"/>
          <w:bCs/>
          <w:lang w:val="en-GB"/>
        </w:rPr>
        <w:t xml:space="preserve">create the precondition </w:t>
      </w:r>
      <w:r w:rsidR="004A1F20" w:rsidRPr="001A603A">
        <w:rPr>
          <w:rFonts w:ascii="Calibri" w:hAnsi="Calibri" w:cs="Arial"/>
          <w:bCs/>
          <w:lang w:val="en-GB"/>
        </w:rPr>
        <w:t xml:space="preserve">for </w:t>
      </w:r>
      <w:r w:rsidR="00E317B6">
        <w:rPr>
          <w:rFonts w:ascii="Calibri" w:hAnsi="Calibri" w:cs="Arial"/>
          <w:bCs/>
          <w:lang w:val="en-GB"/>
        </w:rPr>
        <w:t>an</w:t>
      </w:r>
      <w:r w:rsidR="004A1F20" w:rsidRPr="001A603A">
        <w:rPr>
          <w:rFonts w:ascii="Calibri" w:hAnsi="Calibri" w:cs="Arial"/>
          <w:bCs/>
          <w:lang w:val="en-GB"/>
        </w:rPr>
        <w:t xml:space="preserve"> efficiency of all other </w:t>
      </w:r>
      <w:r w:rsidR="004A1F20" w:rsidRPr="00D44BA8">
        <w:rPr>
          <w:rFonts w:ascii="Calibri" w:hAnsi="Calibri" w:cs="Arial"/>
          <w:bCs/>
          <w:lang w:val="en-GB"/>
        </w:rPr>
        <w:t xml:space="preserve">investment categories. </w:t>
      </w:r>
      <w:r w:rsidR="00F03327" w:rsidRPr="00D44BA8">
        <w:rPr>
          <w:rFonts w:ascii="Calibri" w:hAnsi="Calibri" w:cs="Arial"/>
          <w:bCs/>
          <w:lang w:val="en-GB"/>
        </w:rPr>
        <w:t xml:space="preserve">The following types of </w:t>
      </w:r>
      <w:r w:rsidR="00537C6F" w:rsidRPr="00D44BA8">
        <w:rPr>
          <w:rFonts w:ascii="Calibri" w:hAnsi="Calibri" w:cs="Arial"/>
          <w:bCs/>
          <w:lang w:val="en-GB"/>
        </w:rPr>
        <w:t>investments in fixed assets</w:t>
      </w:r>
      <w:r w:rsidR="00F03327" w:rsidRPr="00D44BA8">
        <w:rPr>
          <w:rFonts w:ascii="Calibri" w:hAnsi="Calibri" w:cs="Arial"/>
          <w:bCs/>
          <w:lang w:val="en-GB"/>
        </w:rPr>
        <w:t xml:space="preserve"> are distinguished:</w:t>
      </w:r>
      <w:r w:rsidR="00F164E7" w:rsidRPr="00D44BA8">
        <w:rPr>
          <w:b/>
          <w:bCs/>
          <w:i/>
          <w:iCs/>
          <w:sz w:val="18"/>
          <w:szCs w:val="18"/>
        </w:rPr>
        <w:t xml:space="preserve"> </w:t>
      </w:r>
    </w:p>
    <w:p w:rsidR="000F3F03" w:rsidRPr="001A603A" w:rsidRDefault="000F3F03" w:rsidP="007B277A">
      <w:pPr>
        <w:numPr>
          <w:ilvl w:val="0"/>
          <w:numId w:val="5"/>
        </w:numPr>
        <w:spacing w:line="264" w:lineRule="auto"/>
        <w:jc w:val="both"/>
        <w:rPr>
          <w:rFonts w:ascii="Calibri" w:hAnsi="Calibri" w:cs="Arial"/>
          <w:bCs/>
          <w:lang w:val="en-GB"/>
        </w:rPr>
      </w:pPr>
      <w:r w:rsidRPr="00D44BA8">
        <w:rPr>
          <w:rFonts w:ascii="Calibri" w:hAnsi="Calibri" w:cs="Arial"/>
          <w:bCs/>
          <w:i/>
          <w:lang w:val="en-GB"/>
        </w:rPr>
        <w:t xml:space="preserve">Investments in </w:t>
      </w:r>
      <w:r w:rsidR="005C3844" w:rsidRPr="00D44BA8">
        <w:rPr>
          <w:rFonts w:ascii="Calibri" w:hAnsi="Calibri" w:cs="Arial"/>
          <w:bCs/>
          <w:i/>
          <w:lang w:val="en-GB"/>
        </w:rPr>
        <w:t>dwelling</w:t>
      </w:r>
      <w:r w:rsidR="00F03327" w:rsidRPr="00D44BA8">
        <w:rPr>
          <w:rFonts w:ascii="Calibri" w:hAnsi="Calibri" w:cs="Arial"/>
          <w:bCs/>
          <w:i/>
          <w:lang w:val="en-GB"/>
        </w:rPr>
        <w:t>s</w:t>
      </w:r>
      <w:r w:rsidRPr="00D44BA8">
        <w:rPr>
          <w:rFonts w:ascii="Calibri" w:hAnsi="Calibri" w:cs="Arial"/>
          <w:bCs/>
          <w:lang w:val="en-GB"/>
        </w:rPr>
        <w:t xml:space="preserve"> – investments in </w:t>
      </w:r>
      <w:r w:rsidR="00F164E7" w:rsidRPr="00D44BA8">
        <w:rPr>
          <w:rFonts w:ascii="Calibri" w:hAnsi="Calibri" w:cs="Arial"/>
          <w:bCs/>
          <w:lang w:val="en-GB"/>
        </w:rPr>
        <w:t>buildings</w:t>
      </w:r>
      <w:r w:rsidRPr="00D44BA8">
        <w:rPr>
          <w:rFonts w:ascii="Calibri" w:hAnsi="Calibri" w:cs="Arial"/>
          <w:bCs/>
          <w:lang w:val="en-GB"/>
        </w:rPr>
        <w:t xml:space="preserve"> used </w:t>
      </w:r>
      <w:r w:rsidR="00F164E7" w:rsidRPr="00D44BA8">
        <w:rPr>
          <w:rFonts w:ascii="Calibri" w:hAnsi="Calibri" w:cs="Arial"/>
          <w:bCs/>
          <w:lang w:val="en-GB"/>
        </w:rPr>
        <w:t xml:space="preserve">entirely or primarily as residences </w:t>
      </w:r>
      <w:r w:rsidRPr="00D44BA8">
        <w:rPr>
          <w:rFonts w:ascii="Calibri" w:hAnsi="Calibri" w:cs="Arial"/>
          <w:bCs/>
          <w:lang w:val="en-GB"/>
        </w:rPr>
        <w:t xml:space="preserve">or </w:t>
      </w:r>
      <w:r w:rsidR="005C3844" w:rsidRPr="00D44BA8">
        <w:rPr>
          <w:rFonts w:ascii="Calibri" w:hAnsi="Calibri" w:cs="Arial"/>
          <w:bCs/>
          <w:lang w:val="en-GB"/>
        </w:rPr>
        <w:t xml:space="preserve">as </w:t>
      </w:r>
      <w:r w:rsidRPr="00D44BA8">
        <w:rPr>
          <w:rFonts w:ascii="Calibri" w:hAnsi="Calibri" w:cs="Arial"/>
          <w:bCs/>
          <w:lang w:val="en-GB"/>
        </w:rPr>
        <w:t xml:space="preserve">casual housing (e.g. for leisure time purpose), such as family houses, dwelling buildings </w:t>
      </w:r>
      <w:r w:rsidR="005C3844" w:rsidRPr="00D44BA8">
        <w:rPr>
          <w:rFonts w:ascii="Calibri" w:hAnsi="Calibri" w:cs="Arial"/>
          <w:bCs/>
          <w:lang w:val="en-GB"/>
        </w:rPr>
        <w:t>at</w:t>
      </w:r>
      <w:r w:rsidRPr="00D44BA8">
        <w:rPr>
          <w:rFonts w:ascii="Calibri" w:hAnsi="Calibri" w:cs="Arial"/>
          <w:bCs/>
          <w:lang w:val="en-GB"/>
        </w:rPr>
        <w:t xml:space="preserve"> rural holdings, villas, country</w:t>
      </w:r>
      <w:r w:rsidRPr="001A603A">
        <w:rPr>
          <w:rFonts w:ascii="Calibri" w:hAnsi="Calibri" w:cs="Arial"/>
          <w:bCs/>
          <w:lang w:val="en-GB"/>
        </w:rPr>
        <w:t xml:space="preserve"> houses, mountain huts, </w:t>
      </w:r>
      <w:r w:rsidR="00BA5737" w:rsidRPr="001A603A">
        <w:rPr>
          <w:rFonts w:ascii="Calibri" w:hAnsi="Calibri" w:cs="Arial"/>
          <w:bCs/>
          <w:lang w:val="en-GB"/>
        </w:rPr>
        <w:t>hunting</w:t>
      </w:r>
      <w:r w:rsidRPr="001A603A">
        <w:rPr>
          <w:rFonts w:ascii="Calibri" w:hAnsi="Calibri" w:cs="Arial"/>
          <w:bCs/>
          <w:lang w:val="en-GB"/>
        </w:rPr>
        <w:t xml:space="preserve"> facilities, etc, as well as </w:t>
      </w:r>
      <w:r w:rsidR="00F164E7" w:rsidRPr="00F164E7">
        <w:rPr>
          <w:rFonts w:ascii="Calibri" w:hAnsi="Calibri" w:cs="Arial"/>
          <w:bCs/>
          <w:lang w:val="en-GB"/>
        </w:rPr>
        <w:t>residential buildings for communities</w:t>
      </w:r>
      <w:r w:rsidRPr="001A603A">
        <w:rPr>
          <w:rFonts w:ascii="Calibri" w:hAnsi="Calibri" w:cs="Arial"/>
          <w:bCs/>
          <w:lang w:val="en-GB"/>
        </w:rPr>
        <w:t>;</w:t>
      </w:r>
    </w:p>
    <w:p w:rsidR="001D5A9E" w:rsidRPr="004218AD" w:rsidRDefault="00BA5737" w:rsidP="007B277A">
      <w:pPr>
        <w:numPr>
          <w:ilvl w:val="0"/>
          <w:numId w:val="5"/>
        </w:numPr>
        <w:spacing w:line="264" w:lineRule="auto"/>
        <w:jc w:val="both"/>
        <w:rPr>
          <w:rFonts w:ascii="Calibri" w:hAnsi="Calibri"/>
          <w:bCs/>
          <w:u w:val="single"/>
          <w:lang w:val="en-GB"/>
        </w:rPr>
      </w:pPr>
      <w:r w:rsidRPr="001A603A">
        <w:rPr>
          <w:rFonts w:ascii="Calibri" w:hAnsi="Calibri" w:cs="Arial"/>
          <w:bCs/>
          <w:i/>
          <w:lang w:val="en-GB"/>
        </w:rPr>
        <w:t xml:space="preserve">Investments in other buildings and </w:t>
      </w:r>
      <w:r w:rsidR="00F03327" w:rsidRPr="00F03327">
        <w:rPr>
          <w:rFonts w:ascii="Calibri" w:hAnsi="Calibri" w:cs="Arial"/>
          <w:bCs/>
          <w:i/>
          <w:lang w:val="en-GB"/>
        </w:rPr>
        <w:t>structures</w:t>
      </w:r>
      <w:r w:rsidRPr="001A603A">
        <w:rPr>
          <w:rFonts w:ascii="Calibri" w:hAnsi="Calibri" w:cs="Arial"/>
          <w:bCs/>
          <w:i/>
          <w:lang w:val="en-GB"/>
        </w:rPr>
        <w:t xml:space="preserve"> – </w:t>
      </w:r>
      <w:r w:rsidRPr="001A603A">
        <w:rPr>
          <w:rFonts w:ascii="Calibri" w:hAnsi="Calibri" w:cs="Arial"/>
          <w:bCs/>
          <w:lang w:val="en-GB"/>
        </w:rPr>
        <w:t>investments in non-</w:t>
      </w:r>
      <w:r w:rsidR="001D5A9E" w:rsidRPr="001A603A">
        <w:rPr>
          <w:rFonts w:ascii="Calibri" w:hAnsi="Calibri" w:cs="Arial"/>
          <w:bCs/>
          <w:lang w:val="en-GB"/>
        </w:rPr>
        <w:t>housing buildings</w:t>
      </w:r>
      <w:r w:rsidRPr="001A603A">
        <w:rPr>
          <w:rFonts w:ascii="Calibri" w:hAnsi="Calibri" w:cs="Arial"/>
          <w:bCs/>
          <w:lang w:val="en-GB"/>
        </w:rPr>
        <w:t xml:space="preserve"> and other civil engineering constructions (traffic infrastructure, pipelines, communication and electricity networks, complex industrial and other not </w:t>
      </w:r>
      <w:r w:rsidR="005C3844" w:rsidRPr="001A603A">
        <w:rPr>
          <w:rFonts w:ascii="Calibri" w:hAnsi="Calibri" w:cs="Arial"/>
          <w:bCs/>
          <w:lang w:val="en-GB"/>
        </w:rPr>
        <w:t xml:space="preserve">previously </w:t>
      </w:r>
      <w:r w:rsidRPr="001A603A">
        <w:rPr>
          <w:rFonts w:ascii="Calibri" w:hAnsi="Calibri" w:cs="Arial"/>
          <w:bCs/>
          <w:lang w:val="en-GB"/>
        </w:rPr>
        <w:t xml:space="preserve">mentioned structures), as well as major land </w:t>
      </w:r>
      <w:r w:rsidR="00F164E7">
        <w:rPr>
          <w:rFonts w:ascii="Calibri" w:hAnsi="Calibri" w:cs="Arial"/>
          <w:bCs/>
          <w:lang w:val="en-GB"/>
        </w:rPr>
        <w:t>improvement</w:t>
      </w:r>
      <w:r w:rsidRPr="001A603A">
        <w:rPr>
          <w:rFonts w:ascii="Calibri" w:hAnsi="Calibri" w:cs="Arial"/>
          <w:bCs/>
          <w:lang w:val="en-GB"/>
        </w:rPr>
        <w:t>s</w:t>
      </w:r>
      <w:r w:rsidRPr="001A603A">
        <w:rPr>
          <w:rFonts w:ascii="Calibri" w:hAnsi="Calibri"/>
          <w:bCs/>
          <w:lang w:val="en-GB"/>
        </w:rPr>
        <w:t xml:space="preserve"> and all land </w:t>
      </w:r>
      <w:r w:rsidR="002A52D2" w:rsidRPr="001A603A">
        <w:rPr>
          <w:rFonts w:ascii="Calibri" w:hAnsi="Calibri"/>
          <w:bCs/>
          <w:lang w:val="en-GB"/>
        </w:rPr>
        <w:t>property</w:t>
      </w:r>
      <w:r w:rsidRPr="001A603A">
        <w:rPr>
          <w:rFonts w:ascii="Calibri" w:hAnsi="Calibri"/>
          <w:bCs/>
          <w:lang w:val="en-GB"/>
        </w:rPr>
        <w:t xml:space="preserve"> transfer</w:t>
      </w:r>
      <w:r w:rsidR="002A52D2" w:rsidRPr="001A603A">
        <w:rPr>
          <w:rFonts w:ascii="Calibri" w:hAnsi="Calibri"/>
          <w:bCs/>
          <w:lang w:val="en-GB"/>
        </w:rPr>
        <w:t xml:space="preserve"> costs. </w:t>
      </w:r>
      <w:r w:rsidR="009E5F08">
        <w:rPr>
          <w:rFonts w:ascii="Calibri" w:hAnsi="Calibri" w:cs="Arial"/>
          <w:bCs/>
          <w:lang w:val="en-GB"/>
        </w:rPr>
        <w:t>L</w:t>
      </w:r>
      <w:r w:rsidR="002A52D2" w:rsidRPr="001A603A">
        <w:rPr>
          <w:rFonts w:ascii="Calibri" w:hAnsi="Calibri" w:cs="Arial"/>
          <w:bCs/>
          <w:lang w:val="en-GB"/>
        </w:rPr>
        <w:t xml:space="preserve">and </w:t>
      </w:r>
      <w:r w:rsidR="00F164E7">
        <w:rPr>
          <w:rFonts w:ascii="Calibri" w:hAnsi="Calibri" w:cs="Arial"/>
          <w:bCs/>
          <w:lang w:val="en-GB"/>
        </w:rPr>
        <w:t>improvement</w:t>
      </w:r>
      <w:r w:rsidR="00F164E7" w:rsidRPr="001A603A">
        <w:rPr>
          <w:rFonts w:ascii="Calibri" w:hAnsi="Calibri" w:cs="Arial"/>
          <w:bCs/>
          <w:lang w:val="en-GB"/>
        </w:rPr>
        <w:t>s</w:t>
      </w:r>
      <w:r w:rsidR="002A52D2" w:rsidRPr="001A603A">
        <w:rPr>
          <w:rFonts w:ascii="Calibri" w:hAnsi="Calibri" w:cs="Arial"/>
          <w:bCs/>
          <w:lang w:val="en-GB"/>
        </w:rPr>
        <w:t xml:space="preserve"> refer to the increase of exploitable land as </w:t>
      </w:r>
      <w:r w:rsidR="001D5A9E" w:rsidRPr="001A603A">
        <w:rPr>
          <w:rFonts w:ascii="Calibri" w:hAnsi="Calibri" w:cs="Arial"/>
          <w:bCs/>
          <w:lang w:val="en-GB"/>
        </w:rPr>
        <w:t>resulting from</w:t>
      </w:r>
      <w:r w:rsidR="002A52D2" w:rsidRPr="001A603A">
        <w:rPr>
          <w:rFonts w:ascii="Calibri" w:hAnsi="Calibri" w:cs="Arial"/>
          <w:bCs/>
          <w:lang w:val="en-GB"/>
        </w:rPr>
        <w:t xml:space="preserve"> clearing forests, rocky soil, drainage of swamps, building of embankments or drainage canals, flood </w:t>
      </w:r>
      <w:r w:rsidR="005C3844" w:rsidRPr="001A603A">
        <w:rPr>
          <w:rFonts w:ascii="Calibri" w:hAnsi="Calibri" w:cs="Arial"/>
          <w:bCs/>
          <w:lang w:val="en-GB"/>
        </w:rPr>
        <w:t>or</w:t>
      </w:r>
      <w:r w:rsidR="002A52D2" w:rsidRPr="001A603A">
        <w:rPr>
          <w:rFonts w:ascii="Calibri" w:hAnsi="Calibri" w:cs="Arial"/>
          <w:bCs/>
          <w:lang w:val="en-GB"/>
        </w:rPr>
        <w:t xml:space="preserve"> land erosion</w:t>
      </w:r>
      <w:r w:rsidR="001D5A9E" w:rsidRPr="001A603A">
        <w:rPr>
          <w:rFonts w:ascii="Calibri" w:hAnsi="Calibri" w:cs="Arial"/>
          <w:bCs/>
          <w:lang w:val="en-GB"/>
        </w:rPr>
        <w:t xml:space="preserve"> protection</w:t>
      </w:r>
      <w:r w:rsidR="002A52D2" w:rsidRPr="001A603A">
        <w:rPr>
          <w:rFonts w:ascii="Calibri" w:hAnsi="Calibri" w:cs="Arial"/>
          <w:bCs/>
          <w:lang w:val="en-GB"/>
        </w:rPr>
        <w:t>, building land recovery facilities, dams and barriers</w:t>
      </w:r>
      <w:r w:rsidR="001D5A9E" w:rsidRPr="001A603A">
        <w:rPr>
          <w:rFonts w:ascii="Calibri" w:hAnsi="Calibri" w:cs="Arial"/>
          <w:bCs/>
          <w:lang w:val="en-GB"/>
        </w:rPr>
        <w:t>, etc.;</w:t>
      </w:r>
    </w:p>
    <w:p w:rsidR="009569AA" w:rsidRDefault="003B2910" w:rsidP="007B277A">
      <w:pPr>
        <w:numPr>
          <w:ilvl w:val="0"/>
          <w:numId w:val="5"/>
        </w:numPr>
        <w:spacing w:line="264" w:lineRule="auto"/>
        <w:jc w:val="both"/>
        <w:rPr>
          <w:rFonts w:ascii="Calibri" w:hAnsi="Calibri"/>
          <w:bCs/>
          <w:lang w:val="en-GB"/>
        </w:rPr>
      </w:pPr>
      <w:r w:rsidRPr="004218AD">
        <w:rPr>
          <w:rFonts w:ascii="Calibri" w:hAnsi="Calibri"/>
          <w:bCs/>
          <w:i/>
          <w:lang w:val="en-GB"/>
        </w:rPr>
        <w:t xml:space="preserve">Investments in machinery and equipment – </w:t>
      </w:r>
      <w:r w:rsidR="009569AA" w:rsidRPr="004218AD">
        <w:rPr>
          <w:rFonts w:ascii="Calibri" w:hAnsi="Calibri"/>
          <w:bCs/>
          <w:lang w:val="en-GB"/>
        </w:rPr>
        <w:t>acquisition</w:t>
      </w:r>
      <w:r w:rsidR="00B50D99">
        <w:rPr>
          <w:rFonts w:ascii="Calibri" w:hAnsi="Calibri"/>
          <w:bCs/>
          <w:lang w:val="en-GB"/>
        </w:rPr>
        <w:t>s</w:t>
      </w:r>
      <w:r w:rsidRPr="004218AD">
        <w:rPr>
          <w:rFonts w:ascii="Calibri" w:hAnsi="Calibri"/>
          <w:bCs/>
          <w:lang w:val="en-GB"/>
        </w:rPr>
        <w:t xml:space="preserve"> of domestic and</w:t>
      </w:r>
      <w:r w:rsidR="003F6B8D" w:rsidRPr="004218AD">
        <w:rPr>
          <w:rFonts w:ascii="Calibri" w:hAnsi="Calibri"/>
          <w:bCs/>
          <w:lang w:val="en-GB"/>
        </w:rPr>
        <w:t xml:space="preserve"> imported </w:t>
      </w:r>
      <w:r w:rsidRPr="004218AD">
        <w:rPr>
          <w:rFonts w:ascii="Calibri" w:hAnsi="Calibri"/>
          <w:bCs/>
          <w:lang w:val="en-GB"/>
        </w:rPr>
        <w:t xml:space="preserve"> transport equipment, </w:t>
      </w:r>
      <w:r w:rsidR="003F6B8D" w:rsidRPr="004218AD">
        <w:rPr>
          <w:rFonts w:ascii="Calibri" w:hAnsi="Calibri"/>
          <w:bCs/>
          <w:lang w:val="en-GB"/>
        </w:rPr>
        <w:t xml:space="preserve">machinery for information, communication and </w:t>
      </w:r>
      <w:r w:rsidR="003F6B8D" w:rsidRPr="004218AD">
        <w:rPr>
          <w:rFonts w:ascii="Calibri" w:hAnsi="Calibri"/>
          <w:bCs/>
          <w:lang w:val="en-GB"/>
        </w:rPr>
        <w:lastRenderedPageBreak/>
        <w:t>telecommunications (</w:t>
      </w:r>
      <w:r w:rsidRPr="004218AD">
        <w:rPr>
          <w:rFonts w:ascii="Calibri" w:hAnsi="Calibri"/>
          <w:bCs/>
          <w:lang w:val="en-GB"/>
        </w:rPr>
        <w:t>I</w:t>
      </w:r>
      <w:r w:rsidR="005C3844" w:rsidRPr="004218AD">
        <w:rPr>
          <w:rFonts w:ascii="Calibri" w:hAnsi="Calibri"/>
          <w:bCs/>
          <w:lang w:val="en-GB"/>
        </w:rPr>
        <w:t>C</w:t>
      </w:r>
      <w:r w:rsidRPr="004218AD">
        <w:rPr>
          <w:rFonts w:ascii="Calibri" w:hAnsi="Calibri"/>
          <w:bCs/>
          <w:lang w:val="en-GB"/>
        </w:rPr>
        <w:t>T equipment</w:t>
      </w:r>
      <w:r w:rsidR="003F6B8D" w:rsidRPr="004218AD">
        <w:rPr>
          <w:rFonts w:ascii="Calibri" w:hAnsi="Calibri"/>
          <w:bCs/>
          <w:lang w:val="en-GB"/>
        </w:rPr>
        <w:t>)</w:t>
      </w:r>
      <w:r w:rsidRPr="004218AD">
        <w:rPr>
          <w:rFonts w:ascii="Calibri" w:hAnsi="Calibri"/>
          <w:bCs/>
          <w:lang w:val="en-GB"/>
        </w:rPr>
        <w:t xml:space="preserve">, as well as other machinery with assembling costs included; </w:t>
      </w:r>
    </w:p>
    <w:p w:rsidR="00AA4DB4" w:rsidRPr="004218AD" w:rsidRDefault="003B2910" w:rsidP="007B277A">
      <w:pPr>
        <w:numPr>
          <w:ilvl w:val="0"/>
          <w:numId w:val="5"/>
        </w:numPr>
        <w:spacing w:line="264" w:lineRule="auto"/>
        <w:jc w:val="both"/>
        <w:rPr>
          <w:rFonts w:ascii="Calibri" w:hAnsi="Calibri"/>
          <w:bCs/>
          <w:lang w:val="en-GB"/>
        </w:rPr>
      </w:pPr>
      <w:r w:rsidRPr="001A603A">
        <w:rPr>
          <w:rFonts w:ascii="Calibri" w:hAnsi="Calibri"/>
          <w:bCs/>
          <w:i/>
          <w:lang w:val="en-GB"/>
        </w:rPr>
        <w:t xml:space="preserve">Investments in cultivated biological resources </w:t>
      </w:r>
      <w:r w:rsidRPr="004218AD">
        <w:rPr>
          <w:rFonts w:ascii="Calibri" w:hAnsi="Calibri"/>
          <w:bCs/>
          <w:lang w:val="en-GB"/>
        </w:rPr>
        <w:t xml:space="preserve">– </w:t>
      </w:r>
      <w:r w:rsidR="0038545F">
        <w:rPr>
          <w:rFonts w:ascii="Calibri" w:hAnsi="Calibri"/>
          <w:bCs/>
          <w:lang w:val="en-GB"/>
        </w:rPr>
        <w:t xml:space="preserve">investments in </w:t>
      </w:r>
      <w:r w:rsidR="004218AD" w:rsidRPr="004218AD">
        <w:rPr>
          <w:rFonts w:ascii="Calibri" w:hAnsi="Calibri"/>
          <w:bCs/>
          <w:lang w:val="en-GB"/>
        </w:rPr>
        <w:t xml:space="preserve">animal resources yielding repeated products (breeding stock, dairy cattle, sheep reared for wool and draught animals) </w:t>
      </w:r>
      <w:r w:rsidR="00B50D99">
        <w:rPr>
          <w:rFonts w:ascii="Calibri" w:hAnsi="Calibri"/>
          <w:bCs/>
          <w:lang w:val="en-GB"/>
        </w:rPr>
        <w:t>as well as investments</w:t>
      </w:r>
      <w:r w:rsidR="001719FE">
        <w:rPr>
          <w:rFonts w:ascii="Calibri" w:hAnsi="Calibri"/>
          <w:bCs/>
          <w:lang w:val="en-GB"/>
        </w:rPr>
        <w:t xml:space="preserve"> in</w:t>
      </w:r>
      <w:r w:rsidR="004218AD" w:rsidRPr="004218AD">
        <w:rPr>
          <w:rFonts w:ascii="Calibri" w:hAnsi="Calibri"/>
          <w:bCs/>
          <w:lang w:val="en-GB"/>
        </w:rPr>
        <w:t xml:space="preserve"> trees, crop and plant resources yielding repeated products (growing of new plants, forestation of rocky and barren land, and forestation by planting, vineyards)</w:t>
      </w:r>
      <w:r w:rsidR="001B6165" w:rsidRPr="001A603A">
        <w:rPr>
          <w:rFonts w:ascii="Calibri" w:hAnsi="Calibri"/>
          <w:bCs/>
          <w:lang w:val="en-GB"/>
        </w:rPr>
        <w:t>.</w:t>
      </w:r>
      <w:r w:rsidR="00373BAC">
        <w:rPr>
          <w:rFonts w:ascii="Calibri" w:hAnsi="Calibri"/>
          <w:bCs/>
          <w:lang w:val="en-GB"/>
        </w:rPr>
        <w:t xml:space="preserve"> </w:t>
      </w:r>
      <w:r w:rsidR="00373BAC" w:rsidRPr="00373BAC">
        <w:rPr>
          <w:rFonts w:ascii="Calibri" w:hAnsi="Calibri"/>
          <w:bCs/>
          <w:lang w:val="en-GB"/>
        </w:rPr>
        <w:t xml:space="preserve">The trees intended for cutting, annual crops and animals bred solely for slaughter do not </w:t>
      </w:r>
      <w:r w:rsidR="00373BAC">
        <w:rPr>
          <w:rFonts w:ascii="Calibri" w:hAnsi="Calibri"/>
          <w:bCs/>
          <w:lang w:val="en-GB"/>
        </w:rPr>
        <w:t>represent fixed assets</w:t>
      </w:r>
      <w:r w:rsidR="001B6165" w:rsidRPr="001A603A">
        <w:rPr>
          <w:rFonts w:ascii="Calibri" w:hAnsi="Calibri"/>
          <w:bCs/>
          <w:lang w:val="en-GB"/>
        </w:rPr>
        <w:t>;</w:t>
      </w:r>
    </w:p>
    <w:p w:rsidR="00F1652C" w:rsidRDefault="007D1B09" w:rsidP="007B277A">
      <w:pPr>
        <w:numPr>
          <w:ilvl w:val="0"/>
          <w:numId w:val="5"/>
        </w:numPr>
        <w:spacing w:after="240" w:line="264" w:lineRule="auto"/>
        <w:jc w:val="both"/>
        <w:rPr>
          <w:rFonts w:ascii="Calibri" w:eastAsia="SimSun" w:hAnsi="Calibri" w:cs="MyriadPro-LightSemiCn"/>
          <w:lang w:val="en-GB" w:eastAsia="zh-CN"/>
        </w:rPr>
      </w:pPr>
      <w:r w:rsidRPr="001A603A">
        <w:rPr>
          <w:rFonts w:ascii="Calibri" w:eastAsia="SimSun" w:hAnsi="Calibri" w:cs="MyriadPro-LightSemiCn"/>
          <w:i/>
          <w:lang w:val="en-GB" w:eastAsia="zh-CN"/>
        </w:rPr>
        <w:t xml:space="preserve">Investments in intellectual property </w:t>
      </w:r>
      <w:r w:rsidR="00F03327" w:rsidRPr="00F03327">
        <w:rPr>
          <w:rFonts w:ascii="Calibri" w:eastAsia="SimSun" w:hAnsi="Calibri" w:cs="MyriadPro-LightSemiCn"/>
          <w:i/>
          <w:lang w:val="en-GB" w:eastAsia="zh-CN"/>
        </w:rPr>
        <w:t>products</w:t>
      </w:r>
      <w:r w:rsidR="00F03327" w:rsidRPr="001A603A">
        <w:rPr>
          <w:rFonts w:ascii="Calibri" w:eastAsia="SimSun" w:hAnsi="Calibri" w:cs="MyriadPro-LightSemiCn"/>
          <w:i/>
          <w:lang w:val="en-GB" w:eastAsia="zh-CN"/>
        </w:rPr>
        <w:t xml:space="preserve"> </w:t>
      </w:r>
      <w:r w:rsidRPr="001A603A">
        <w:rPr>
          <w:rFonts w:ascii="Calibri" w:eastAsia="SimSun" w:hAnsi="Calibri" w:cs="MyriadPro-LightSemiCn"/>
          <w:i/>
          <w:lang w:val="en-GB" w:eastAsia="zh-CN"/>
        </w:rPr>
        <w:t xml:space="preserve">– </w:t>
      </w:r>
      <w:r w:rsidR="005F1A6A">
        <w:rPr>
          <w:rFonts w:ascii="Calibri" w:eastAsia="SimSun" w:hAnsi="Calibri" w:cs="MyriadPro-LightSemiCn"/>
          <w:lang w:val="en-GB" w:eastAsia="zh-CN"/>
        </w:rPr>
        <w:t>i</w:t>
      </w:r>
      <w:r w:rsidRPr="001A603A">
        <w:rPr>
          <w:rFonts w:ascii="Calibri" w:eastAsia="SimSun" w:hAnsi="Calibri" w:cs="MyriadPro-LightSemiCn"/>
          <w:lang w:val="en-GB" w:eastAsia="zh-CN"/>
        </w:rPr>
        <w:t xml:space="preserve">nvestments in </w:t>
      </w:r>
      <w:r w:rsidR="00C51C19" w:rsidRPr="001A603A">
        <w:rPr>
          <w:rFonts w:ascii="Calibri" w:eastAsia="SimSun" w:hAnsi="Calibri" w:cs="MyriadPro-LightSemiCn"/>
          <w:lang w:val="en-GB" w:eastAsia="zh-CN"/>
        </w:rPr>
        <w:t>development and purchase</w:t>
      </w:r>
      <w:r w:rsidR="00F1652C" w:rsidRPr="001A603A">
        <w:rPr>
          <w:rFonts w:ascii="Calibri" w:eastAsia="SimSun" w:hAnsi="Calibri" w:cs="MyriadPro-LightSemiCn"/>
          <w:lang w:val="en-GB" w:eastAsia="zh-CN"/>
        </w:rPr>
        <w:t xml:space="preserve"> of software and large databases that are used in production process for more than one year, research and development, mining (mineral) </w:t>
      </w:r>
      <w:r w:rsidR="000E08D1">
        <w:rPr>
          <w:rFonts w:ascii="Calibri" w:eastAsia="SimSun" w:hAnsi="Calibri" w:cs="MyriadPro-LightSemiCn"/>
          <w:lang w:val="en-GB" w:eastAsia="zh-CN"/>
        </w:rPr>
        <w:t>exploration</w:t>
      </w:r>
      <w:r w:rsidR="00F1652C" w:rsidRPr="001A603A">
        <w:rPr>
          <w:rFonts w:ascii="Calibri" w:eastAsia="SimSun" w:hAnsi="Calibri" w:cs="MyriadPro-LightSemiCn"/>
          <w:lang w:val="en-GB" w:eastAsia="zh-CN"/>
        </w:rPr>
        <w:t>, literary and artistic originals and other intellectual property</w:t>
      </w:r>
      <w:r w:rsidR="00F03327">
        <w:rPr>
          <w:rFonts w:ascii="Calibri" w:eastAsia="SimSun" w:hAnsi="Calibri" w:cs="MyriadPro-LightSemiCn"/>
          <w:lang w:val="en-GB" w:eastAsia="zh-CN"/>
        </w:rPr>
        <w:t xml:space="preserve"> </w:t>
      </w:r>
      <w:r w:rsidR="00F03327" w:rsidRPr="00F03327">
        <w:rPr>
          <w:rFonts w:ascii="Calibri" w:eastAsia="SimSun" w:hAnsi="Calibri" w:cs="MyriadPro-LightSemiCn"/>
          <w:lang w:val="en-GB" w:eastAsia="zh-CN"/>
        </w:rPr>
        <w:t>products</w:t>
      </w:r>
      <w:r w:rsidR="00F1652C" w:rsidRPr="001A603A">
        <w:rPr>
          <w:rFonts w:ascii="Calibri" w:eastAsia="SimSun" w:hAnsi="Calibri" w:cs="MyriadPro-LightSemiCn"/>
          <w:lang w:val="en-GB" w:eastAsia="zh-CN"/>
        </w:rPr>
        <w:t>.</w:t>
      </w:r>
    </w:p>
    <w:p w:rsidR="001A2781" w:rsidRPr="00373BAC" w:rsidRDefault="00502689" w:rsidP="007B277A">
      <w:pPr>
        <w:pStyle w:val="CM12"/>
        <w:spacing w:before="200" w:after="240" w:line="264" w:lineRule="auto"/>
        <w:jc w:val="both"/>
        <w:rPr>
          <w:rFonts w:ascii="Calibri" w:hAnsi="Calibri" w:cs="Arial"/>
          <w:lang w:val="en-GB"/>
        </w:rPr>
      </w:pPr>
      <w:r w:rsidRPr="00E131E5">
        <w:rPr>
          <w:rFonts w:ascii="Calibri" w:hAnsi="Calibri" w:cs="Arial"/>
          <w:lang w:val="en-GB"/>
        </w:rPr>
        <w:t xml:space="preserve">The fixed assets that are invested into may be either new or </w:t>
      </w:r>
      <w:r w:rsidRPr="00373BAC">
        <w:rPr>
          <w:rFonts w:ascii="Calibri" w:hAnsi="Calibri" w:cs="Arial"/>
          <w:lang w:val="en-GB"/>
        </w:rPr>
        <w:t>existing fixed assets</w:t>
      </w:r>
      <w:r w:rsidRPr="00E131E5">
        <w:rPr>
          <w:rFonts w:ascii="Calibri" w:hAnsi="Calibri" w:cs="Arial"/>
          <w:lang w:val="en-GB"/>
        </w:rPr>
        <w:t>.</w:t>
      </w:r>
      <w:r w:rsidR="00F1652C" w:rsidRPr="00373BAC">
        <w:rPr>
          <w:rFonts w:ascii="Calibri" w:hAnsi="Calibri" w:cs="Arial"/>
          <w:lang w:val="en-GB"/>
        </w:rPr>
        <w:t xml:space="preserve"> Investments in </w:t>
      </w:r>
      <w:r w:rsidR="00F1652C" w:rsidRPr="00CC18BA">
        <w:rPr>
          <w:rFonts w:ascii="Calibri" w:hAnsi="Calibri" w:cs="Arial"/>
          <w:i/>
          <w:lang w:val="en-GB"/>
        </w:rPr>
        <w:t>new</w:t>
      </w:r>
      <w:r w:rsidR="00F1652C" w:rsidRPr="00373BAC">
        <w:rPr>
          <w:rFonts w:ascii="Calibri" w:hAnsi="Calibri" w:cs="Arial"/>
          <w:lang w:val="en-GB"/>
        </w:rPr>
        <w:t xml:space="preserve"> </w:t>
      </w:r>
      <w:r w:rsidR="00E131E5" w:rsidRPr="00373BAC">
        <w:rPr>
          <w:rFonts w:ascii="Calibri" w:hAnsi="Calibri" w:cs="Arial"/>
          <w:lang w:val="en-GB"/>
        </w:rPr>
        <w:t xml:space="preserve">fixed </w:t>
      </w:r>
      <w:r w:rsidR="00F1652C" w:rsidRPr="00373BAC">
        <w:rPr>
          <w:rFonts w:ascii="Calibri" w:hAnsi="Calibri" w:cs="Arial"/>
          <w:lang w:val="en-GB"/>
        </w:rPr>
        <w:t xml:space="preserve">assets include </w:t>
      </w:r>
      <w:r w:rsidR="00373BAC" w:rsidRPr="004218AD">
        <w:rPr>
          <w:rFonts w:ascii="Calibri" w:hAnsi="Calibri"/>
          <w:bCs/>
          <w:lang w:val="en-GB"/>
        </w:rPr>
        <w:t>acquisition</w:t>
      </w:r>
      <w:r w:rsidR="00373BAC">
        <w:rPr>
          <w:rFonts w:ascii="Calibri" w:hAnsi="Calibri"/>
          <w:bCs/>
          <w:lang w:val="en-GB"/>
        </w:rPr>
        <w:t>s</w:t>
      </w:r>
      <w:r w:rsidR="00F1652C" w:rsidRPr="00373BAC">
        <w:rPr>
          <w:rFonts w:ascii="Calibri" w:hAnsi="Calibri" w:cs="Arial"/>
          <w:lang w:val="en-GB"/>
        </w:rPr>
        <w:t xml:space="preserve"> of </w:t>
      </w:r>
      <w:r w:rsidR="006A474F">
        <w:rPr>
          <w:rFonts w:ascii="Calibri" w:hAnsi="Calibri" w:cs="Arial"/>
          <w:lang w:val="en-GB"/>
        </w:rPr>
        <w:t>capital goods</w:t>
      </w:r>
      <w:r w:rsidR="00F1652C" w:rsidRPr="00373BAC">
        <w:rPr>
          <w:rFonts w:ascii="Calibri" w:hAnsi="Calibri" w:cs="Arial"/>
          <w:lang w:val="en-GB"/>
        </w:rPr>
        <w:t xml:space="preserve"> that have not been subject of purchase </w:t>
      </w:r>
      <w:r w:rsidR="00B859A1" w:rsidRPr="00373BAC">
        <w:rPr>
          <w:rFonts w:ascii="Calibri" w:hAnsi="Calibri" w:cs="Arial"/>
          <w:lang w:val="en-GB"/>
        </w:rPr>
        <w:t xml:space="preserve">or exchange </w:t>
      </w:r>
      <w:r w:rsidR="00F1652C" w:rsidRPr="00373BAC">
        <w:rPr>
          <w:rFonts w:ascii="Calibri" w:hAnsi="Calibri" w:cs="Arial"/>
          <w:lang w:val="en-GB"/>
        </w:rPr>
        <w:t xml:space="preserve">between direct users of these goods (made directly from contractors, manufacturers of equipment, or fixed assets produced under own arrangements). Included are also investments in major improvements of existing fixed assets, investments in major land </w:t>
      </w:r>
      <w:r w:rsidR="000F6EB6">
        <w:rPr>
          <w:rFonts w:ascii="Calibri" w:hAnsi="Calibri" w:cs="Arial"/>
          <w:lang w:val="en-GB"/>
        </w:rPr>
        <w:t>improveme</w:t>
      </w:r>
      <w:r w:rsidR="000F6EB6" w:rsidRPr="00373BAC">
        <w:rPr>
          <w:rFonts w:ascii="Calibri" w:hAnsi="Calibri" w:cs="Arial"/>
          <w:lang w:val="en-GB"/>
        </w:rPr>
        <w:t>nts</w:t>
      </w:r>
      <w:r w:rsidR="00F1652C" w:rsidRPr="00373BAC">
        <w:rPr>
          <w:rFonts w:ascii="Calibri" w:hAnsi="Calibri" w:cs="Arial"/>
          <w:lang w:val="en-GB"/>
        </w:rPr>
        <w:t>, property transfer costs</w:t>
      </w:r>
      <w:r w:rsidR="00B859A1" w:rsidRPr="00373BAC">
        <w:rPr>
          <w:rFonts w:ascii="Calibri" w:hAnsi="Calibri" w:cs="Arial"/>
          <w:lang w:val="en-GB"/>
        </w:rPr>
        <w:t xml:space="preserve"> (fees of intermediation, estimators, lawyers,</w:t>
      </w:r>
      <w:r w:rsidR="00F1652C" w:rsidRPr="00373BAC">
        <w:rPr>
          <w:rFonts w:ascii="Calibri" w:hAnsi="Calibri" w:cs="Arial"/>
          <w:lang w:val="en-GB"/>
        </w:rPr>
        <w:t xml:space="preserve"> </w:t>
      </w:r>
      <w:r w:rsidR="00B859A1" w:rsidRPr="00373BAC">
        <w:rPr>
          <w:rFonts w:ascii="Calibri" w:hAnsi="Calibri" w:cs="Arial"/>
          <w:lang w:val="en-GB"/>
        </w:rPr>
        <w:t>engineers, auctioneer fees</w:t>
      </w:r>
      <w:r w:rsidR="00265831" w:rsidRPr="00373BAC">
        <w:rPr>
          <w:rFonts w:ascii="Calibri" w:hAnsi="Calibri" w:cs="Arial"/>
          <w:lang w:val="en-GB"/>
        </w:rPr>
        <w:t xml:space="preserve">, taxes, etc.) for land and other non-produced assets, used equipment purchased abroad, as well as </w:t>
      </w:r>
      <w:r w:rsidR="00F1652C" w:rsidRPr="00373BAC">
        <w:rPr>
          <w:rFonts w:ascii="Calibri" w:hAnsi="Calibri" w:cs="Arial"/>
          <w:lang w:val="en-GB"/>
        </w:rPr>
        <w:t>second-hand passenger cars</w:t>
      </w:r>
      <w:r w:rsidR="009A7B40" w:rsidRPr="00373BAC">
        <w:rPr>
          <w:rFonts w:ascii="Calibri" w:hAnsi="Calibri" w:cs="Arial"/>
          <w:lang w:val="en-GB"/>
        </w:rPr>
        <w:t xml:space="preserve"> purchased</w:t>
      </w:r>
      <w:r w:rsidR="00F1652C" w:rsidRPr="00373BAC">
        <w:rPr>
          <w:rFonts w:ascii="Calibri" w:hAnsi="Calibri" w:cs="Arial"/>
          <w:lang w:val="en-GB"/>
        </w:rPr>
        <w:t xml:space="preserve"> from physical persons.</w:t>
      </w:r>
      <w:r w:rsidR="00265831" w:rsidRPr="00373BAC">
        <w:rPr>
          <w:rFonts w:ascii="Calibri" w:hAnsi="Calibri" w:cs="Arial"/>
          <w:lang w:val="en-GB"/>
        </w:rPr>
        <w:t xml:space="preserve"> </w:t>
      </w:r>
      <w:r w:rsidR="00F96FC0" w:rsidRPr="00373BAC">
        <w:rPr>
          <w:rFonts w:ascii="Calibri" w:hAnsi="Calibri" w:cs="Arial"/>
          <w:lang w:val="en-GB"/>
        </w:rPr>
        <w:t>Major improvements of existing fixed assets include</w:t>
      </w:r>
      <w:r w:rsidR="009A7B40" w:rsidRPr="00373BAC">
        <w:rPr>
          <w:rFonts w:ascii="Calibri" w:hAnsi="Calibri" w:cs="Arial"/>
          <w:lang w:val="en-GB"/>
        </w:rPr>
        <w:t xml:space="preserve"> modernization,</w:t>
      </w:r>
      <w:r w:rsidR="00F96FC0" w:rsidRPr="00373BAC">
        <w:rPr>
          <w:rFonts w:ascii="Calibri" w:hAnsi="Calibri" w:cs="Arial"/>
          <w:lang w:val="en-GB"/>
        </w:rPr>
        <w:t xml:space="preserve"> reconstruction</w:t>
      </w:r>
      <w:r w:rsidR="009A7B40" w:rsidRPr="00373BAC">
        <w:rPr>
          <w:rFonts w:ascii="Calibri" w:hAnsi="Calibri" w:cs="Arial"/>
          <w:lang w:val="en-GB"/>
        </w:rPr>
        <w:t>, add</w:t>
      </w:r>
      <w:r w:rsidR="00F96FC0" w:rsidRPr="00373BAC">
        <w:rPr>
          <w:rFonts w:ascii="Calibri" w:hAnsi="Calibri" w:cs="Arial"/>
          <w:lang w:val="en-GB"/>
        </w:rPr>
        <w:t xml:space="preserve">-ons and enlargement that can increase production capacities and/or considerably prolong useful life of the fixed assets. </w:t>
      </w:r>
      <w:r w:rsidR="00F1652C" w:rsidRPr="00373BAC">
        <w:rPr>
          <w:rFonts w:ascii="Calibri" w:hAnsi="Calibri" w:cs="Arial"/>
          <w:lang w:val="en-GB"/>
        </w:rPr>
        <w:t>Major improvements of existing fixed assets should be distinguished from regular maintenance and repair, which are</w:t>
      </w:r>
      <w:r w:rsidR="009A7B40" w:rsidRPr="00373BAC">
        <w:rPr>
          <w:rFonts w:ascii="Calibri" w:hAnsi="Calibri" w:cs="Arial"/>
          <w:lang w:val="en-GB"/>
        </w:rPr>
        <w:t xml:space="preserve"> not</w:t>
      </w:r>
      <w:r w:rsidR="00F1652C" w:rsidRPr="00373BAC">
        <w:rPr>
          <w:rFonts w:ascii="Calibri" w:hAnsi="Calibri" w:cs="Arial"/>
          <w:lang w:val="en-GB"/>
        </w:rPr>
        <w:t xml:space="preserve"> </w:t>
      </w:r>
      <w:r w:rsidR="00390880" w:rsidRPr="00373BAC">
        <w:rPr>
          <w:rFonts w:ascii="Calibri" w:hAnsi="Calibri" w:cs="Arial"/>
          <w:lang w:val="en-GB"/>
        </w:rPr>
        <w:t>considered as investments.</w:t>
      </w:r>
    </w:p>
    <w:p w:rsidR="00D44BA8" w:rsidRDefault="00D94D73" w:rsidP="007B277A">
      <w:pPr>
        <w:pStyle w:val="BodyTextIndent"/>
        <w:spacing w:after="240" w:line="264" w:lineRule="auto"/>
        <w:ind w:left="0"/>
        <w:rPr>
          <w:rFonts w:ascii="Calibri" w:hAnsi="Calibri" w:cs="Arial"/>
          <w:b w:val="0"/>
          <w:bCs w:val="0"/>
          <w:u w:val="none"/>
          <w:lang w:val="en-GB"/>
        </w:rPr>
      </w:pPr>
      <w:r w:rsidRPr="001A603A">
        <w:rPr>
          <w:rFonts w:ascii="Calibri" w:hAnsi="Calibri" w:cs="Arial"/>
          <w:b w:val="0"/>
          <w:bCs w:val="0"/>
          <w:u w:val="none"/>
          <w:lang w:val="en-GB"/>
        </w:rPr>
        <w:t xml:space="preserve">Investments in the purchase of </w:t>
      </w:r>
      <w:r w:rsidR="00CC18BA" w:rsidRPr="00CC18BA">
        <w:rPr>
          <w:rFonts w:ascii="Calibri" w:hAnsi="Calibri" w:cs="Arial"/>
          <w:b w:val="0"/>
          <w:bCs w:val="0"/>
          <w:i/>
          <w:u w:val="none"/>
          <w:lang w:val="en-GB"/>
        </w:rPr>
        <w:t>existing</w:t>
      </w:r>
      <w:r w:rsidRPr="001A603A">
        <w:rPr>
          <w:rFonts w:ascii="Calibri" w:hAnsi="Calibri" w:cs="Arial"/>
          <w:b w:val="0"/>
          <w:bCs w:val="0"/>
          <w:u w:val="none"/>
          <w:lang w:val="en-GB"/>
        </w:rPr>
        <w:t xml:space="preserve"> fixed assets </w:t>
      </w:r>
      <w:r w:rsidR="009A7B40" w:rsidRPr="001A603A">
        <w:rPr>
          <w:rFonts w:ascii="Calibri" w:hAnsi="Calibri" w:cs="Arial"/>
          <w:b w:val="0"/>
          <w:bCs w:val="0"/>
          <w:u w:val="none"/>
          <w:lang w:val="en-GB"/>
        </w:rPr>
        <w:t>refer to</w:t>
      </w:r>
      <w:r w:rsidRPr="001A603A">
        <w:rPr>
          <w:rFonts w:ascii="Calibri" w:hAnsi="Calibri" w:cs="Arial"/>
          <w:b w:val="0"/>
          <w:bCs w:val="0"/>
          <w:u w:val="none"/>
          <w:lang w:val="en-GB"/>
        </w:rPr>
        <w:t xml:space="preserve"> fixe</w:t>
      </w:r>
      <w:r w:rsidR="00CC18BA">
        <w:rPr>
          <w:rFonts w:ascii="Calibri" w:hAnsi="Calibri" w:cs="Arial"/>
          <w:b w:val="0"/>
          <w:bCs w:val="0"/>
          <w:u w:val="none"/>
          <w:lang w:val="en-GB"/>
        </w:rPr>
        <w:t>d assets that were not</w:t>
      </w:r>
      <w:r w:rsidR="00CC18BA" w:rsidRPr="00CC18BA">
        <w:rPr>
          <w:rFonts w:ascii="Calibri" w:hAnsi="Calibri" w:cs="Arial"/>
          <w:b w:val="0"/>
          <w:bCs w:val="0"/>
          <w:u w:val="none"/>
          <w:lang w:val="en-GB"/>
        </w:rPr>
        <w:t xml:space="preserve"> acquired</w:t>
      </w:r>
      <w:r w:rsidRPr="001A603A">
        <w:rPr>
          <w:rFonts w:ascii="Calibri" w:hAnsi="Calibri" w:cs="Arial"/>
          <w:b w:val="0"/>
          <w:bCs w:val="0"/>
          <w:u w:val="none"/>
          <w:lang w:val="en-GB"/>
        </w:rPr>
        <w:t xml:space="preserve"> directly from contractors, manufacturers of equipment</w:t>
      </w:r>
      <w:r w:rsidR="009A7B40" w:rsidRPr="001A603A">
        <w:rPr>
          <w:rFonts w:ascii="Calibri" w:hAnsi="Calibri" w:cs="Arial"/>
          <w:b w:val="0"/>
          <w:bCs w:val="0"/>
          <w:u w:val="none"/>
          <w:lang w:val="en-GB"/>
        </w:rPr>
        <w:t>, nor were</w:t>
      </w:r>
      <w:r w:rsidRPr="001A603A">
        <w:rPr>
          <w:rFonts w:ascii="Calibri" w:hAnsi="Calibri" w:cs="Arial"/>
          <w:b w:val="0"/>
          <w:bCs w:val="0"/>
          <w:u w:val="none"/>
          <w:lang w:val="en-GB"/>
        </w:rPr>
        <w:t xml:space="preserve"> produced under own arrangement. The value of purchased land is also included, while property transfer costs related to this land</w:t>
      </w:r>
      <w:r w:rsidR="009A7B40" w:rsidRPr="001A603A">
        <w:rPr>
          <w:rFonts w:ascii="Calibri" w:hAnsi="Calibri" w:cs="Arial"/>
          <w:b w:val="0"/>
          <w:bCs w:val="0"/>
          <w:u w:val="none"/>
          <w:lang w:val="en-GB"/>
        </w:rPr>
        <w:t xml:space="preserve"> are regarded as investments in new fixed assets. </w:t>
      </w:r>
    </w:p>
    <w:p w:rsidR="00C317C1" w:rsidRPr="001A603A" w:rsidRDefault="00AC49EE" w:rsidP="007B277A">
      <w:pPr>
        <w:pStyle w:val="BodyTextIndent"/>
        <w:spacing w:after="120" w:line="264" w:lineRule="auto"/>
        <w:ind w:left="0"/>
        <w:rPr>
          <w:rFonts w:ascii="Calibri" w:hAnsi="Calibri" w:cs="Arial"/>
          <w:b w:val="0"/>
          <w:bCs w:val="0"/>
          <w:u w:val="none"/>
          <w:lang w:val="en-GB"/>
        </w:rPr>
      </w:pPr>
      <w:r>
        <w:rPr>
          <w:rFonts w:ascii="Calibri" w:hAnsi="Calibri" w:cs="Arial"/>
          <w:b w:val="0"/>
          <w:bCs w:val="0"/>
          <w:u w:val="none"/>
          <w:lang w:val="en-GB"/>
        </w:rPr>
        <w:t>I</w:t>
      </w:r>
      <w:r w:rsidR="00C317C1" w:rsidRPr="001A603A">
        <w:rPr>
          <w:rFonts w:ascii="Calibri" w:hAnsi="Calibri" w:cs="Arial"/>
          <w:b w:val="0"/>
          <w:bCs w:val="0"/>
          <w:u w:val="none"/>
          <w:lang w:val="en-GB"/>
        </w:rPr>
        <w:t>nvestments in new fixed assets</w:t>
      </w:r>
      <w:r>
        <w:rPr>
          <w:rFonts w:ascii="Calibri" w:hAnsi="Calibri" w:cs="Arial"/>
          <w:b w:val="0"/>
          <w:bCs w:val="0"/>
          <w:u w:val="none"/>
          <w:lang w:val="en-GB"/>
        </w:rPr>
        <w:t xml:space="preserve">, by type of construction and </w:t>
      </w:r>
      <w:r w:rsidRPr="001A603A">
        <w:rPr>
          <w:rFonts w:ascii="Calibri" w:hAnsi="Calibri" w:cs="Arial"/>
          <w:b w:val="0"/>
          <w:bCs w:val="0"/>
          <w:u w:val="none"/>
          <w:lang w:val="en-GB"/>
        </w:rPr>
        <w:t>investments purpose</w:t>
      </w:r>
      <w:r>
        <w:rPr>
          <w:rFonts w:ascii="Calibri" w:hAnsi="Calibri" w:cs="Arial"/>
          <w:b w:val="0"/>
          <w:bCs w:val="0"/>
          <w:u w:val="none"/>
          <w:lang w:val="en-GB"/>
        </w:rPr>
        <w:t>,</w:t>
      </w:r>
      <w:r w:rsidRPr="001A603A">
        <w:rPr>
          <w:rFonts w:ascii="Calibri" w:hAnsi="Calibri" w:cs="Arial"/>
          <w:b w:val="0"/>
          <w:bCs w:val="0"/>
          <w:u w:val="none"/>
          <w:lang w:val="en-GB"/>
        </w:rPr>
        <w:t xml:space="preserve"> </w:t>
      </w:r>
      <w:r w:rsidR="00C317C1" w:rsidRPr="001A603A">
        <w:rPr>
          <w:rFonts w:ascii="Calibri" w:hAnsi="Calibri" w:cs="Arial"/>
          <w:b w:val="0"/>
          <w:bCs w:val="0"/>
          <w:u w:val="none"/>
          <w:lang w:val="en-GB"/>
        </w:rPr>
        <w:t>include:</w:t>
      </w:r>
    </w:p>
    <w:p w:rsidR="00C058E5" w:rsidRPr="001A603A" w:rsidRDefault="00C317C1" w:rsidP="007B277A">
      <w:pPr>
        <w:pStyle w:val="BodyTextIndent"/>
        <w:numPr>
          <w:ilvl w:val="0"/>
          <w:numId w:val="4"/>
        </w:numPr>
        <w:spacing w:line="264" w:lineRule="auto"/>
        <w:rPr>
          <w:rFonts w:ascii="Calibri" w:hAnsi="Calibri" w:cs="Arial"/>
          <w:b w:val="0"/>
          <w:u w:val="none"/>
          <w:lang w:val="en-GB"/>
        </w:rPr>
      </w:pPr>
      <w:r w:rsidRPr="001A603A">
        <w:rPr>
          <w:rFonts w:ascii="Calibri" w:hAnsi="Calibri"/>
          <w:b w:val="0"/>
          <w:i/>
          <w:u w:val="none"/>
          <w:lang w:val="en-GB"/>
        </w:rPr>
        <w:t xml:space="preserve">Investments in construction and </w:t>
      </w:r>
      <w:r w:rsidR="00AC49EE" w:rsidRPr="00AC49EE">
        <w:rPr>
          <w:rFonts w:ascii="Calibri" w:hAnsi="Calibri"/>
          <w:b w:val="0"/>
          <w:i/>
          <w:u w:val="none"/>
          <w:lang w:val="en-GB"/>
        </w:rPr>
        <w:t>acquisitions</w:t>
      </w:r>
      <w:r w:rsidRPr="001A603A">
        <w:rPr>
          <w:rFonts w:ascii="Calibri" w:hAnsi="Calibri"/>
          <w:b w:val="0"/>
          <w:i/>
          <w:u w:val="none"/>
          <w:lang w:val="en-GB"/>
        </w:rPr>
        <w:t xml:space="preserve"> of new facilities </w:t>
      </w:r>
      <w:r w:rsidR="00C058E5" w:rsidRPr="001A603A">
        <w:rPr>
          <w:rFonts w:ascii="Calibri" w:hAnsi="Calibri"/>
          <w:b w:val="0"/>
          <w:i/>
          <w:u w:val="none"/>
          <w:lang w:val="en-GB"/>
        </w:rPr>
        <w:t>–</w:t>
      </w:r>
      <w:r w:rsidRPr="001A603A">
        <w:rPr>
          <w:rFonts w:ascii="Calibri" w:hAnsi="Calibri"/>
          <w:b w:val="0"/>
          <w:i/>
          <w:u w:val="none"/>
          <w:lang w:val="en-GB"/>
        </w:rPr>
        <w:t xml:space="preserve"> </w:t>
      </w:r>
      <w:r w:rsidRPr="001A603A">
        <w:rPr>
          <w:rFonts w:ascii="Calibri" w:hAnsi="Calibri"/>
          <w:b w:val="0"/>
          <w:u w:val="none"/>
          <w:lang w:val="en-GB"/>
        </w:rPr>
        <w:t>investments</w:t>
      </w:r>
      <w:r w:rsidR="00C058E5" w:rsidRPr="001A603A">
        <w:rPr>
          <w:rFonts w:ascii="Calibri" w:hAnsi="Calibri"/>
          <w:b w:val="0"/>
          <w:u w:val="none"/>
          <w:lang w:val="en-GB"/>
        </w:rPr>
        <w:t xml:space="preserve"> </w:t>
      </w:r>
      <w:r w:rsidRPr="001A603A">
        <w:rPr>
          <w:rFonts w:ascii="Calibri" w:hAnsi="Calibri"/>
          <w:b w:val="0"/>
          <w:u w:val="none"/>
          <w:lang w:val="en-GB"/>
        </w:rPr>
        <w:t xml:space="preserve">in </w:t>
      </w:r>
      <w:r w:rsidR="00C058E5" w:rsidRPr="001A603A">
        <w:rPr>
          <w:rFonts w:ascii="Calibri" w:hAnsi="Calibri"/>
          <w:b w:val="0"/>
          <w:u w:val="none"/>
          <w:lang w:val="en-GB"/>
        </w:rPr>
        <w:t xml:space="preserve">all categories of </w:t>
      </w:r>
      <w:r w:rsidRPr="001A603A">
        <w:rPr>
          <w:rFonts w:ascii="Calibri" w:hAnsi="Calibri"/>
          <w:b w:val="0"/>
          <w:u w:val="none"/>
          <w:lang w:val="en-GB"/>
        </w:rPr>
        <w:t>new fixed assets</w:t>
      </w:r>
      <w:r w:rsidR="00C058E5" w:rsidRPr="001A603A">
        <w:rPr>
          <w:rFonts w:ascii="Calibri" w:hAnsi="Calibri"/>
          <w:b w:val="0"/>
          <w:u w:val="none"/>
          <w:lang w:val="en-GB"/>
        </w:rPr>
        <w:t>, as well as continued construction works or previously suspended investments;</w:t>
      </w:r>
    </w:p>
    <w:p w:rsidR="00C058E5" w:rsidRPr="001A603A" w:rsidRDefault="00C058E5" w:rsidP="007B277A">
      <w:pPr>
        <w:pStyle w:val="BodyTextIndent"/>
        <w:numPr>
          <w:ilvl w:val="0"/>
          <w:numId w:val="4"/>
        </w:numPr>
        <w:spacing w:line="264" w:lineRule="auto"/>
        <w:rPr>
          <w:rFonts w:ascii="Calibri" w:hAnsi="Calibri" w:cs="Arial"/>
          <w:b w:val="0"/>
          <w:u w:val="none"/>
          <w:lang w:val="en-GB"/>
        </w:rPr>
      </w:pPr>
      <w:r w:rsidRPr="001A603A">
        <w:rPr>
          <w:rFonts w:ascii="Calibri" w:hAnsi="Calibri"/>
          <w:b w:val="0"/>
          <w:i/>
          <w:u w:val="none"/>
          <w:lang w:val="en-GB"/>
        </w:rPr>
        <w:t>Investments in reconstruction, modernization, add-ons a</w:t>
      </w:r>
      <w:r w:rsidR="00963814" w:rsidRPr="001A603A">
        <w:rPr>
          <w:rFonts w:ascii="Calibri" w:hAnsi="Calibri"/>
          <w:b w:val="0"/>
          <w:i/>
          <w:u w:val="none"/>
          <w:lang w:val="en-GB"/>
        </w:rPr>
        <w:t xml:space="preserve">nd enlargements </w:t>
      </w:r>
      <w:r w:rsidR="00963814" w:rsidRPr="001A603A">
        <w:rPr>
          <w:rFonts w:ascii="Calibri" w:hAnsi="Calibri"/>
          <w:b w:val="0"/>
          <w:u w:val="none"/>
          <w:lang w:val="en-GB"/>
        </w:rPr>
        <w:t xml:space="preserve">of </w:t>
      </w:r>
      <w:r w:rsidR="00104BAA" w:rsidRPr="00104BAA">
        <w:rPr>
          <w:rFonts w:ascii="Calibri" w:hAnsi="Calibri"/>
          <w:b w:val="0"/>
          <w:u w:val="none"/>
          <w:lang w:val="en-GB"/>
        </w:rPr>
        <w:t>existing</w:t>
      </w:r>
      <w:r w:rsidR="00963814" w:rsidRPr="001A603A">
        <w:rPr>
          <w:rFonts w:ascii="Calibri" w:hAnsi="Calibri"/>
          <w:b w:val="0"/>
          <w:u w:val="none"/>
          <w:lang w:val="en-GB"/>
        </w:rPr>
        <w:t xml:space="preserve"> fixed assets</w:t>
      </w:r>
      <w:r w:rsidRPr="001A603A">
        <w:rPr>
          <w:rFonts w:ascii="Calibri" w:hAnsi="Calibri"/>
          <w:b w:val="0"/>
          <w:u w:val="none"/>
          <w:lang w:val="en-GB"/>
        </w:rPr>
        <w:t xml:space="preserve"> </w:t>
      </w:r>
      <w:r w:rsidR="00963814" w:rsidRPr="001A603A">
        <w:rPr>
          <w:rFonts w:ascii="Calibri" w:hAnsi="Calibri"/>
          <w:b w:val="0"/>
          <w:u w:val="none"/>
          <w:lang w:val="en-GB"/>
        </w:rPr>
        <w:t>–</w:t>
      </w:r>
      <w:r w:rsidRPr="001A603A">
        <w:rPr>
          <w:rFonts w:ascii="Calibri" w:hAnsi="Calibri"/>
          <w:b w:val="0"/>
          <w:u w:val="none"/>
          <w:lang w:val="en-GB"/>
        </w:rPr>
        <w:t xml:space="preserve"> investments</w:t>
      </w:r>
      <w:r w:rsidR="00963814" w:rsidRPr="001A603A">
        <w:rPr>
          <w:rFonts w:ascii="Calibri" w:hAnsi="Calibri"/>
          <w:b w:val="0"/>
          <w:u w:val="none"/>
          <w:lang w:val="en-GB"/>
        </w:rPr>
        <w:t xml:space="preserve"> </w:t>
      </w:r>
      <w:r w:rsidRPr="001A603A">
        <w:rPr>
          <w:rFonts w:ascii="Calibri" w:hAnsi="Calibri"/>
          <w:b w:val="0"/>
          <w:u w:val="none"/>
          <w:lang w:val="en-GB"/>
        </w:rPr>
        <w:t>for altering or enlarging the existing facilities, equipment and devices with the aim to extend the size, better adapt to market needs</w:t>
      </w:r>
      <w:r w:rsidR="00963814" w:rsidRPr="001A603A">
        <w:rPr>
          <w:rFonts w:ascii="Calibri" w:hAnsi="Calibri"/>
          <w:b w:val="0"/>
          <w:u w:val="none"/>
          <w:lang w:val="en-GB"/>
        </w:rPr>
        <w:t>,</w:t>
      </w:r>
      <w:r w:rsidRPr="001A603A">
        <w:rPr>
          <w:rFonts w:ascii="Calibri" w:hAnsi="Calibri"/>
          <w:b w:val="0"/>
          <w:u w:val="none"/>
          <w:lang w:val="en-GB"/>
        </w:rPr>
        <w:t xml:space="preserve"> </w:t>
      </w:r>
      <w:r w:rsidR="00104BAA">
        <w:rPr>
          <w:rFonts w:ascii="Calibri" w:hAnsi="Calibri"/>
          <w:b w:val="0"/>
          <w:u w:val="none"/>
          <w:lang w:val="en-GB"/>
        </w:rPr>
        <w:t>or</w:t>
      </w:r>
      <w:r w:rsidRPr="001A603A">
        <w:rPr>
          <w:rFonts w:ascii="Calibri" w:hAnsi="Calibri"/>
          <w:b w:val="0"/>
          <w:u w:val="none"/>
          <w:lang w:val="en-GB"/>
        </w:rPr>
        <w:t xml:space="preserve"> to change the technical</w:t>
      </w:r>
      <w:r w:rsidR="00963814" w:rsidRPr="001A603A">
        <w:rPr>
          <w:rFonts w:ascii="Calibri" w:hAnsi="Calibri"/>
          <w:b w:val="0"/>
          <w:u w:val="none"/>
          <w:lang w:val="en-GB"/>
        </w:rPr>
        <w:t xml:space="preserve"> and </w:t>
      </w:r>
      <w:r w:rsidRPr="001A603A">
        <w:rPr>
          <w:rFonts w:ascii="Calibri" w:hAnsi="Calibri"/>
          <w:b w:val="0"/>
          <w:u w:val="none"/>
          <w:lang w:val="en-GB"/>
        </w:rPr>
        <w:t xml:space="preserve">technological solutions </w:t>
      </w:r>
      <w:r w:rsidR="00963814" w:rsidRPr="001A603A">
        <w:rPr>
          <w:rFonts w:ascii="Calibri" w:hAnsi="Calibri"/>
          <w:b w:val="0"/>
          <w:u w:val="none"/>
          <w:lang w:val="en-GB"/>
        </w:rPr>
        <w:t>for</w:t>
      </w:r>
      <w:r w:rsidRPr="001A603A">
        <w:rPr>
          <w:rFonts w:ascii="Calibri" w:hAnsi="Calibri"/>
          <w:b w:val="0"/>
          <w:u w:val="none"/>
          <w:lang w:val="en-GB"/>
        </w:rPr>
        <w:t xml:space="preserve"> production or servic</w:t>
      </w:r>
      <w:r w:rsidR="00963814" w:rsidRPr="001A603A">
        <w:rPr>
          <w:rFonts w:ascii="Calibri" w:hAnsi="Calibri"/>
          <w:b w:val="0"/>
          <w:u w:val="none"/>
          <w:lang w:val="en-GB"/>
        </w:rPr>
        <w:t>es;</w:t>
      </w:r>
    </w:p>
    <w:p w:rsidR="00090A38" w:rsidRPr="00E317B6" w:rsidRDefault="00C058E5" w:rsidP="007B277A">
      <w:pPr>
        <w:pStyle w:val="BodyTextIndent"/>
        <w:numPr>
          <w:ilvl w:val="0"/>
          <w:numId w:val="4"/>
        </w:numPr>
        <w:spacing w:after="240" w:line="264" w:lineRule="auto"/>
        <w:rPr>
          <w:rFonts w:ascii="Calibri" w:hAnsi="Calibri" w:cs="Arial"/>
          <w:b w:val="0"/>
          <w:u w:val="none"/>
          <w:lang w:val="en-GB"/>
        </w:rPr>
      </w:pPr>
      <w:r w:rsidRPr="001A603A">
        <w:rPr>
          <w:rFonts w:ascii="Calibri" w:hAnsi="Calibri"/>
          <w:b w:val="0"/>
          <w:i/>
          <w:u w:val="none"/>
          <w:lang w:val="en-GB"/>
        </w:rPr>
        <w:lastRenderedPageBreak/>
        <w:t>Maintenance of the level of e</w:t>
      </w:r>
      <w:r w:rsidR="00104BAA">
        <w:rPr>
          <w:rFonts w:ascii="Calibri" w:hAnsi="Calibri"/>
          <w:b w:val="0"/>
          <w:i/>
          <w:u w:val="none"/>
          <w:lang w:val="en-GB"/>
        </w:rPr>
        <w:t xml:space="preserve">xisting </w:t>
      </w:r>
      <w:r w:rsidR="00963814" w:rsidRPr="001A603A">
        <w:rPr>
          <w:rFonts w:ascii="Calibri" w:hAnsi="Calibri"/>
          <w:b w:val="0"/>
          <w:i/>
          <w:u w:val="none"/>
          <w:lang w:val="en-GB"/>
        </w:rPr>
        <w:t xml:space="preserve">capacities </w:t>
      </w:r>
      <w:r w:rsidR="00963814" w:rsidRPr="001A603A">
        <w:rPr>
          <w:rFonts w:ascii="Calibri" w:hAnsi="Calibri"/>
          <w:b w:val="0"/>
          <w:u w:val="none"/>
          <w:lang w:val="en-GB"/>
        </w:rPr>
        <w:t>–</w:t>
      </w:r>
      <w:r w:rsidRPr="001A603A">
        <w:rPr>
          <w:rFonts w:ascii="Calibri" w:hAnsi="Calibri"/>
          <w:b w:val="0"/>
          <w:u w:val="none"/>
          <w:lang w:val="en-GB"/>
        </w:rPr>
        <w:t xml:space="preserve"> investments</w:t>
      </w:r>
      <w:r w:rsidR="00963814" w:rsidRPr="001A603A">
        <w:rPr>
          <w:rFonts w:ascii="Calibri" w:hAnsi="Calibri"/>
          <w:b w:val="0"/>
          <w:u w:val="none"/>
          <w:lang w:val="en-GB"/>
        </w:rPr>
        <w:t xml:space="preserve"> </w:t>
      </w:r>
      <w:r w:rsidRPr="001A603A">
        <w:rPr>
          <w:rFonts w:ascii="Calibri" w:hAnsi="Calibri"/>
          <w:b w:val="0"/>
          <w:u w:val="none"/>
          <w:lang w:val="en-GB"/>
        </w:rPr>
        <w:t>for replacing obsolete</w:t>
      </w:r>
      <w:r w:rsidR="00963814" w:rsidRPr="001A603A">
        <w:rPr>
          <w:rFonts w:ascii="Calibri" w:hAnsi="Calibri"/>
          <w:b w:val="0"/>
          <w:u w:val="none"/>
          <w:lang w:val="en-GB"/>
        </w:rPr>
        <w:t xml:space="preserve">, </w:t>
      </w:r>
      <w:r w:rsidR="00104BAA" w:rsidRPr="00104BAA">
        <w:rPr>
          <w:rFonts w:ascii="Calibri" w:hAnsi="Calibri"/>
          <w:b w:val="0"/>
          <w:u w:val="none"/>
          <w:lang w:val="en-GB"/>
        </w:rPr>
        <w:t>worn-out</w:t>
      </w:r>
      <w:r w:rsidRPr="001A603A">
        <w:rPr>
          <w:rFonts w:ascii="Calibri" w:hAnsi="Calibri"/>
          <w:b w:val="0"/>
          <w:u w:val="none"/>
          <w:lang w:val="en-GB"/>
        </w:rPr>
        <w:t xml:space="preserve"> or destroyed fixed assets</w:t>
      </w:r>
      <w:r w:rsidR="00963814" w:rsidRPr="001A603A">
        <w:rPr>
          <w:rFonts w:ascii="Calibri" w:hAnsi="Calibri"/>
          <w:b w:val="0"/>
          <w:u w:val="none"/>
          <w:lang w:val="en-GB"/>
        </w:rPr>
        <w:t>.</w:t>
      </w:r>
    </w:p>
    <w:p w:rsidR="00111540" w:rsidRDefault="00963814" w:rsidP="007B277A">
      <w:pPr>
        <w:pStyle w:val="BodyText"/>
        <w:spacing w:after="240" w:line="264" w:lineRule="auto"/>
        <w:jc w:val="both"/>
        <w:rPr>
          <w:rFonts w:cs="Arial"/>
          <w:sz w:val="24"/>
          <w:szCs w:val="24"/>
          <w:lang w:val="en-GB"/>
        </w:rPr>
      </w:pPr>
      <w:r w:rsidRPr="001A603A">
        <w:rPr>
          <w:rFonts w:cs="Arial"/>
          <w:bCs/>
          <w:sz w:val="24"/>
          <w:szCs w:val="24"/>
          <w:lang w:val="en-GB"/>
        </w:rPr>
        <w:t>The</w:t>
      </w:r>
      <w:r w:rsidR="00090A38" w:rsidRPr="001A603A">
        <w:rPr>
          <w:rFonts w:cs="Arial"/>
          <w:bCs/>
          <w:sz w:val="24"/>
          <w:szCs w:val="24"/>
          <w:lang w:val="en-GB"/>
        </w:rPr>
        <w:t xml:space="preserve"> first two investment categories </w:t>
      </w:r>
      <w:r w:rsidR="00590A5E" w:rsidRPr="001A603A">
        <w:rPr>
          <w:rFonts w:cs="Arial"/>
          <w:bCs/>
          <w:sz w:val="24"/>
          <w:szCs w:val="24"/>
          <w:lang w:val="en-GB"/>
        </w:rPr>
        <w:t>are expected to</w:t>
      </w:r>
      <w:r w:rsidR="00090A38" w:rsidRPr="001A603A">
        <w:rPr>
          <w:rFonts w:cs="Arial"/>
          <w:bCs/>
          <w:sz w:val="24"/>
          <w:szCs w:val="24"/>
          <w:lang w:val="en-GB"/>
        </w:rPr>
        <w:t xml:space="preserve"> have an impact on the extension and improvement of</w:t>
      </w:r>
      <w:r w:rsidR="00590A5E" w:rsidRPr="001A603A">
        <w:rPr>
          <w:rFonts w:cs="Arial"/>
          <w:bCs/>
          <w:sz w:val="24"/>
          <w:szCs w:val="24"/>
          <w:lang w:val="en-GB"/>
        </w:rPr>
        <w:t xml:space="preserve"> facilities with the aim to upgrade the production process and achieve increased output. The third category presents investments with the aim to maintain the continued production, which</w:t>
      </w:r>
      <w:r w:rsidR="00590A5E" w:rsidRPr="001A603A">
        <w:rPr>
          <w:rFonts w:cs="Arial"/>
          <w:sz w:val="24"/>
          <w:szCs w:val="24"/>
          <w:lang w:val="en-GB"/>
        </w:rPr>
        <w:t xml:space="preserve"> can</w:t>
      </w:r>
      <w:r w:rsidR="00090A38" w:rsidRPr="001A603A">
        <w:rPr>
          <w:rFonts w:cs="Arial"/>
          <w:sz w:val="24"/>
          <w:szCs w:val="24"/>
          <w:lang w:val="en-GB"/>
        </w:rPr>
        <w:t xml:space="preserve"> have an impact on the intensification and rationalization of work processes</w:t>
      </w:r>
      <w:r w:rsidR="00590A5E" w:rsidRPr="001A603A">
        <w:rPr>
          <w:rFonts w:cs="Arial"/>
          <w:sz w:val="24"/>
          <w:szCs w:val="24"/>
          <w:lang w:val="en-GB"/>
        </w:rPr>
        <w:t xml:space="preserve"> and</w:t>
      </w:r>
      <w:r w:rsidR="00090A38" w:rsidRPr="001A603A">
        <w:rPr>
          <w:rFonts w:cs="Arial"/>
          <w:sz w:val="24"/>
          <w:szCs w:val="24"/>
          <w:lang w:val="en-GB"/>
        </w:rPr>
        <w:t xml:space="preserve"> not on the enlargement of available facilities and major changes in the existing types of products, services and work technology. </w:t>
      </w:r>
      <w:r w:rsidR="00590A5E" w:rsidRPr="001A603A">
        <w:rPr>
          <w:rFonts w:cs="Arial"/>
          <w:sz w:val="24"/>
          <w:szCs w:val="24"/>
          <w:lang w:val="en-GB"/>
        </w:rPr>
        <w:t xml:space="preserve">This categorization </w:t>
      </w:r>
      <w:r w:rsidR="00680AC0">
        <w:rPr>
          <w:rFonts w:cs="Arial"/>
          <w:sz w:val="24"/>
          <w:szCs w:val="24"/>
          <w:lang w:val="en-GB"/>
        </w:rPr>
        <w:t>is of great</w:t>
      </w:r>
      <w:r w:rsidR="00590A5E" w:rsidRPr="001A603A">
        <w:rPr>
          <w:rFonts w:cs="Arial"/>
          <w:sz w:val="24"/>
          <w:szCs w:val="24"/>
          <w:lang w:val="en-GB"/>
        </w:rPr>
        <w:t xml:space="preserve"> importance for analysing investment efficiency and defining</w:t>
      </w:r>
      <w:r w:rsidR="00111540" w:rsidRPr="001A603A">
        <w:rPr>
          <w:rFonts w:cs="Arial"/>
          <w:sz w:val="24"/>
          <w:szCs w:val="24"/>
          <w:lang w:val="en-GB"/>
        </w:rPr>
        <w:t xml:space="preserve"> development trends for economic subjects.</w:t>
      </w:r>
    </w:p>
    <w:p w:rsidR="002C7FC9" w:rsidRPr="001A603A" w:rsidRDefault="00680AC0" w:rsidP="007B277A">
      <w:pPr>
        <w:pStyle w:val="BodyText"/>
        <w:spacing w:after="240" w:line="264" w:lineRule="auto"/>
        <w:jc w:val="both"/>
        <w:rPr>
          <w:rFonts w:cs="Arial"/>
          <w:sz w:val="24"/>
          <w:szCs w:val="24"/>
          <w:lang w:val="en-GB"/>
        </w:rPr>
      </w:pPr>
      <w:r w:rsidRPr="00502689">
        <w:t xml:space="preserve">Concerning the valuation of investments, a term </w:t>
      </w:r>
      <w:r>
        <w:t xml:space="preserve"> </w:t>
      </w:r>
      <w:r w:rsidRPr="005C4335">
        <w:rPr>
          <w:rFonts w:cs="Arial"/>
          <w:i/>
          <w:sz w:val="24"/>
          <w:szCs w:val="24"/>
          <w:lang w:val="en-GB"/>
        </w:rPr>
        <w:t>reali</w:t>
      </w:r>
      <w:r w:rsidR="005C4335">
        <w:rPr>
          <w:rFonts w:cs="Arial"/>
          <w:i/>
          <w:sz w:val="24"/>
          <w:szCs w:val="24"/>
          <w:lang w:val="en-GB"/>
        </w:rPr>
        <w:t>z</w:t>
      </w:r>
      <w:r w:rsidRPr="005C4335">
        <w:rPr>
          <w:rFonts w:cs="Arial"/>
          <w:i/>
          <w:sz w:val="24"/>
          <w:szCs w:val="24"/>
          <w:lang w:val="en-GB"/>
        </w:rPr>
        <w:t>ed investments</w:t>
      </w:r>
      <w:r>
        <w:rPr>
          <w:i/>
        </w:rPr>
        <w:t xml:space="preserve"> </w:t>
      </w:r>
      <w:r>
        <w:t xml:space="preserve"> </w:t>
      </w:r>
      <w:r w:rsidRPr="00502689">
        <w:t xml:space="preserve">is introduced and it represents </w:t>
      </w:r>
      <w:r w:rsidR="00A75F11" w:rsidRPr="001A603A">
        <w:rPr>
          <w:rFonts w:cs="Arial"/>
          <w:sz w:val="24"/>
          <w:szCs w:val="24"/>
          <w:lang w:val="en-GB"/>
        </w:rPr>
        <w:t xml:space="preserve">the value of effectively realised construction, manufacture or purchase of facilities, equipment and other fixed assets, regardless </w:t>
      </w:r>
      <w:r w:rsidR="00A17979" w:rsidRPr="001A603A">
        <w:rPr>
          <w:rFonts w:cs="Arial"/>
          <w:sz w:val="24"/>
          <w:szCs w:val="24"/>
          <w:lang w:val="en-GB"/>
        </w:rPr>
        <w:t xml:space="preserve">of </w:t>
      </w:r>
      <w:r w:rsidR="00A75F11" w:rsidRPr="001A603A">
        <w:rPr>
          <w:rFonts w:cs="Arial"/>
          <w:sz w:val="24"/>
          <w:szCs w:val="24"/>
          <w:lang w:val="en-GB"/>
        </w:rPr>
        <w:t>whether they have been finalised and whether the payment has been effected. The value of effected purchased investment  shall include producer price, trade margin, transport costs</w:t>
      </w:r>
      <w:r w:rsidR="001508C2" w:rsidRPr="001A603A">
        <w:rPr>
          <w:rFonts w:cs="Arial"/>
          <w:sz w:val="24"/>
          <w:szCs w:val="24"/>
          <w:lang w:val="en-GB"/>
        </w:rPr>
        <w:t>,</w:t>
      </w:r>
      <w:r w:rsidR="00A75F11" w:rsidRPr="001A603A">
        <w:rPr>
          <w:rFonts w:cs="Arial"/>
          <w:sz w:val="24"/>
          <w:szCs w:val="24"/>
          <w:lang w:val="en-GB"/>
        </w:rPr>
        <w:t xml:space="preserve"> assembling costs, costs for studies, projects, investment proposals, expertise, technical inspection</w:t>
      </w:r>
      <w:r w:rsidR="001508C2" w:rsidRPr="001A603A">
        <w:rPr>
          <w:rFonts w:cs="Arial"/>
          <w:sz w:val="24"/>
          <w:szCs w:val="24"/>
          <w:lang w:val="en-GB"/>
        </w:rPr>
        <w:t>,</w:t>
      </w:r>
      <w:r w:rsidR="00A75F11" w:rsidRPr="001A603A">
        <w:rPr>
          <w:rFonts w:cs="Arial"/>
          <w:sz w:val="24"/>
          <w:szCs w:val="24"/>
          <w:lang w:val="en-GB"/>
        </w:rPr>
        <w:t xml:space="preserve"> property transfer costs, as well as all indirect </w:t>
      </w:r>
      <w:r w:rsidR="001508C2" w:rsidRPr="001A603A">
        <w:rPr>
          <w:rFonts w:cs="Arial"/>
          <w:sz w:val="24"/>
          <w:szCs w:val="24"/>
          <w:lang w:val="en-GB"/>
        </w:rPr>
        <w:t xml:space="preserve">duties, </w:t>
      </w:r>
      <w:r w:rsidR="00A75F11" w:rsidRPr="001A603A">
        <w:rPr>
          <w:rFonts w:cs="Arial"/>
          <w:sz w:val="24"/>
          <w:szCs w:val="24"/>
          <w:lang w:val="en-GB"/>
        </w:rPr>
        <w:t>taxes</w:t>
      </w:r>
      <w:r w:rsidR="001508C2" w:rsidRPr="001A603A">
        <w:rPr>
          <w:rFonts w:cs="Arial"/>
          <w:sz w:val="24"/>
          <w:szCs w:val="24"/>
          <w:lang w:val="en-GB"/>
        </w:rPr>
        <w:t xml:space="preserve"> and fees (excluding </w:t>
      </w:r>
      <w:r w:rsidRPr="00502689">
        <w:t>revaluation</w:t>
      </w:r>
      <w:r w:rsidR="001508C2" w:rsidRPr="001A603A">
        <w:rPr>
          <w:rFonts w:cs="Arial"/>
          <w:sz w:val="24"/>
          <w:szCs w:val="24"/>
          <w:lang w:val="en-GB"/>
        </w:rPr>
        <w:t xml:space="preserve">). Value added tax is included only in case when the concerning economic subject is not entitled to VAT deduction. When fixed assets are produced, i.e. constructed under own arrangement and used for own needs, they are valued at production costs. The decreased value of fixed assets </w:t>
      </w:r>
      <w:r w:rsidR="002C7FC9" w:rsidRPr="001A603A">
        <w:rPr>
          <w:rFonts w:cs="Arial"/>
          <w:sz w:val="24"/>
          <w:szCs w:val="24"/>
          <w:lang w:val="en-GB"/>
        </w:rPr>
        <w:t>resulting from sale is expressed by the value of sales agreement, with property transfer costs deducted.</w:t>
      </w:r>
    </w:p>
    <w:p w:rsidR="00A458D5" w:rsidRPr="001A603A" w:rsidRDefault="002C7FC9" w:rsidP="007B277A">
      <w:pPr>
        <w:pStyle w:val="BodyText"/>
        <w:spacing w:after="240" w:line="264" w:lineRule="auto"/>
        <w:jc w:val="both"/>
        <w:rPr>
          <w:rFonts w:cs="Arial"/>
          <w:sz w:val="24"/>
          <w:szCs w:val="24"/>
          <w:lang w:val="en-GB"/>
        </w:rPr>
      </w:pPr>
      <w:r w:rsidRPr="001A603A">
        <w:rPr>
          <w:rFonts w:cs="Arial"/>
          <w:i/>
          <w:sz w:val="24"/>
          <w:szCs w:val="24"/>
          <w:lang w:val="en-GB"/>
        </w:rPr>
        <w:t>Payments for investments</w:t>
      </w:r>
      <w:r w:rsidRPr="001A603A">
        <w:rPr>
          <w:rFonts w:cs="Arial"/>
          <w:sz w:val="24"/>
          <w:szCs w:val="24"/>
          <w:lang w:val="en-GB"/>
        </w:rPr>
        <w:t xml:space="preserve"> show </w:t>
      </w:r>
      <w:r w:rsidR="005C4335" w:rsidRPr="003E6893">
        <w:t xml:space="preserve">the monetary </w:t>
      </w:r>
      <w:r w:rsidRPr="001A603A">
        <w:rPr>
          <w:rFonts w:cs="Arial"/>
          <w:sz w:val="24"/>
          <w:szCs w:val="24"/>
          <w:lang w:val="en-GB"/>
        </w:rPr>
        <w:t xml:space="preserve">investments in fixed assets during the year when the payments were effected, irrespective of the time of the construction, manufacture or </w:t>
      </w:r>
      <w:r w:rsidR="00F14334" w:rsidRPr="003E6893">
        <w:t>acquisition</w:t>
      </w:r>
      <w:r w:rsidRPr="001A603A">
        <w:rPr>
          <w:rFonts w:cs="Arial"/>
          <w:sz w:val="24"/>
          <w:szCs w:val="24"/>
          <w:lang w:val="en-GB"/>
        </w:rPr>
        <w:t xml:space="preserve"> of fixed assets. Payments also include repayments of commercial loans and financial leasing used during the year, as well as costs </w:t>
      </w:r>
      <w:r w:rsidR="00FF3B5C" w:rsidRPr="001A603A">
        <w:rPr>
          <w:rFonts w:cs="Arial"/>
          <w:sz w:val="24"/>
          <w:szCs w:val="24"/>
          <w:lang w:val="en-GB"/>
        </w:rPr>
        <w:t xml:space="preserve">of </w:t>
      </w:r>
      <w:r w:rsidRPr="001A603A">
        <w:rPr>
          <w:rFonts w:cs="Arial"/>
          <w:sz w:val="24"/>
          <w:szCs w:val="24"/>
          <w:lang w:val="en-GB"/>
        </w:rPr>
        <w:t>translation exposure paid out in the current year, regardless of their occurrence.</w:t>
      </w:r>
    </w:p>
    <w:p w:rsidR="00CF7083" w:rsidRDefault="00A458D5" w:rsidP="007B277A">
      <w:pPr>
        <w:pStyle w:val="BodyText"/>
        <w:spacing w:after="240" w:line="264" w:lineRule="auto"/>
        <w:jc w:val="both"/>
        <w:rPr>
          <w:rFonts w:cs="Arial"/>
          <w:sz w:val="24"/>
          <w:szCs w:val="24"/>
          <w:lang w:val="en-GB"/>
        </w:rPr>
      </w:pPr>
      <w:r w:rsidRPr="001A603A">
        <w:rPr>
          <w:rFonts w:cs="Arial"/>
          <w:sz w:val="24"/>
          <w:szCs w:val="24"/>
          <w:lang w:val="en-GB"/>
        </w:rPr>
        <w:t xml:space="preserve">Two investment conceptions can be distinguished: </w:t>
      </w:r>
      <w:r w:rsidRPr="001A603A">
        <w:rPr>
          <w:rFonts w:cs="Arial"/>
          <w:i/>
          <w:sz w:val="24"/>
          <w:szCs w:val="24"/>
          <w:lang w:val="en-GB"/>
        </w:rPr>
        <w:t>“gross fixed capital formation”</w:t>
      </w:r>
      <w:r w:rsidRPr="001A603A">
        <w:rPr>
          <w:rFonts w:cs="Arial"/>
          <w:sz w:val="24"/>
          <w:szCs w:val="24"/>
          <w:lang w:val="en-GB"/>
        </w:rPr>
        <w:t xml:space="preserve"> and </w:t>
      </w:r>
      <w:r w:rsidRPr="00EE37E5">
        <w:rPr>
          <w:rFonts w:cs="Arial"/>
          <w:i/>
          <w:sz w:val="24"/>
          <w:szCs w:val="24"/>
          <w:lang w:val="en-GB"/>
        </w:rPr>
        <w:t>“total investment in fixed assts”</w:t>
      </w:r>
      <w:r w:rsidRPr="001A603A">
        <w:rPr>
          <w:rFonts w:cs="Arial"/>
          <w:sz w:val="24"/>
          <w:szCs w:val="24"/>
          <w:lang w:val="en-GB"/>
        </w:rPr>
        <w:t xml:space="preserve">. The first concept is applicable for national accounts as the macroeconomic aggregate of crucial importance for the economic analyses of GDP use, and </w:t>
      </w:r>
      <w:r w:rsidR="00FE0051" w:rsidRPr="001A603A">
        <w:rPr>
          <w:rFonts w:cs="Arial"/>
          <w:sz w:val="24"/>
          <w:szCs w:val="24"/>
          <w:lang w:val="en-GB"/>
        </w:rPr>
        <w:t xml:space="preserve">it </w:t>
      </w:r>
      <w:r w:rsidRPr="001A603A">
        <w:rPr>
          <w:rFonts w:cs="Arial"/>
          <w:sz w:val="24"/>
          <w:szCs w:val="24"/>
          <w:lang w:val="en-GB"/>
        </w:rPr>
        <w:t xml:space="preserve">mainly </w:t>
      </w:r>
      <w:r w:rsidR="00FE0051" w:rsidRPr="001A603A">
        <w:rPr>
          <w:rFonts w:cs="Arial"/>
          <w:sz w:val="24"/>
          <w:szCs w:val="24"/>
          <w:lang w:val="en-GB"/>
        </w:rPr>
        <w:t>concerns</w:t>
      </w:r>
      <w:r w:rsidRPr="001A603A">
        <w:rPr>
          <w:rFonts w:cs="Arial"/>
          <w:sz w:val="24"/>
          <w:szCs w:val="24"/>
          <w:lang w:val="en-GB"/>
        </w:rPr>
        <w:t xml:space="preserve"> investments in new fixed assets </w:t>
      </w:r>
      <w:r w:rsidR="008F5AFC" w:rsidRPr="00D44BA8">
        <w:rPr>
          <w:rFonts w:cs="Arial"/>
          <w:sz w:val="24"/>
          <w:szCs w:val="24"/>
          <w:lang w:val="en-GB"/>
        </w:rPr>
        <w:t>(total investment minus disinvestments)</w:t>
      </w:r>
      <w:r w:rsidR="00FE0051" w:rsidRPr="00D44BA8">
        <w:rPr>
          <w:rFonts w:cs="Arial"/>
          <w:sz w:val="24"/>
          <w:szCs w:val="24"/>
          <w:lang w:val="en-GB"/>
        </w:rPr>
        <w:t>, while the second concept is related to new a</w:t>
      </w:r>
      <w:r w:rsidR="00FE0051" w:rsidRPr="001A603A">
        <w:rPr>
          <w:rFonts w:cs="Arial"/>
          <w:sz w:val="24"/>
          <w:szCs w:val="24"/>
          <w:lang w:val="en-GB"/>
        </w:rPr>
        <w:t xml:space="preserve">nd </w:t>
      </w:r>
      <w:r w:rsidR="00D44BA8">
        <w:rPr>
          <w:rFonts w:cs="Arial"/>
          <w:sz w:val="24"/>
          <w:szCs w:val="24"/>
          <w:lang w:val="en-GB"/>
        </w:rPr>
        <w:t xml:space="preserve">existed </w:t>
      </w:r>
      <w:r w:rsidR="00FE0051" w:rsidRPr="001A603A">
        <w:rPr>
          <w:rFonts w:cs="Arial"/>
          <w:sz w:val="24"/>
          <w:szCs w:val="24"/>
          <w:lang w:val="en-GB"/>
        </w:rPr>
        <w:t>fixed assets. Therefore, total investment is a larger amount than gross fixed capital formation, the difference being the value of used fixed assets minus property transfer costs.</w:t>
      </w:r>
    </w:p>
    <w:p w:rsidR="00FE51F2" w:rsidRPr="001A603A" w:rsidRDefault="00CF407A" w:rsidP="007B277A">
      <w:pPr>
        <w:pStyle w:val="BodyText"/>
        <w:spacing w:after="240" w:line="264" w:lineRule="auto"/>
        <w:jc w:val="both"/>
        <w:rPr>
          <w:i/>
          <w:sz w:val="24"/>
          <w:szCs w:val="24"/>
          <w:lang w:val="en-GB"/>
        </w:rPr>
      </w:pPr>
      <w:r w:rsidRPr="001A603A">
        <w:rPr>
          <w:i/>
          <w:sz w:val="24"/>
          <w:szCs w:val="24"/>
          <w:lang w:val="en-GB"/>
        </w:rPr>
        <w:t>Investment</w:t>
      </w:r>
      <w:r w:rsidR="0058106D" w:rsidRPr="001A603A">
        <w:rPr>
          <w:i/>
          <w:sz w:val="24"/>
          <w:szCs w:val="24"/>
          <w:lang w:val="en-GB"/>
        </w:rPr>
        <w:t>s</w:t>
      </w:r>
      <w:r w:rsidRPr="001A603A">
        <w:rPr>
          <w:i/>
          <w:sz w:val="24"/>
          <w:szCs w:val="24"/>
          <w:lang w:val="en-GB"/>
        </w:rPr>
        <w:t xml:space="preserve"> in fixed assets at current prices</w:t>
      </w:r>
    </w:p>
    <w:p w:rsidR="00CF7083" w:rsidRPr="0098702D" w:rsidRDefault="00947761" w:rsidP="007B277A">
      <w:pPr>
        <w:pStyle w:val="BodyText"/>
        <w:spacing w:after="240" w:line="264" w:lineRule="auto"/>
        <w:jc w:val="both"/>
        <w:rPr>
          <w:sz w:val="24"/>
          <w:szCs w:val="24"/>
          <w:lang w:val="en-GB"/>
        </w:rPr>
      </w:pPr>
      <w:r w:rsidRPr="001A603A">
        <w:rPr>
          <w:sz w:val="24"/>
          <w:szCs w:val="24"/>
          <w:lang w:val="en-GB"/>
        </w:rPr>
        <w:lastRenderedPageBreak/>
        <w:t xml:space="preserve">The data on total investment at current prices are </w:t>
      </w:r>
      <w:r w:rsidR="00FD6F64" w:rsidRPr="001A603A">
        <w:rPr>
          <w:sz w:val="24"/>
          <w:szCs w:val="24"/>
          <w:lang w:val="en-GB"/>
        </w:rPr>
        <w:t>based on the results of the Annual report</w:t>
      </w:r>
      <w:r w:rsidR="004F727F">
        <w:rPr>
          <w:sz w:val="24"/>
          <w:szCs w:val="24"/>
          <w:lang w:val="en-GB"/>
        </w:rPr>
        <w:t xml:space="preserve"> on</w:t>
      </w:r>
      <w:r w:rsidR="00FD6F64" w:rsidRPr="001A603A">
        <w:rPr>
          <w:sz w:val="24"/>
          <w:szCs w:val="24"/>
          <w:lang w:val="en-GB"/>
        </w:rPr>
        <w:t xml:space="preserve"> investments</w:t>
      </w:r>
      <w:r w:rsidR="00B016E8" w:rsidRPr="001A603A">
        <w:rPr>
          <w:sz w:val="24"/>
          <w:szCs w:val="24"/>
          <w:lang w:val="en-GB"/>
        </w:rPr>
        <w:t xml:space="preserve"> in fi</w:t>
      </w:r>
      <w:r w:rsidR="0058106D" w:rsidRPr="001A603A">
        <w:rPr>
          <w:sz w:val="24"/>
          <w:szCs w:val="24"/>
          <w:lang w:val="en-GB"/>
        </w:rPr>
        <w:t>xed assets, which is harmonised with the international statistical standards</w:t>
      </w:r>
      <w:r w:rsidR="00FE51F2" w:rsidRPr="001A603A">
        <w:rPr>
          <w:sz w:val="24"/>
          <w:szCs w:val="24"/>
          <w:lang w:val="en-GB"/>
        </w:rPr>
        <w:t xml:space="preserve"> and</w:t>
      </w:r>
      <w:r w:rsidR="0098702D">
        <w:rPr>
          <w:sz w:val="24"/>
          <w:szCs w:val="24"/>
          <w:lang w:val="en-GB"/>
        </w:rPr>
        <w:t xml:space="preserve"> methodology</w:t>
      </w:r>
      <w:r w:rsidR="00FE51F2" w:rsidRPr="001A603A">
        <w:rPr>
          <w:sz w:val="24"/>
          <w:szCs w:val="24"/>
          <w:lang w:val="en-GB"/>
        </w:rPr>
        <w:t xml:space="preserve"> </w:t>
      </w:r>
      <w:bookmarkEnd w:id="0"/>
      <w:r w:rsidR="002C584A" w:rsidRPr="009E2FA5">
        <w:rPr>
          <w:sz w:val="24"/>
          <w:szCs w:val="24"/>
          <w:lang w:val="en-GB"/>
        </w:rPr>
        <w:t>(ESA2010, SNA2008)</w:t>
      </w:r>
      <w:r w:rsidR="004643CF" w:rsidRPr="009E2FA5">
        <w:rPr>
          <w:sz w:val="24"/>
          <w:szCs w:val="24"/>
          <w:lang w:val="en-GB"/>
        </w:rPr>
        <w:t>.</w:t>
      </w:r>
      <w:r w:rsidR="00DA1FAC" w:rsidRPr="001A603A">
        <w:rPr>
          <w:rFonts w:eastAsia="SimSun" w:cs="MyriadPro-LightSemiCn"/>
          <w:bCs/>
          <w:sz w:val="24"/>
          <w:szCs w:val="24"/>
          <w:lang w:val="en-GB" w:eastAsia="zh-CN"/>
        </w:rPr>
        <w:t xml:space="preserve"> </w:t>
      </w:r>
      <w:r w:rsidR="00FE51F2" w:rsidRPr="001A603A">
        <w:rPr>
          <w:rFonts w:eastAsia="SimSun" w:cs="MyriadPro-LightSemiCn"/>
          <w:bCs/>
          <w:sz w:val="24"/>
          <w:szCs w:val="24"/>
          <w:lang w:val="en-GB" w:eastAsia="zh-CN"/>
        </w:rPr>
        <w:t>The main objective of the survey, apart f</w:t>
      </w:r>
      <w:r w:rsidR="00EE37E5">
        <w:rPr>
          <w:rFonts w:eastAsia="SimSun" w:cs="MyriadPro-LightSemiCn"/>
          <w:bCs/>
          <w:sz w:val="24"/>
          <w:szCs w:val="24"/>
          <w:lang w:val="en-GB" w:eastAsia="zh-CN"/>
        </w:rPr>
        <w:t>rom</w:t>
      </w:r>
      <w:r w:rsidR="00FE51F2" w:rsidRPr="001A603A">
        <w:rPr>
          <w:rFonts w:eastAsia="SimSun" w:cs="MyriadPro-LightSemiCn"/>
          <w:bCs/>
          <w:sz w:val="24"/>
          <w:szCs w:val="24"/>
          <w:lang w:val="en-GB" w:eastAsia="zh-CN"/>
        </w:rPr>
        <w:t xml:space="preserve"> providing information on the national investment activity, is </w:t>
      </w:r>
      <w:r w:rsidR="00CF7083" w:rsidRPr="001A603A">
        <w:rPr>
          <w:rFonts w:eastAsia="SimSun" w:cs="MyriadPro-LightSemiCn"/>
          <w:bCs/>
          <w:sz w:val="24"/>
          <w:szCs w:val="24"/>
          <w:lang w:val="en-GB" w:eastAsia="zh-CN"/>
        </w:rPr>
        <w:t>to ensure the estimation of investments as the aggregate of GDP use, the creation of capital accounts, etc.</w:t>
      </w:r>
    </w:p>
    <w:p w:rsidR="00EF09B0" w:rsidRPr="001A603A" w:rsidRDefault="00CF7083" w:rsidP="007B277A">
      <w:pPr>
        <w:pStyle w:val="BodyText"/>
        <w:spacing w:after="240" w:line="264" w:lineRule="auto"/>
        <w:jc w:val="both"/>
        <w:rPr>
          <w:rFonts w:eastAsia="SimSun" w:cs="MyriadPro-LightSemiCn"/>
          <w:bCs/>
          <w:sz w:val="24"/>
          <w:szCs w:val="24"/>
          <w:lang w:val="en-GB" w:eastAsia="zh-CN"/>
        </w:rPr>
      </w:pPr>
      <w:r w:rsidRPr="001A603A">
        <w:rPr>
          <w:rFonts w:eastAsia="SimSun" w:cs="MyriadPro-LightSemiCn"/>
          <w:bCs/>
          <w:sz w:val="24"/>
          <w:szCs w:val="24"/>
          <w:lang w:val="en-GB" w:eastAsia="zh-CN"/>
        </w:rPr>
        <w:t>Observation units are all economic subjects in the country that are direct investors, regardless of the type of ownership. The full coverage is ensured for large and medium-size legal entities. The data collection is sample based for legal entities that are classified as small</w:t>
      </w:r>
      <w:r w:rsidR="00EB79AD" w:rsidRPr="001A603A">
        <w:rPr>
          <w:rFonts w:eastAsia="SimSun" w:cs="MyriadPro-LightSemiCn"/>
          <w:bCs/>
          <w:sz w:val="24"/>
          <w:szCs w:val="24"/>
          <w:lang w:val="en-GB" w:eastAsia="zh-CN"/>
        </w:rPr>
        <w:t xml:space="preserve">, pursuant to Article 7, the Law on accounting and auditing, </w:t>
      </w:r>
      <w:r w:rsidR="001B1A4E" w:rsidRPr="001A603A">
        <w:rPr>
          <w:rFonts w:eastAsia="SimSun" w:cs="MyriadPro-LightSemiCn"/>
          <w:bCs/>
          <w:sz w:val="24"/>
          <w:szCs w:val="24"/>
          <w:lang w:val="en-GB" w:eastAsia="zh-CN"/>
        </w:rPr>
        <w:t xml:space="preserve">and for </w:t>
      </w:r>
      <w:r w:rsidR="003A57CD" w:rsidRPr="001A603A">
        <w:rPr>
          <w:rFonts w:eastAsia="SimSun" w:cs="MyriadPro-LightSemiCn"/>
          <w:bCs/>
          <w:sz w:val="24"/>
          <w:szCs w:val="24"/>
          <w:lang w:val="en-GB" w:eastAsia="zh-CN"/>
        </w:rPr>
        <w:t>un</w:t>
      </w:r>
      <w:r w:rsidR="001B1A4E" w:rsidRPr="001A603A">
        <w:rPr>
          <w:rFonts w:eastAsia="SimSun" w:cs="MyriadPro-LightSemiCn"/>
          <w:bCs/>
          <w:sz w:val="24"/>
          <w:szCs w:val="24"/>
          <w:lang w:val="en-GB" w:eastAsia="zh-CN"/>
        </w:rPr>
        <w:t>incorporated enterprises obligated to submit annual financial statements.</w:t>
      </w:r>
      <w:r w:rsidR="003A57CD" w:rsidRPr="001A603A">
        <w:rPr>
          <w:rFonts w:eastAsia="SimSun" w:cs="MyriadPro-LightSemiCn"/>
          <w:bCs/>
          <w:sz w:val="24"/>
          <w:szCs w:val="24"/>
          <w:lang w:val="en-GB" w:eastAsia="zh-CN"/>
        </w:rPr>
        <w:t xml:space="preserve"> Investments in fixed assets </w:t>
      </w:r>
      <w:r w:rsidR="003A57CD" w:rsidRPr="009E2FA5">
        <w:rPr>
          <w:rFonts w:eastAsia="SimSun" w:cs="MyriadPro-LightSemiCn"/>
          <w:bCs/>
          <w:sz w:val="24"/>
          <w:szCs w:val="24"/>
          <w:lang w:val="en-GB" w:eastAsia="zh-CN"/>
        </w:rPr>
        <w:t>of physical persons and unincorporated</w:t>
      </w:r>
      <w:r w:rsidR="003A57CD" w:rsidRPr="001A603A">
        <w:rPr>
          <w:rFonts w:eastAsia="SimSun" w:cs="MyriadPro-LightSemiCn"/>
          <w:bCs/>
          <w:sz w:val="24"/>
          <w:szCs w:val="24"/>
          <w:lang w:val="en-GB" w:eastAsia="zh-CN"/>
        </w:rPr>
        <w:t xml:space="preserve"> enterprises that are not subject to submitting annual financial statements are estimated on the basis of available data of </w:t>
      </w:r>
      <w:r w:rsidR="00EF09B0" w:rsidRPr="001A603A">
        <w:rPr>
          <w:rFonts w:eastAsia="SimSun" w:cs="MyriadPro-LightSemiCn"/>
          <w:bCs/>
          <w:sz w:val="24"/>
          <w:szCs w:val="24"/>
          <w:lang w:val="en-GB" w:eastAsia="zh-CN"/>
        </w:rPr>
        <w:t xml:space="preserve">the </w:t>
      </w:r>
      <w:r w:rsidR="003A57CD" w:rsidRPr="001A603A">
        <w:rPr>
          <w:rFonts w:eastAsia="SimSun" w:cs="MyriadPro-LightSemiCn"/>
          <w:bCs/>
          <w:sz w:val="24"/>
          <w:szCs w:val="24"/>
          <w:lang w:val="en-GB" w:eastAsia="zh-CN"/>
        </w:rPr>
        <w:t xml:space="preserve">statistical </w:t>
      </w:r>
      <w:r w:rsidR="00EF09B0" w:rsidRPr="001A603A">
        <w:rPr>
          <w:rFonts w:eastAsia="SimSun" w:cs="MyriadPro-LightSemiCn"/>
          <w:bCs/>
          <w:sz w:val="24"/>
          <w:szCs w:val="24"/>
          <w:lang w:val="en-GB" w:eastAsia="zh-CN"/>
        </w:rPr>
        <w:t xml:space="preserve">surveys in the area of construction, agriculture, external and domestic trade, etc., however on the </w:t>
      </w:r>
      <w:r w:rsidR="009E2FA5" w:rsidRPr="001A603A">
        <w:rPr>
          <w:rFonts w:eastAsia="SimSun" w:cs="MyriadPro-LightSemiCn"/>
          <w:bCs/>
          <w:sz w:val="24"/>
          <w:szCs w:val="24"/>
          <w:lang w:val="en-GB" w:eastAsia="zh-CN"/>
        </w:rPr>
        <w:t xml:space="preserve">sections </w:t>
      </w:r>
      <w:r w:rsidR="00EF09B0" w:rsidRPr="001A603A">
        <w:rPr>
          <w:rFonts w:eastAsia="SimSun" w:cs="MyriadPro-LightSemiCn"/>
          <w:bCs/>
          <w:sz w:val="24"/>
          <w:szCs w:val="24"/>
          <w:lang w:val="en-GB" w:eastAsia="zh-CN"/>
        </w:rPr>
        <w:t xml:space="preserve">level of </w:t>
      </w:r>
      <w:r w:rsidR="004644FA" w:rsidRPr="001A603A">
        <w:rPr>
          <w:rFonts w:eastAsia="SimSun" w:cs="MyriadPro-LightSemiCn"/>
          <w:bCs/>
          <w:sz w:val="24"/>
          <w:szCs w:val="24"/>
          <w:lang w:val="en-GB" w:eastAsia="zh-CN"/>
        </w:rPr>
        <w:t>the</w:t>
      </w:r>
      <w:r w:rsidR="009E2FA5">
        <w:rPr>
          <w:rFonts w:eastAsia="SimSun" w:cs="MyriadPro-LightSemiCn"/>
          <w:bCs/>
          <w:sz w:val="24"/>
          <w:szCs w:val="24"/>
          <w:lang w:val="en-GB" w:eastAsia="zh-CN"/>
        </w:rPr>
        <w:t xml:space="preserve"> </w:t>
      </w:r>
      <w:r w:rsidR="004644FA" w:rsidRPr="001A603A">
        <w:rPr>
          <w:rFonts w:eastAsia="SimSun" w:cs="MyriadPro-LightSemiCn"/>
          <w:bCs/>
          <w:sz w:val="24"/>
          <w:szCs w:val="24"/>
          <w:lang w:val="en-GB" w:eastAsia="zh-CN"/>
        </w:rPr>
        <w:t>Classification of Activities</w:t>
      </w:r>
      <w:r w:rsidR="00EF09B0" w:rsidRPr="001A603A">
        <w:rPr>
          <w:rFonts w:eastAsia="SimSun" w:cs="MyriadPro-LightSemiCn"/>
          <w:bCs/>
          <w:sz w:val="24"/>
          <w:szCs w:val="24"/>
          <w:lang w:val="en-GB" w:eastAsia="zh-CN"/>
        </w:rPr>
        <w:t>, by technical structure of fixed assets and for the territory of the Republic of Serbia.</w:t>
      </w:r>
    </w:p>
    <w:p w:rsidR="0043395D" w:rsidRPr="001A603A" w:rsidRDefault="00EF09B0" w:rsidP="007B277A">
      <w:pPr>
        <w:pStyle w:val="BodyText"/>
        <w:spacing w:after="240" w:line="264" w:lineRule="auto"/>
        <w:jc w:val="both"/>
        <w:rPr>
          <w:rFonts w:eastAsia="SimSun" w:cs="MyriadPro-LightSemiCn"/>
          <w:bCs/>
          <w:sz w:val="24"/>
          <w:szCs w:val="24"/>
          <w:lang w:val="en-GB" w:eastAsia="zh-CN"/>
        </w:rPr>
      </w:pPr>
      <w:r w:rsidRPr="001A603A">
        <w:rPr>
          <w:rFonts w:eastAsia="SimSun" w:cs="MyriadPro-LightSemiCn"/>
          <w:bCs/>
          <w:sz w:val="24"/>
          <w:szCs w:val="24"/>
          <w:lang w:val="en-GB" w:eastAsia="zh-CN"/>
        </w:rPr>
        <w:t xml:space="preserve">Annual reports on investments are envisaged to provide data on </w:t>
      </w:r>
      <w:r w:rsidR="00D63793" w:rsidRPr="001A603A">
        <w:rPr>
          <w:rFonts w:eastAsia="SimSun" w:cs="MyriadPro-LightSemiCn"/>
          <w:bCs/>
          <w:sz w:val="24"/>
          <w:szCs w:val="24"/>
          <w:lang w:val="en-GB" w:eastAsia="zh-CN"/>
        </w:rPr>
        <w:t xml:space="preserve">effected </w:t>
      </w:r>
      <w:r w:rsidRPr="001A603A">
        <w:rPr>
          <w:rFonts w:eastAsia="SimSun" w:cs="MyriadPro-LightSemiCn"/>
          <w:bCs/>
          <w:sz w:val="24"/>
          <w:szCs w:val="24"/>
          <w:lang w:val="en-GB" w:eastAsia="zh-CN"/>
        </w:rPr>
        <w:t>payments for investments</w:t>
      </w:r>
      <w:r w:rsidR="00D63793" w:rsidRPr="001A603A">
        <w:rPr>
          <w:rFonts w:eastAsia="SimSun" w:cs="MyriadPro-LightSemiCn"/>
          <w:bCs/>
          <w:sz w:val="24"/>
          <w:szCs w:val="24"/>
          <w:lang w:val="en-GB" w:eastAsia="zh-CN"/>
        </w:rPr>
        <w:t xml:space="preserve"> in fixed assets</w:t>
      </w:r>
      <w:r w:rsidRPr="001A603A">
        <w:rPr>
          <w:rFonts w:eastAsia="SimSun" w:cs="MyriadPro-LightSemiCn"/>
          <w:bCs/>
          <w:sz w:val="24"/>
          <w:szCs w:val="24"/>
          <w:lang w:val="en-GB" w:eastAsia="zh-CN"/>
        </w:rPr>
        <w:t xml:space="preserve"> – by</w:t>
      </w:r>
      <w:r w:rsidR="00D63793" w:rsidRPr="001A603A">
        <w:rPr>
          <w:rFonts w:eastAsia="SimSun" w:cs="MyriadPro-LightSemiCn"/>
          <w:bCs/>
          <w:sz w:val="24"/>
          <w:szCs w:val="24"/>
          <w:lang w:val="en-GB" w:eastAsia="zh-CN"/>
        </w:rPr>
        <w:t xml:space="preserve"> finance sources (own resources, pooled sources, loans and other funds) </w:t>
      </w:r>
      <w:r w:rsidR="00C411A9" w:rsidRPr="001A603A">
        <w:rPr>
          <w:rFonts w:eastAsia="SimSun" w:cs="MyriadPro-LightSemiCn"/>
          <w:bCs/>
          <w:sz w:val="24"/>
          <w:szCs w:val="24"/>
          <w:lang w:val="en-GB" w:eastAsia="zh-CN"/>
        </w:rPr>
        <w:t xml:space="preserve">and data on realised investments – by technical structure and by </w:t>
      </w:r>
      <w:r w:rsidR="009E2FA5">
        <w:rPr>
          <w:rFonts w:eastAsia="SimSun" w:cs="MyriadPro-LightSemiCn"/>
          <w:bCs/>
          <w:sz w:val="24"/>
          <w:szCs w:val="24"/>
          <w:lang w:val="en-GB" w:eastAsia="zh-CN"/>
        </w:rPr>
        <w:t>type</w:t>
      </w:r>
      <w:r w:rsidR="00C411A9" w:rsidRPr="001A603A">
        <w:rPr>
          <w:rFonts w:eastAsia="SimSun" w:cs="MyriadPro-LightSemiCn"/>
          <w:bCs/>
          <w:sz w:val="24"/>
          <w:szCs w:val="24"/>
          <w:lang w:val="en-GB" w:eastAsia="zh-CN"/>
        </w:rPr>
        <w:t xml:space="preserve"> of construction and purpose. For the territory of the </w:t>
      </w:r>
      <w:smartTag w:uri="urn:schemas-microsoft-com:office:smarttags" w:element="place">
        <w:smartTag w:uri="urn:schemas-microsoft-com:office:smarttags" w:element="PlaceType">
          <w:r w:rsidR="00C411A9" w:rsidRPr="001A603A">
            <w:rPr>
              <w:rFonts w:eastAsia="SimSun" w:cs="MyriadPro-LightSemiCn"/>
              <w:bCs/>
              <w:sz w:val="24"/>
              <w:szCs w:val="24"/>
              <w:lang w:val="en-GB" w:eastAsia="zh-CN"/>
            </w:rPr>
            <w:t>Republic</w:t>
          </w:r>
        </w:smartTag>
        <w:r w:rsidR="00C411A9" w:rsidRPr="001A603A">
          <w:rPr>
            <w:rFonts w:eastAsia="SimSun" w:cs="MyriadPro-LightSemiCn"/>
            <w:bCs/>
            <w:sz w:val="24"/>
            <w:szCs w:val="24"/>
            <w:lang w:val="en-GB" w:eastAsia="zh-CN"/>
          </w:rPr>
          <w:t xml:space="preserve"> of </w:t>
        </w:r>
        <w:smartTag w:uri="urn:schemas-microsoft-com:office:smarttags" w:element="PlaceName">
          <w:r w:rsidR="00C411A9" w:rsidRPr="001A603A">
            <w:rPr>
              <w:rFonts w:eastAsia="SimSun" w:cs="MyriadPro-LightSemiCn"/>
              <w:bCs/>
              <w:sz w:val="24"/>
              <w:szCs w:val="24"/>
              <w:lang w:val="en-GB" w:eastAsia="zh-CN"/>
            </w:rPr>
            <w:t>Serbia</w:t>
          </w:r>
        </w:smartTag>
      </w:smartTag>
      <w:r w:rsidR="005C1ADD" w:rsidRPr="001A603A">
        <w:rPr>
          <w:rFonts w:eastAsia="SimSun" w:cs="MyriadPro-LightSemiCn"/>
          <w:bCs/>
          <w:sz w:val="24"/>
          <w:szCs w:val="24"/>
          <w:lang w:val="en-GB" w:eastAsia="zh-CN"/>
        </w:rPr>
        <w:t xml:space="preserve">, as well as for the level of regions </w:t>
      </w:r>
      <w:r w:rsidR="0043395D" w:rsidRPr="001A603A">
        <w:rPr>
          <w:rFonts w:eastAsia="SimSun" w:cs="MyriadPro-LightSemiCn"/>
          <w:bCs/>
          <w:i/>
          <w:lang w:val="en-GB" w:eastAsia="zh-CN"/>
        </w:rPr>
        <w:t>(NSTJ 2)</w:t>
      </w:r>
      <w:r w:rsidR="00CB5867" w:rsidRPr="001A603A">
        <w:rPr>
          <w:rFonts w:eastAsia="SimSun" w:cs="MyriadPro-LightSemiCn"/>
          <w:bCs/>
          <w:lang w:val="en-GB" w:eastAsia="zh-CN"/>
        </w:rPr>
        <w:t>,</w:t>
      </w:r>
      <w:r w:rsidR="00CB5867" w:rsidRPr="001A603A">
        <w:rPr>
          <w:rFonts w:eastAsia="SimSun" w:cs="MyriadPro-LightSemiCn"/>
          <w:bCs/>
          <w:sz w:val="24"/>
          <w:szCs w:val="24"/>
          <w:lang w:val="en-GB" w:eastAsia="zh-CN"/>
        </w:rPr>
        <w:t xml:space="preserve"> the</w:t>
      </w:r>
      <w:r w:rsidR="0043395D" w:rsidRPr="001A603A">
        <w:rPr>
          <w:rFonts w:eastAsia="SimSun" w:cs="MyriadPro-LightSemiCn"/>
          <w:bCs/>
          <w:sz w:val="24"/>
          <w:szCs w:val="24"/>
          <w:lang w:val="en-GB" w:eastAsia="zh-CN"/>
        </w:rPr>
        <w:t xml:space="preserve"> data were processed on the </w:t>
      </w:r>
      <w:r w:rsidR="009E2FA5">
        <w:rPr>
          <w:rFonts w:eastAsia="SimSun" w:cs="MyriadPro-LightSemiCn"/>
          <w:bCs/>
          <w:sz w:val="24"/>
          <w:szCs w:val="24"/>
          <w:lang w:val="en-GB" w:eastAsia="zh-CN"/>
        </w:rPr>
        <w:t>section and division</w:t>
      </w:r>
      <w:r w:rsidR="009E2FA5" w:rsidRPr="001A603A">
        <w:rPr>
          <w:rFonts w:eastAsia="SimSun" w:cs="MyriadPro-LightSemiCn"/>
          <w:bCs/>
          <w:sz w:val="24"/>
          <w:szCs w:val="24"/>
          <w:lang w:val="en-GB" w:eastAsia="zh-CN"/>
        </w:rPr>
        <w:t xml:space="preserve"> </w:t>
      </w:r>
      <w:r w:rsidR="0043395D" w:rsidRPr="001A603A">
        <w:rPr>
          <w:rFonts w:eastAsia="SimSun" w:cs="MyriadPro-LightSemiCn"/>
          <w:bCs/>
          <w:sz w:val="24"/>
          <w:szCs w:val="24"/>
          <w:lang w:val="en-GB" w:eastAsia="zh-CN"/>
        </w:rPr>
        <w:t xml:space="preserve">level of the </w:t>
      </w:r>
      <w:r w:rsidR="009E2FA5" w:rsidRPr="001A603A">
        <w:rPr>
          <w:rFonts w:eastAsia="SimSun" w:cs="MyriadPro-LightSemiCn"/>
          <w:bCs/>
          <w:sz w:val="24"/>
          <w:szCs w:val="24"/>
          <w:lang w:val="en-GB" w:eastAsia="zh-CN"/>
        </w:rPr>
        <w:t>Classification of Activities</w:t>
      </w:r>
      <w:r w:rsidR="0043395D" w:rsidRPr="001A603A">
        <w:rPr>
          <w:rFonts w:eastAsia="SimSun" w:cs="MyriadPro-LightSemiCn"/>
          <w:bCs/>
          <w:sz w:val="24"/>
          <w:szCs w:val="24"/>
          <w:lang w:val="en-GB" w:eastAsia="zh-CN"/>
        </w:rPr>
        <w:t xml:space="preserve">, and for municipalities the processing was carried out on the </w:t>
      </w:r>
      <w:r w:rsidR="009E2FA5" w:rsidRPr="001A603A">
        <w:rPr>
          <w:rFonts w:eastAsia="SimSun" w:cs="MyriadPro-LightSemiCn"/>
          <w:bCs/>
          <w:sz w:val="24"/>
          <w:szCs w:val="24"/>
          <w:lang w:val="en-GB" w:eastAsia="zh-CN"/>
        </w:rPr>
        <w:t>section</w:t>
      </w:r>
      <w:r w:rsidR="009E2FA5">
        <w:rPr>
          <w:rFonts w:eastAsia="SimSun" w:cs="MyriadPro-LightSemiCn"/>
          <w:bCs/>
          <w:sz w:val="24"/>
          <w:szCs w:val="24"/>
          <w:lang w:val="en-GB" w:eastAsia="zh-CN"/>
        </w:rPr>
        <w:t xml:space="preserve"> </w:t>
      </w:r>
      <w:r w:rsidR="0043395D" w:rsidRPr="001A603A">
        <w:rPr>
          <w:rFonts w:eastAsia="SimSun" w:cs="MyriadPro-LightSemiCn"/>
          <w:bCs/>
          <w:sz w:val="24"/>
          <w:szCs w:val="24"/>
          <w:lang w:val="en-GB" w:eastAsia="zh-CN"/>
        </w:rPr>
        <w:t xml:space="preserve">level. The data were grouped according to </w:t>
      </w:r>
      <w:r w:rsidR="0043395D" w:rsidRPr="001A603A">
        <w:rPr>
          <w:rFonts w:eastAsia="SimSun" w:cs="MyriadPro-LightSemiCn"/>
          <w:bCs/>
          <w:i/>
          <w:sz w:val="24"/>
          <w:szCs w:val="24"/>
          <w:lang w:val="en-GB" w:eastAsia="zh-CN"/>
        </w:rPr>
        <w:t>organizational principle</w:t>
      </w:r>
      <w:r w:rsidR="0043395D" w:rsidRPr="001A603A">
        <w:rPr>
          <w:rFonts w:eastAsia="SimSun" w:cs="MyriadPro-LightSemiCn"/>
          <w:bCs/>
          <w:sz w:val="24"/>
          <w:szCs w:val="24"/>
          <w:lang w:val="en-GB" w:eastAsia="zh-CN"/>
        </w:rPr>
        <w:t xml:space="preserve"> – by prevailing activity and head office seat of the investor and according </w:t>
      </w:r>
      <w:r w:rsidR="0043395D" w:rsidRPr="0071557C">
        <w:rPr>
          <w:rFonts w:eastAsia="SimSun" w:cs="MyriadPro-LightSemiCn"/>
          <w:bCs/>
          <w:sz w:val="24"/>
          <w:szCs w:val="24"/>
          <w:lang w:val="en-GB" w:eastAsia="zh-CN"/>
        </w:rPr>
        <w:t>to</w:t>
      </w:r>
      <w:r w:rsidR="0043395D" w:rsidRPr="0071557C">
        <w:rPr>
          <w:rFonts w:eastAsia="SimSun" w:cs="MyriadPro-LightSemiCn"/>
          <w:bCs/>
          <w:i/>
          <w:sz w:val="24"/>
          <w:szCs w:val="24"/>
          <w:lang w:val="en-GB" w:eastAsia="zh-CN"/>
        </w:rPr>
        <w:t xml:space="preserve"> </w:t>
      </w:r>
      <w:r w:rsidR="0071557C" w:rsidRPr="0071557C">
        <w:rPr>
          <w:rFonts w:eastAsia="SimSun" w:cs="MyriadPro-LightSemiCn"/>
          <w:bCs/>
          <w:i/>
          <w:sz w:val="24"/>
          <w:szCs w:val="24"/>
          <w:lang w:val="en-GB" w:eastAsia="zh-CN"/>
        </w:rPr>
        <w:t>kind of activity principle</w:t>
      </w:r>
      <w:r w:rsidR="0071557C" w:rsidRPr="00271CFA">
        <w:rPr>
          <w:b/>
          <w:bCs/>
        </w:rPr>
        <w:t xml:space="preserve"> </w:t>
      </w:r>
      <w:r w:rsidR="0043395D" w:rsidRPr="001A603A">
        <w:rPr>
          <w:rFonts w:eastAsia="SimSun" w:cs="MyriadPro-LightSemiCn"/>
          <w:bCs/>
          <w:sz w:val="24"/>
          <w:szCs w:val="24"/>
          <w:lang w:val="en-GB" w:eastAsia="zh-CN"/>
        </w:rPr>
        <w:t>– by purpose and location of the investment facility.</w:t>
      </w:r>
    </w:p>
    <w:p w:rsidR="002937DB" w:rsidRDefault="001A603A" w:rsidP="007B277A">
      <w:pPr>
        <w:pStyle w:val="BodyText"/>
        <w:spacing w:after="240" w:line="264" w:lineRule="auto"/>
        <w:jc w:val="both"/>
        <w:rPr>
          <w:rFonts w:eastAsia="SimSun" w:cs="MyriadPro-LightSemiCn"/>
          <w:bCs/>
          <w:sz w:val="24"/>
          <w:szCs w:val="24"/>
          <w:lang w:val="en-GB" w:eastAsia="zh-CN"/>
        </w:rPr>
      </w:pPr>
      <w:r w:rsidRPr="001A603A">
        <w:rPr>
          <w:rFonts w:eastAsia="SimSun" w:cs="MyriadPro-LightSemiCn"/>
          <w:bCs/>
          <w:sz w:val="24"/>
          <w:szCs w:val="24"/>
          <w:lang w:val="en-GB" w:eastAsia="zh-CN"/>
        </w:rPr>
        <w:t xml:space="preserve">In order to provide data on gross fixed capital formation for the </w:t>
      </w:r>
      <w:r w:rsidR="0071557C" w:rsidRPr="001A603A">
        <w:rPr>
          <w:rFonts w:eastAsia="SimSun" w:cs="MyriadPro-LightSemiCn"/>
          <w:bCs/>
          <w:sz w:val="24"/>
          <w:szCs w:val="24"/>
          <w:lang w:val="en-GB" w:eastAsia="zh-CN"/>
        </w:rPr>
        <w:t>national accounts</w:t>
      </w:r>
      <w:r w:rsidR="0071557C">
        <w:rPr>
          <w:rFonts w:eastAsia="SimSun" w:cs="MyriadPro-LightSemiCn"/>
          <w:bCs/>
          <w:sz w:val="24"/>
          <w:szCs w:val="24"/>
          <w:lang w:val="en-GB" w:eastAsia="zh-CN"/>
        </w:rPr>
        <w:t xml:space="preserve"> </w:t>
      </w:r>
      <w:r w:rsidR="00CB5867">
        <w:rPr>
          <w:rFonts w:eastAsia="SimSun" w:cs="MyriadPro-LightSemiCn"/>
          <w:bCs/>
          <w:sz w:val="24"/>
          <w:szCs w:val="24"/>
          <w:lang w:val="en-GB" w:eastAsia="zh-CN"/>
        </w:rPr>
        <w:t>needs</w:t>
      </w:r>
      <w:r w:rsidRPr="001A603A">
        <w:rPr>
          <w:rFonts w:eastAsia="SimSun" w:cs="MyriadPro-LightSemiCn"/>
          <w:bCs/>
          <w:sz w:val="24"/>
          <w:szCs w:val="24"/>
          <w:lang w:val="en-GB" w:eastAsia="zh-CN"/>
        </w:rPr>
        <w:t xml:space="preserve">, apart from the regular survey on investments, additional estimations are required. The main sources for these calculations are </w:t>
      </w:r>
      <w:r w:rsidR="004F727F" w:rsidRPr="00EE37E5">
        <w:rPr>
          <w:rFonts w:eastAsia="SimSun" w:cs="MyriadPro-LightSemiCn"/>
          <w:bCs/>
          <w:sz w:val="24"/>
          <w:szCs w:val="24"/>
          <w:lang w:val="en-GB" w:eastAsia="zh-CN"/>
        </w:rPr>
        <w:t>official statistics</w:t>
      </w:r>
      <w:r w:rsidRPr="001A603A">
        <w:rPr>
          <w:rFonts w:eastAsia="SimSun" w:cs="MyriadPro-LightSemiCn"/>
          <w:bCs/>
          <w:sz w:val="24"/>
          <w:szCs w:val="24"/>
          <w:lang w:val="en-GB" w:eastAsia="zh-CN"/>
        </w:rPr>
        <w:t xml:space="preserve"> </w:t>
      </w:r>
      <w:r w:rsidR="00CB5867">
        <w:rPr>
          <w:rFonts w:eastAsia="SimSun" w:cs="MyriadPro-LightSemiCn"/>
          <w:bCs/>
          <w:sz w:val="24"/>
          <w:szCs w:val="24"/>
          <w:lang w:val="en-GB" w:eastAsia="zh-CN"/>
        </w:rPr>
        <w:t>of</w:t>
      </w:r>
      <w:r w:rsidRPr="001A603A">
        <w:rPr>
          <w:rFonts w:eastAsia="SimSun" w:cs="MyriadPro-LightSemiCn"/>
          <w:bCs/>
          <w:sz w:val="24"/>
          <w:szCs w:val="24"/>
          <w:lang w:val="en-GB" w:eastAsia="zh-CN"/>
        </w:rPr>
        <w:t xml:space="preserve"> the domain</w:t>
      </w:r>
      <w:r w:rsidR="00CB5867">
        <w:rPr>
          <w:rFonts w:eastAsia="SimSun" w:cs="MyriadPro-LightSemiCn"/>
          <w:bCs/>
          <w:sz w:val="24"/>
          <w:szCs w:val="24"/>
          <w:lang w:val="en-GB" w:eastAsia="zh-CN"/>
        </w:rPr>
        <w:t>s</w:t>
      </w:r>
      <w:r w:rsidRPr="001A603A">
        <w:rPr>
          <w:rFonts w:eastAsia="SimSun" w:cs="MyriadPro-LightSemiCn"/>
          <w:bCs/>
          <w:sz w:val="24"/>
          <w:szCs w:val="24"/>
          <w:lang w:val="en-GB" w:eastAsia="zh-CN"/>
        </w:rPr>
        <w:t xml:space="preserve"> of construction, research and development, external trade, retail trade, labour force, employment and salaries and wages</w:t>
      </w:r>
      <w:r>
        <w:rPr>
          <w:rFonts w:eastAsia="SimSun" w:cs="MyriadPro-LightSemiCn"/>
          <w:bCs/>
          <w:sz w:val="24"/>
          <w:szCs w:val="24"/>
          <w:lang w:val="en-GB" w:eastAsia="zh-CN"/>
        </w:rPr>
        <w:t>, agriculture, national accounts, etc</w:t>
      </w:r>
      <w:r w:rsidR="00CB5867">
        <w:rPr>
          <w:rFonts w:eastAsia="SimSun" w:cs="MyriadPro-LightSemiCn"/>
          <w:bCs/>
          <w:sz w:val="24"/>
          <w:szCs w:val="24"/>
          <w:lang w:val="en-GB" w:eastAsia="zh-CN"/>
        </w:rPr>
        <w:t>.</w:t>
      </w:r>
      <w:r>
        <w:rPr>
          <w:rFonts w:eastAsia="SimSun" w:cs="MyriadPro-LightSemiCn"/>
          <w:bCs/>
          <w:sz w:val="24"/>
          <w:szCs w:val="24"/>
          <w:lang w:val="en-GB" w:eastAsia="zh-CN"/>
        </w:rPr>
        <w:t>,</w:t>
      </w:r>
      <w:r w:rsidR="00CB5867">
        <w:rPr>
          <w:rFonts w:eastAsia="SimSun" w:cs="MyriadPro-LightSemiCn"/>
          <w:bCs/>
          <w:sz w:val="24"/>
          <w:szCs w:val="24"/>
          <w:lang w:val="en-GB" w:eastAsia="zh-CN"/>
        </w:rPr>
        <w:t xml:space="preserve"> as</w:t>
      </w:r>
      <w:r>
        <w:rPr>
          <w:rFonts w:eastAsia="SimSun" w:cs="MyriadPro-LightSemiCn"/>
          <w:bCs/>
          <w:sz w:val="24"/>
          <w:szCs w:val="24"/>
          <w:lang w:val="en-GB" w:eastAsia="zh-CN"/>
        </w:rPr>
        <w:t xml:space="preserve"> well as data </w:t>
      </w:r>
      <w:r w:rsidR="00CB5867">
        <w:rPr>
          <w:rFonts w:eastAsia="SimSun" w:cs="MyriadPro-LightSemiCn"/>
          <w:bCs/>
          <w:sz w:val="24"/>
          <w:szCs w:val="24"/>
          <w:lang w:val="en-GB" w:eastAsia="zh-CN"/>
        </w:rPr>
        <w:t>from</w:t>
      </w:r>
      <w:r>
        <w:rPr>
          <w:rFonts w:eastAsia="SimSun" w:cs="MyriadPro-LightSemiCn"/>
          <w:bCs/>
          <w:sz w:val="24"/>
          <w:szCs w:val="24"/>
          <w:lang w:val="en-GB" w:eastAsia="zh-CN"/>
        </w:rPr>
        <w:t xml:space="preserve"> other </w:t>
      </w:r>
      <w:r w:rsidR="00F805CE">
        <w:rPr>
          <w:rFonts w:eastAsia="SimSun" w:cs="MyriadPro-LightSemiCn"/>
          <w:bCs/>
          <w:sz w:val="24"/>
          <w:szCs w:val="24"/>
          <w:lang w:val="en-GB" w:eastAsia="zh-CN"/>
        </w:rPr>
        <w:t>administrative sources/</w:t>
      </w:r>
      <w:r>
        <w:rPr>
          <w:rFonts w:eastAsia="SimSun" w:cs="MyriadPro-LightSemiCn"/>
          <w:bCs/>
          <w:sz w:val="24"/>
          <w:szCs w:val="24"/>
          <w:lang w:val="en-GB" w:eastAsia="zh-CN"/>
        </w:rPr>
        <w:t xml:space="preserve">institutions: the </w:t>
      </w:r>
      <w:r w:rsidR="00CB5867">
        <w:rPr>
          <w:rFonts w:eastAsia="SimSun" w:cs="MyriadPro-LightSemiCn"/>
          <w:bCs/>
          <w:sz w:val="24"/>
          <w:szCs w:val="24"/>
          <w:lang w:val="en-GB" w:eastAsia="zh-CN"/>
        </w:rPr>
        <w:t>N</w:t>
      </w:r>
      <w:r>
        <w:rPr>
          <w:rFonts w:eastAsia="SimSun" w:cs="MyriadPro-LightSemiCn"/>
          <w:bCs/>
          <w:sz w:val="24"/>
          <w:szCs w:val="24"/>
          <w:lang w:val="en-GB" w:eastAsia="zh-CN"/>
        </w:rPr>
        <w:t xml:space="preserve">ational </w:t>
      </w:r>
      <w:r w:rsidR="00CB5867">
        <w:rPr>
          <w:rFonts w:eastAsia="SimSun" w:cs="MyriadPro-LightSemiCn"/>
          <w:bCs/>
          <w:sz w:val="24"/>
          <w:szCs w:val="24"/>
          <w:lang w:val="en-GB" w:eastAsia="zh-CN"/>
        </w:rPr>
        <w:t>B</w:t>
      </w:r>
      <w:r>
        <w:rPr>
          <w:rFonts w:eastAsia="SimSun" w:cs="MyriadPro-LightSemiCn"/>
          <w:bCs/>
          <w:sz w:val="24"/>
          <w:szCs w:val="24"/>
          <w:lang w:val="en-GB" w:eastAsia="zh-CN"/>
        </w:rPr>
        <w:t>ank</w:t>
      </w:r>
      <w:r w:rsidR="002937DB">
        <w:rPr>
          <w:rFonts w:eastAsia="SimSun" w:cs="MyriadPro-LightSemiCn"/>
          <w:bCs/>
          <w:sz w:val="24"/>
          <w:szCs w:val="24"/>
          <w:lang w:val="en-GB" w:eastAsia="zh-CN"/>
        </w:rPr>
        <w:t xml:space="preserve">, the Serbian Business Registers Agency, the Ministry of defence, and other. </w:t>
      </w:r>
    </w:p>
    <w:p w:rsidR="007B277A" w:rsidRDefault="007B277A" w:rsidP="007B277A">
      <w:pPr>
        <w:pStyle w:val="BodyText"/>
        <w:spacing w:after="240" w:line="264" w:lineRule="auto"/>
        <w:jc w:val="both"/>
        <w:rPr>
          <w:rFonts w:eastAsia="SimSun" w:cs="MyriadPro-LightSemiCn"/>
          <w:bCs/>
          <w:i/>
          <w:sz w:val="24"/>
          <w:szCs w:val="24"/>
          <w:lang w:val="en-GB" w:eastAsia="zh-CN"/>
        </w:rPr>
      </w:pPr>
    </w:p>
    <w:p w:rsidR="007B277A" w:rsidRDefault="007B277A" w:rsidP="007B277A">
      <w:pPr>
        <w:pStyle w:val="BodyText"/>
        <w:spacing w:after="240" w:line="264" w:lineRule="auto"/>
        <w:jc w:val="both"/>
        <w:rPr>
          <w:rFonts w:eastAsia="SimSun" w:cs="MyriadPro-LightSemiCn"/>
          <w:bCs/>
          <w:i/>
          <w:sz w:val="24"/>
          <w:szCs w:val="24"/>
          <w:lang w:val="en-GB" w:eastAsia="zh-CN"/>
        </w:rPr>
      </w:pPr>
    </w:p>
    <w:p w:rsidR="002937DB" w:rsidRPr="00CB5867" w:rsidRDefault="002937DB" w:rsidP="007B277A">
      <w:pPr>
        <w:pStyle w:val="BodyText"/>
        <w:spacing w:after="240" w:line="264" w:lineRule="auto"/>
        <w:jc w:val="both"/>
        <w:rPr>
          <w:rFonts w:eastAsia="SimSun" w:cs="MyriadPro-LightSemiCn"/>
          <w:bCs/>
          <w:i/>
          <w:sz w:val="24"/>
          <w:szCs w:val="24"/>
          <w:lang w:val="en-GB" w:eastAsia="zh-CN"/>
        </w:rPr>
      </w:pPr>
      <w:r w:rsidRPr="00932168">
        <w:rPr>
          <w:rFonts w:eastAsia="SimSun" w:cs="MyriadPro-LightSemiCn"/>
          <w:bCs/>
          <w:i/>
          <w:sz w:val="24"/>
          <w:szCs w:val="24"/>
          <w:lang w:val="en-GB" w:eastAsia="zh-CN"/>
        </w:rPr>
        <w:lastRenderedPageBreak/>
        <w:t>Gross</w:t>
      </w:r>
      <w:r w:rsidRPr="00CB5867">
        <w:rPr>
          <w:rFonts w:eastAsia="SimSun" w:cs="MyriadPro-LightSemiCn"/>
          <w:bCs/>
          <w:i/>
          <w:sz w:val="24"/>
          <w:szCs w:val="24"/>
          <w:lang w:val="en-GB" w:eastAsia="zh-CN"/>
        </w:rPr>
        <w:t xml:space="preserve"> </w:t>
      </w:r>
      <w:r w:rsidR="00CB5867">
        <w:rPr>
          <w:rFonts w:eastAsia="SimSun" w:cs="MyriadPro-LightSemiCn"/>
          <w:bCs/>
          <w:i/>
          <w:sz w:val="24"/>
          <w:szCs w:val="24"/>
          <w:lang w:val="en-GB" w:eastAsia="zh-CN"/>
        </w:rPr>
        <w:t>fixed capital formation</w:t>
      </w:r>
      <w:r w:rsidRPr="00CB5867">
        <w:rPr>
          <w:rFonts w:eastAsia="SimSun" w:cs="MyriadPro-LightSemiCn"/>
          <w:bCs/>
          <w:i/>
          <w:sz w:val="24"/>
          <w:szCs w:val="24"/>
          <w:lang w:val="en-GB" w:eastAsia="zh-CN"/>
        </w:rPr>
        <w:t xml:space="preserve"> at constant prices</w:t>
      </w:r>
    </w:p>
    <w:p w:rsidR="00391A5F" w:rsidRDefault="00CB5867" w:rsidP="007B277A">
      <w:pPr>
        <w:pStyle w:val="BodyText"/>
        <w:spacing w:after="240" w:line="264" w:lineRule="auto"/>
        <w:jc w:val="both"/>
        <w:rPr>
          <w:rFonts w:eastAsia="SimSun" w:cs="MyriadPro-LightSemiCn"/>
          <w:bCs/>
          <w:sz w:val="24"/>
          <w:szCs w:val="24"/>
          <w:lang w:val="en-GB" w:eastAsia="zh-CN"/>
        </w:rPr>
      </w:pPr>
      <w:r>
        <w:rPr>
          <w:rFonts w:eastAsia="SimSun"/>
        </w:rPr>
        <w:t xml:space="preserve">The </w:t>
      </w:r>
      <w:r w:rsidRPr="001A603A">
        <w:rPr>
          <w:rFonts w:eastAsia="SimSun" w:cs="MyriadPro-LightSemiCn"/>
          <w:bCs/>
          <w:sz w:val="24"/>
          <w:szCs w:val="24"/>
          <w:lang w:val="en-GB" w:eastAsia="zh-CN"/>
        </w:rPr>
        <w:t>data on gross fixed capital formation</w:t>
      </w:r>
      <w:r>
        <w:rPr>
          <w:rFonts w:eastAsia="SimSun" w:cs="MyriadPro-LightSemiCn"/>
          <w:bCs/>
          <w:sz w:val="24"/>
          <w:szCs w:val="24"/>
          <w:lang w:val="en-GB" w:eastAsia="zh-CN"/>
        </w:rPr>
        <w:t xml:space="preserve"> at constant prices are available by technical structure of investments, on</w:t>
      </w:r>
      <w:r w:rsidR="003378DD">
        <w:rPr>
          <w:rFonts w:eastAsia="SimSun" w:cs="MyriadPro-LightSemiCn"/>
          <w:bCs/>
          <w:sz w:val="24"/>
          <w:szCs w:val="24"/>
          <w:lang w:val="en-GB" w:eastAsia="zh-CN"/>
        </w:rPr>
        <w:t xml:space="preserve"> </w:t>
      </w:r>
      <w:r w:rsidR="003378DD" w:rsidRPr="001A603A">
        <w:rPr>
          <w:rFonts w:eastAsia="SimSun" w:cs="MyriadPro-LightSemiCn"/>
          <w:bCs/>
          <w:sz w:val="24"/>
          <w:szCs w:val="24"/>
          <w:lang w:val="en-GB" w:eastAsia="zh-CN"/>
        </w:rPr>
        <w:t>the</w:t>
      </w:r>
      <w:r w:rsidR="00296C20">
        <w:rPr>
          <w:rFonts w:eastAsia="SimSun" w:cs="MyriadPro-LightSemiCn"/>
          <w:bCs/>
          <w:sz w:val="24"/>
          <w:szCs w:val="24"/>
          <w:lang w:val="en-GB" w:eastAsia="zh-CN"/>
        </w:rPr>
        <w:t xml:space="preserve"> section</w:t>
      </w:r>
      <w:r w:rsidR="003378DD" w:rsidRPr="001A603A">
        <w:rPr>
          <w:rFonts w:eastAsia="SimSun" w:cs="MyriadPro-LightSemiCn"/>
          <w:bCs/>
          <w:sz w:val="24"/>
          <w:szCs w:val="24"/>
          <w:lang w:val="en-GB" w:eastAsia="zh-CN"/>
        </w:rPr>
        <w:t xml:space="preserve"> level of the </w:t>
      </w:r>
      <w:r w:rsidR="00296C20" w:rsidRPr="001A603A">
        <w:rPr>
          <w:rFonts w:eastAsia="SimSun" w:cs="MyriadPro-LightSemiCn"/>
          <w:bCs/>
          <w:sz w:val="24"/>
          <w:szCs w:val="24"/>
          <w:lang w:val="en-GB" w:eastAsia="zh-CN"/>
        </w:rPr>
        <w:t>Classification of Activities</w:t>
      </w:r>
      <w:r w:rsidR="003378DD" w:rsidRPr="001A603A">
        <w:rPr>
          <w:rFonts w:eastAsia="SimSun" w:cs="MyriadPro-LightSemiCn"/>
          <w:bCs/>
          <w:sz w:val="24"/>
          <w:szCs w:val="24"/>
          <w:lang w:val="en-GB" w:eastAsia="zh-CN"/>
        </w:rPr>
        <w:t>.</w:t>
      </w:r>
      <w:r w:rsidR="003378DD">
        <w:rPr>
          <w:rFonts w:eastAsia="SimSun" w:cs="MyriadPro-LightSemiCn"/>
          <w:bCs/>
          <w:sz w:val="24"/>
          <w:szCs w:val="24"/>
          <w:lang w:val="en-GB" w:eastAsia="zh-CN"/>
        </w:rPr>
        <w:t xml:space="preserve"> </w:t>
      </w:r>
      <w:r w:rsidR="003378DD" w:rsidRPr="00EE37E5">
        <w:rPr>
          <w:rFonts w:eastAsia="SimSun" w:cs="MyriadPro-LightSemiCn"/>
          <w:bCs/>
          <w:sz w:val="24"/>
          <w:szCs w:val="24"/>
          <w:lang w:val="en-GB" w:eastAsia="zh-CN"/>
        </w:rPr>
        <w:t>The data on</w:t>
      </w:r>
      <w:r w:rsidR="003378DD">
        <w:rPr>
          <w:rFonts w:eastAsia="SimSun" w:cs="MyriadPro-LightSemiCn"/>
          <w:bCs/>
          <w:sz w:val="24"/>
          <w:szCs w:val="24"/>
          <w:lang w:val="en-GB" w:eastAsia="zh-CN"/>
        </w:rPr>
        <w:t xml:space="preserve"> investments at previous year prices within the sections are obtained by deflating each category of fixed assets separately (</w:t>
      </w:r>
      <w:r w:rsidR="00391A5F">
        <w:rPr>
          <w:rFonts w:eastAsia="SimSun" w:cs="MyriadPro-LightSemiCn"/>
          <w:bCs/>
          <w:sz w:val="24"/>
          <w:szCs w:val="24"/>
          <w:lang w:val="en-GB" w:eastAsia="zh-CN"/>
        </w:rPr>
        <w:t>for certain group of capital products applied is the same deflator for all activities). For estimating investments at constant prices, the respective deflators are calculated for each aggregate.</w:t>
      </w:r>
    </w:p>
    <w:p w:rsidR="00CC5048" w:rsidRDefault="00391A5F" w:rsidP="007B277A">
      <w:pPr>
        <w:pStyle w:val="BodyText"/>
        <w:spacing w:line="264" w:lineRule="auto"/>
        <w:jc w:val="both"/>
        <w:rPr>
          <w:rFonts w:eastAsia="SimSun" w:cs="MyriadPro-LightSemiCn"/>
          <w:bCs/>
          <w:sz w:val="24"/>
          <w:szCs w:val="24"/>
          <w:lang w:val="en-GB" w:eastAsia="zh-CN"/>
        </w:rPr>
      </w:pPr>
      <w:r>
        <w:rPr>
          <w:rFonts w:eastAsia="SimSun" w:cs="MyriadPro-LightSemiCn"/>
          <w:bCs/>
          <w:sz w:val="24"/>
          <w:szCs w:val="24"/>
          <w:lang w:val="en-GB" w:eastAsia="zh-CN"/>
        </w:rPr>
        <w:t xml:space="preserve">The main </w:t>
      </w:r>
      <w:r w:rsidR="00390880">
        <w:rPr>
          <w:rFonts w:eastAsia="SimSun" w:cs="MyriadPro-LightSemiCn"/>
          <w:bCs/>
          <w:sz w:val="24"/>
          <w:szCs w:val="24"/>
          <w:lang w:val="en-GB" w:eastAsia="zh-CN"/>
        </w:rPr>
        <w:t xml:space="preserve">data </w:t>
      </w:r>
      <w:r>
        <w:rPr>
          <w:rFonts w:eastAsia="SimSun" w:cs="MyriadPro-LightSemiCn"/>
          <w:bCs/>
          <w:sz w:val="24"/>
          <w:szCs w:val="24"/>
          <w:lang w:val="en-GB" w:eastAsia="zh-CN"/>
        </w:rPr>
        <w:t xml:space="preserve">sources </w:t>
      </w:r>
      <w:r w:rsidR="00A54BBE">
        <w:rPr>
          <w:rFonts w:eastAsia="SimSun" w:cs="MyriadPro-LightSemiCn"/>
          <w:bCs/>
          <w:sz w:val="24"/>
          <w:szCs w:val="24"/>
          <w:lang w:val="en-GB" w:eastAsia="zh-CN"/>
        </w:rPr>
        <w:t>used for</w:t>
      </w:r>
      <w:r w:rsidR="00390880">
        <w:rPr>
          <w:rFonts w:eastAsia="SimSun" w:cs="MyriadPro-LightSemiCn"/>
          <w:bCs/>
          <w:sz w:val="24"/>
          <w:szCs w:val="24"/>
          <w:lang w:val="en-GB" w:eastAsia="zh-CN"/>
        </w:rPr>
        <w:t xml:space="preserve"> gross fixed capital formation</w:t>
      </w:r>
      <w:r w:rsidR="00A54BBE">
        <w:rPr>
          <w:rFonts w:eastAsia="SimSun" w:cs="MyriadPro-LightSemiCn"/>
          <w:bCs/>
          <w:sz w:val="24"/>
          <w:szCs w:val="24"/>
          <w:lang w:val="en-GB" w:eastAsia="zh-CN"/>
        </w:rPr>
        <w:t xml:space="preserve"> estimation</w:t>
      </w:r>
      <w:r w:rsidR="00390880">
        <w:rPr>
          <w:rFonts w:eastAsia="SimSun" w:cs="MyriadPro-LightSemiCn"/>
          <w:bCs/>
          <w:sz w:val="24"/>
          <w:szCs w:val="24"/>
          <w:lang w:val="en-GB" w:eastAsia="zh-CN"/>
        </w:rPr>
        <w:t xml:space="preserve"> at constant prices </w:t>
      </w:r>
      <w:r w:rsidR="00CC5048">
        <w:rPr>
          <w:rFonts w:eastAsia="SimSun" w:cs="MyriadPro-LightSemiCn"/>
          <w:bCs/>
          <w:sz w:val="24"/>
          <w:szCs w:val="24"/>
          <w:lang w:val="en-GB" w:eastAsia="zh-CN"/>
        </w:rPr>
        <w:t>are the following:</w:t>
      </w:r>
    </w:p>
    <w:p w:rsidR="00893AB4" w:rsidRPr="004F727F" w:rsidRDefault="00CC5048" w:rsidP="007B277A">
      <w:pPr>
        <w:pStyle w:val="BodyText"/>
        <w:numPr>
          <w:ilvl w:val="0"/>
          <w:numId w:val="2"/>
        </w:numPr>
        <w:tabs>
          <w:tab w:val="num" w:pos="360"/>
          <w:tab w:val="left" w:pos="720"/>
        </w:tabs>
        <w:spacing w:line="264" w:lineRule="auto"/>
        <w:ind w:left="1080" w:hanging="720"/>
        <w:jc w:val="both"/>
        <w:rPr>
          <w:rFonts w:eastAsia="SimSun" w:cs="MyriadPro-LightSemiCn"/>
          <w:bCs/>
          <w:sz w:val="24"/>
          <w:szCs w:val="24"/>
          <w:lang w:val="en-GB" w:eastAsia="zh-CN"/>
        </w:rPr>
      </w:pPr>
      <w:r w:rsidRPr="004F727F">
        <w:rPr>
          <w:rFonts w:eastAsia="SimSun" w:cs="MyriadPro-LightSemiCn"/>
          <w:bCs/>
          <w:sz w:val="24"/>
          <w:szCs w:val="24"/>
          <w:lang w:val="en-GB" w:eastAsia="zh-CN"/>
        </w:rPr>
        <w:t>Official statistics</w:t>
      </w:r>
      <w:r w:rsidR="004F727F" w:rsidRPr="004F727F">
        <w:rPr>
          <w:rFonts w:eastAsia="SimSun" w:cs="MyriadPro-LightSemiCn"/>
          <w:bCs/>
          <w:sz w:val="24"/>
          <w:szCs w:val="24"/>
          <w:lang w:val="en-GB" w:eastAsia="zh-CN"/>
        </w:rPr>
        <w:t>:</w:t>
      </w:r>
    </w:p>
    <w:p w:rsidR="00A07D41" w:rsidRPr="004F727F" w:rsidRDefault="004F727F" w:rsidP="007B277A">
      <w:pPr>
        <w:pStyle w:val="BodyText"/>
        <w:numPr>
          <w:ilvl w:val="1"/>
          <w:numId w:val="1"/>
        </w:numPr>
        <w:tabs>
          <w:tab w:val="clear" w:pos="624"/>
          <w:tab w:val="left" w:pos="720"/>
          <w:tab w:val="left" w:pos="900"/>
          <w:tab w:val="left" w:pos="1080"/>
          <w:tab w:val="left" w:pos="1260"/>
        </w:tabs>
        <w:spacing w:after="0" w:line="264" w:lineRule="auto"/>
        <w:ind w:left="1094" w:hanging="187"/>
        <w:jc w:val="both"/>
        <w:rPr>
          <w:sz w:val="24"/>
          <w:szCs w:val="24"/>
        </w:rPr>
      </w:pPr>
      <w:r w:rsidRPr="004F727F">
        <w:rPr>
          <w:rFonts w:eastAsia="SimSun"/>
          <w:sz w:val="24"/>
          <w:szCs w:val="24"/>
        </w:rPr>
        <w:t xml:space="preserve">Annual report </w:t>
      </w:r>
      <w:r>
        <w:rPr>
          <w:rFonts w:eastAsia="SimSun"/>
          <w:sz w:val="24"/>
          <w:szCs w:val="24"/>
        </w:rPr>
        <w:t>o</w:t>
      </w:r>
      <w:r w:rsidRPr="004F727F">
        <w:rPr>
          <w:rFonts w:eastAsia="SimSun"/>
          <w:sz w:val="24"/>
          <w:szCs w:val="24"/>
        </w:rPr>
        <w:t xml:space="preserve">n investments in fixed assets </w:t>
      </w:r>
      <w:r w:rsidR="008A7D28" w:rsidRPr="004F727F">
        <w:rPr>
          <w:sz w:val="24"/>
          <w:szCs w:val="24"/>
        </w:rPr>
        <w:t>(INV-01)</w:t>
      </w:r>
      <w:r w:rsidR="00A07D41" w:rsidRPr="004F727F">
        <w:rPr>
          <w:sz w:val="24"/>
          <w:szCs w:val="24"/>
        </w:rPr>
        <w:t>,</w:t>
      </w:r>
    </w:p>
    <w:p w:rsidR="004F727F" w:rsidRPr="00C6164D" w:rsidRDefault="004F727F" w:rsidP="007B277A">
      <w:pPr>
        <w:pStyle w:val="BodyText"/>
        <w:numPr>
          <w:ilvl w:val="1"/>
          <w:numId w:val="1"/>
        </w:numPr>
        <w:tabs>
          <w:tab w:val="clear" w:pos="624"/>
          <w:tab w:val="left" w:pos="720"/>
          <w:tab w:val="left" w:pos="900"/>
          <w:tab w:val="left" w:pos="1080"/>
          <w:tab w:val="left" w:pos="1260"/>
        </w:tabs>
        <w:spacing w:after="0" w:line="264" w:lineRule="auto"/>
        <w:ind w:left="1094" w:hanging="187"/>
        <w:jc w:val="both"/>
        <w:rPr>
          <w:rFonts w:eastAsia="SimSun"/>
          <w:b/>
          <w:sz w:val="24"/>
          <w:szCs w:val="24"/>
        </w:rPr>
      </w:pPr>
      <w:r w:rsidRPr="00EE37E5">
        <w:rPr>
          <w:sz w:val="24"/>
          <w:szCs w:val="24"/>
        </w:rPr>
        <w:t>price statistics</w:t>
      </w:r>
      <w:r w:rsidRPr="004F727F">
        <w:rPr>
          <w:sz w:val="24"/>
          <w:szCs w:val="24"/>
        </w:rPr>
        <w:t xml:space="preserve"> –</w:t>
      </w:r>
      <w:r w:rsidR="00F805CE">
        <w:rPr>
          <w:sz w:val="24"/>
          <w:szCs w:val="24"/>
        </w:rPr>
        <w:t xml:space="preserve">  </w:t>
      </w:r>
      <w:r w:rsidRPr="004F727F">
        <w:rPr>
          <w:sz w:val="24"/>
          <w:szCs w:val="24"/>
        </w:rPr>
        <w:t>producer price</w:t>
      </w:r>
      <w:r w:rsidR="00F805CE">
        <w:rPr>
          <w:sz w:val="24"/>
          <w:szCs w:val="24"/>
        </w:rPr>
        <w:t xml:space="preserve"> </w:t>
      </w:r>
      <w:r w:rsidR="00F805CE" w:rsidRPr="004F727F">
        <w:rPr>
          <w:sz w:val="24"/>
          <w:szCs w:val="24"/>
        </w:rPr>
        <w:t>indices of</w:t>
      </w:r>
      <w:r w:rsidRPr="004F727F">
        <w:rPr>
          <w:sz w:val="24"/>
          <w:szCs w:val="24"/>
        </w:rPr>
        <w:t xml:space="preserve"> industrial products </w:t>
      </w:r>
      <w:r>
        <w:rPr>
          <w:sz w:val="24"/>
          <w:szCs w:val="24"/>
        </w:rPr>
        <w:t>for domestic market, producer price</w:t>
      </w:r>
      <w:r w:rsidR="00F805CE">
        <w:rPr>
          <w:sz w:val="24"/>
          <w:szCs w:val="24"/>
        </w:rPr>
        <w:t xml:space="preserve"> </w:t>
      </w:r>
      <w:r w:rsidR="00F805CE" w:rsidRPr="004F727F">
        <w:rPr>
          <w:sz w:val="24"/>
          <w:szCs w:val="24"/>
        </w:rPr>
        <w:t>indices of</w:t>
      </w:r>
      <w:r>
        <w:rPr>
          <w:sz w:val="24"/>
          <w:szCs w:val="24"/>
        </w:rPr>
        <w:t xml:space="preserve"> </w:t>
      </w:r>
      <w:r w:rsidR="00C6164D">
        <w:rPr>
          <w:sz w:val="24"/>
          <w:szCs w:val="24"/>
        </w:rPr>
        <w:t>agricultural and fishing products, producer price</w:t>
      </w:r>
      <w:r w:rsidR="00F805CE">
        <w:rPr>
          <w:sz w:val="24"/>
          <w:szCs w:val="24"/>
        </w:rPr>
        <w:t xml:space="preserve"> </w:t>
      </w:r>
      <w:r w:rsidR="00F805CE" w:rsidRPr="004F727F">
        <w:rPr>
          <w:sz w:val="24"/>
          <w:szCs w:val="24"/>
        </w:rPr>
        <w:t>indices of</w:t>
      </w:r>
      <w:r w:rsidR="00C6164D">
        <w:rPr>
          <w:sz w:val="24"/>
          <w:szCs w:val="24"/>
        </w:rPr>
        <w:t xml:space="preserve"> industrial products </w:t>
      </w:r>
      <w:r w:rsidR="00C6164D" w:rsidRPr="00EE37E5">
        <w:rPr>
          <w:sz w:val="24"/>
          <w:szCs w:val="24"/>
        </w:rPr>
        <w:t>for exports of countries where from equipment is imported</w:t>
      </w:r>
      <w:r w:rsidR="00C6164D">
        <w:rPr>
          <w:sz w:val="24"/>
          <w:szCs w:val="24"/>
        </w:rPr>
        <w:t xml:space="preserve"> and consumer price indices by COICOP,</w:t>
      </w:r>
    </w:p>
    <w:p w:rsidR="00893AB4" w:rsidRDefault="00C6164D" w:rsidP="007B277A">
      <w:pPr>
        <w:pStyle w:val="BodyText"/>
        <w:numPr>
          <w:ilvl w:val="1"/>
          <w:numId w:val="1"/>
        </w:numPr>
        <w:tabs>
          <w:tab w:val="clear" w:pos="624"/>
          <w:tab w:val="left" w:pos="720"/>
          <w:tab w:val="left" w:pos="900"/>
          <w:tab w:val="left" w:pos="1080"/>
          <w:tab w:val="left" w:pos="1260"/>
        </w:tabs>
        <w:spacing w:after="0" w:line="264" w:lineRule="auto"/>
        <w:ind w:left="1094" w:hanging="187"/>
        <w:jc w:val="both"/>
        <w:rPr>
          <w:rFonts w:eastAsia="SimSun"/>
          <w:b/>
          <w:sz w:val="24"/>
          <w:szCs w:val="24"/>
        </w:rPr>
      </w:pPr>
      <w:r>
        <w:rPr>
          <w:sz w:val="24"/>
          <w:szCs w:val="24"/>
        </w:rPr>
        <w:t>data on salaries and wages,</w:t>
      </w:r>
    </w:p>
    <w:p w:rsidR="00893AB4" w:rsidRPr="00C6164D" w:rsidRDefault="00C6164D" w:rsidP="007B277A">
      <w:pPr>
        <w:pStyle w:val="BodyText"/>
        <w:numPr>
          <w:ilvl w:val="1"/>
          <w:numId w:val="1"/>
        </w:numPr>
        <w:tabs>
          <w:tab w:val="clear" w:pos="624"/>
          <w:tab w:val="left" w:pos="720"/>
          <w:tab w:val="left" w:pos="900"/>
          <w:tab w:val="left" w:pos="1080"/>
          <w:tab w:val="left" w:pos="1260"/>
        </w:tabs>
        <w:spacing w:after="0" w:line="264" w:lineRule="auto"/>
        <w:ind w:left="1094" w:hanging="187"/>
        <w:jc w:val="both"/>
        <w:rPr>
          <w:rFonts w:eastAsia="SimSun"/>
          <w:b/>
          <w:sz w:val="24"/>
          <w:szCs w:val="24"/>
        </w:rPr>
      </w:pPr>
      <w:r w:rsidRPr="00C6164D">
        <w:rPr>
          <w:sz w:val="24"/>
          <w:szCs w:val="24"/>
        </w:rPr>
        <w:t>national accounts data,</w:t>
      </w:r>
      <w:r>
        <w:rPr>
          <w:sz w:val="24"/>
          <w:szCs w:val="24"/>
        </w:rPr>
        <w:t xml:space="preserve"> </w:t>
      </w:r>
    </w:p>
    <w:p w:rsidR="00D4110E" w:rsidRPr="00C6164D" w:rsidRDefault="00C6164D" w:rsidP="007B277A">
      <w:pPr>
        <w:pStyle w:val="BodyText"/>
        <w:numPr>
          <w:ilvl w:val="1"/>
          <w:numId w:val="1"/>
        </w:numPr>
        <w:tabs>
          <w:tab w:val="clear" w:pos="624"/>
          <w:tab w:val="left" w:pos="900"/>
          <w:tab w:val="left" w:pos="1080"/>
          <w:tab w:val="left" w:pos="1260"/>
        </w:tabs>
        <w:spacing w:after="0" w:line="264" w:lineRule="auto"/>
        <w:ind w:left="1094" w:hanging="187"/>
        <w:jc w:val="both"/>
        <w:rPr>
          <w:rFonts w:eastAsia="SimSun"/>
          <w:b/>
          <w:sz w:val="24"/>
          <w:szCs w:val="24"/>
        </w:rPr>
      </w:pPr>
      <w:r w:rsidRPr="00C6164D">
        <w:rPr>
          <w:sz w:val="24"/>
          <w:szCs w:val="24"/>
        </w:rPr>
        <w:t xml:space="preserve">data </w:t>
      </w:r>
      <w:r w:rsidR="00893AB4">
        <w:rPr>
          <w:sz w:val="24"/>
          <w:szCs w:val="24"/>
        </w:rPr>
        <w:t>of</w:t>
      </w:r>
      <w:r w:rsidRPr="00C6164D">
        <w:rPr>
          <w:sz w:val="24"/>
          <w:szCs w:val="24"/>
        </w:rPr>
        <w:t xml:space="preserve"> the survey on Structure of income and expenditure of economic subjects </w:t>
      </w:r>
      <w:r w:rsidR="008A7D28" w:rsidRPr="00C6164D">
        <w:rPr>
          <w:sz w:val="24"/>
          <w:szCs w:val="24"/>
          <w:lang w:val="en-GB"/>
        </w:rPr>
        <w:t>(SRP)</w:t>
      </w:r>
      <w:r w:rsidR="00D4110E" w:rsidRPr="00C6164D">
        <w:rPr>
          <w:sz w:val="24"/>
          <w:szCs w:val="24"/>
          <w:lang w:val="en-GB"/>
        </w:rPr>
        <w:t>,</w:t>
      </w:r>
    </w:p>
    <w:p w:rsidR="00C6164D" w:rsidRPr="00EA3D88" w:rsidRDefault="00C6164D" w:rsidP="007B277A">
      <w:pPr>
        <w:pStyle w:val="BodyText"/>
        <w:numPr>
          <w:ilvl w:val="1"/>
          <w:numId w:val="1"/>
        </w:numPr>
        <w:tabs>
          <w:tab w:val="clear" w:pos="624"/>
          <w:tab w:val="left" w:pos="720"/>
          <w:tab w:val="left" w:pos="900"/>
          <w:tab w:val="num" w:pos="1080"/>
          <w:tab w:val="left" w:pos="1260"/>
        </w:tabs>
        <w:spacing w:line="264" w:lineRule="auto"/>
        <w:ind w:firstLine="276"/>
        <w:jc w:val="both"/>
        <w:rPr>
          <w:rFonts w:eastAsia="SimSun"/>
          <w:b/>
          <w:sz w:val="24"/>
          <w:szCs w:val="24"/>
        </w:rPr>
      </w:pPr>
      <w:r>
        <w:rPr>
          <w:sz w:val="24"/>
          <w:szCs w:val="24"/>
          <w:lang w:val="en-GB"/>
        </w:rPr>
        <w:t xml:space="preserve">Annual </w:t>
      </w:r>
      <w:r w:rsidR="00EA3D88">
        <w:rPr>
          <w:sz w:val="24"/>
          <w:szCs w:val="24"/>
          <w:lang w:val="en-GB"/>
        </w:rPr>
        <w:t>report on research and development (R&amp;D);</w:t>
      </w:r>
    </w:p>
    <w:p w:rsidR="00893AB4" w:rsidRDefault="00EA3D88" w:rsidP="007B277A">
      <w:pPr>
        <w:pStyle w:val="BodyText"/>
        <w:numPr>
          <w:ilvl w:val="0"/>
          <w:numId w:val="2"/>
        </w:numPr>
        <w:tabs>
          <w:tab w:val="clear" w:pos="720"/>
          <w:tab w:val="num" w:pos="360"/>
        </w:tabs>
        <w:spacing w:line="264" w:lineRule="auto"/>
        <w:jc w:val="both"/>
        <w:rPr>
          <w:sz w:val="24"/>
          <w:szCs w:val="24"/>
          <w:lang w:val="en-GB"/>
        </w:rPr>
      </w:pPr>
      <w:r>
        <w:rPr>
          <w:sz w:val="24"/>
          <w:szCs w:val="24"/>
          <w:lang w:val="en-GB"/>
        </w:rPr>
        <w:t>Administrative sources:</w:t>
      </w:r>
    </w:p>
    <w:p w:rsidR="00893AB4" w:rsidRDefault="00893AB4" w:rsidP="007B277A">
      <w:pPr>
        <w:pStyle w:val="BodyText"/>
        <w:numPr>
          <w:ilvl w:val="1"/>
          <w:numId w:val="1"/>
        </w:numPr>
        <w:tabs>
          <w:tab w:val="clear" w:pos="624"/>
          <w:tab w:val="left" w:pos="900"/>
          <w:tab w:val="left" w:pos="1080"/>
          <w:tab w:val="left" w:pos="1260"/>
        </w:tabs>
        <w:spacing w:after="0" w:line="264" w:lineRule="auto"/>
        <w:ind w:left="619" w:firstLine="274"/>
        <w:jc w:val="both"/>
        <w:rPr>
          <w:sz w:val="24"/>
          <w:szCs w:val="24"/>
          <w:lang w:val="en-GB"/>
        </w:rPr>
      </w:pPr>
      <w:r>
        <w:rPr>
          <w:sz w:val="24"/>
          <w:szCs w:val="24"/>
          <w:lang w:val="en-GB"/>
        </w:rPr>
        <w:t>annual administrative sources,</w:t>
      </w:r>
    </w:p>
    <w:p w:rsidR="00893AB4" w:rsidRDefault="009C4B2C" w:rsidP="007B277A">
      <w:pPr>
        <w:pStyle w:val="BodyText"/>
        <w:numPr>
          <w:ilvl w:val="1"/>
          <w:numId w:val="1"/>
        </w:numPr>
        <w:tabs>
          <w:tab w:val="clear" w:pos="624"/>
          <w:tab w:val="left" w:pos="900"/>
          <w:tab w:val="left" w:pos="1080"/>
          <w:tab w:val="left" w:pos="1260"/>
        </w:tabs>
        <w:spacing w:after="0" w:line="264" w:lineRule="auto"/>
        <w:ind w:left="619" w:firstLine="274"/>
        <w:jc w:val="both"/>
        <w:rPr>
          <w:sz w:val="24"/>
          <w:szCs w:val="24"/>
          <w:lang w:val="en-GB"/>
        </w:rPr>
      </w:pPr>
      <w:r>
        <w:rPr>
          <w:sz w:val="24"/>
          <w:szCs w:val="24"/>
          <w:lang w:val="en-GB"/>
        </w:rPr>
        <w:t>data on foreign exchange rate fluctuations,</w:t>
      </w:r>
    </w:p>
    <w:p w:rsidR="00CD47D4" w:rsidRDefault="00590E44" w:rsidP="007B277A">
      <w:pPr>
        <w:pStyle w:val="BodyText"/>
        <w:numPr>
          <w:ilvl w:val="1"/>
          <w:numId w:val="1"/>
        </w:numPr>
        <w:tabs>
          <w:tab w:val="clear" w:pos="624"/>
          <w:tab w:val="left" w:pos="900"/>
          <w:tab w:val="left" w:pos="1080"/>
          <w:tab w:val="left" w:pos="1260"/>
        </w:tabs>
        <w:spacing w:after="240" w:line="264" w:lineRule="auto"/>
        <w:ind w:left="619" w:firstLine="274"/>
        <w:jc w:val="both"/>
        <w:rPr>
          <w:sz w:val="24"/>
          <w:szCs w:val="24"/>
          <w:lang w:val="en-GB"/>
        </w:rPr>
      </w:pPr>
      <w:r>
        <w:rPr>
          <w:sz w:val="24"/>
          <w:szCs w:val="24"/>
          <w:lang w:val="en-GB"/>
        </w:rPr>
        <w:t>balance of payment</w:t>
      </w:r>
      <w:r w:rsidR="00CD47D4">
        <w:rPr>
          <w:sz w:val="24"/>
          <w:szCs w:val="24"/>
          <w:lang w:val="en-GB"/>
        </w:rPr>
        <w:t>, etc.</w:t>
      </w:r>
    </w:p>
    <w:p w:rsidR="00CD47D4" w:rsidRPr="005F2551" w:rsidRDefault="004E1057" w:rsidP="007B277A">
      <w:pPr>
        <w:pStyle w:val="BodyText"/>
        <w:spacing w:after="240" w:line="264" w:lineRule="auto"/>
        <w:jc w:val="both"/>
        <w:rPr>
          <w:sz w:val="24"/>
          <w:szCs w:val="24"/>
        </w:rPr>
      </w:pPr>
      <w:r w:rsidRPr="004E1057">
        <w:rPr>
          <w:i/>
          <w:sz w:val="24"/>
          <w:szCs w:val="24"/>
        </w:rPr>
        <w:t>I</w:t>
      </w:r>
      <w:r w:rsidR="00CD47D4" w:rsidRPr="004E1057">
        <w:rPr>
          <w:i/>
          <w:sz w:val="24"/>
          <w:szCs w:val="24"/>
        </w:rPr>
        <w:t>nvestments</w:t>
      </w:r>
      <w:r w:rsidRPr="004E1057">
        <w:rPr>
          <w:i/>
          <w:sz w:val="24"/>
          <w:szCs w:val="24"/>
        </w:rPr>
        <w:t xml:space="preserve"> in </w:t>
      </w:r>
      <w:r w:rsidRPr="004E1057">
        <w:rPr>
          <w:rFonts w:cs="Arial"/>
          <w:bCs/>
          <w:i/>
          <w:lang w:val="en-GB"/>
        </w:rPr>
        <w:t>buildings</w:t>
      </w:r>
      <w:r w:rsidRPr="001A603A">
        <w:rPr>
          <w:rFonts w:cs="Arial"/>
          <w:bCs/>
          <w:i/>
          <w:lang w:val="en-GB"/>
        </w:rPr>
        <w:t xml:space="preserve"> and</w:t>
      </w:r>
      <w:r>
        <w:rPr>
          <w:rFonts w:cs="Arial"/>
          <w:bCs/>
          <w:i/>
          <w:lang w:val="en-GB"/>
        </w:rPr>
        <w:t xml:space="preserve"> other</w:t>
      </w:r>
      <w:r w:rsidRPr="001A603A">
        <w:rPr>
          <w:rFonts w:cs="Arial"/>
          <w:bCs/>
          <w:i/>
          <w:lang w:val="en-GB"/>
        </w:rPr>
        <w:t xml:space="preserve"> </w:t>
      </w:r>
      <w:r w:rsidRPr="00F03327">
        <w:rPr>
          <w:rFonts w:cs="Arial"/>
          <w:bCs/>
          <w:i/>
          <w:lang w:val="en-GB"/>
        </w:rPr>
        <w:t>structures</w:t>
      </w:r>
      <w:r>
        <w:rPr>
          <w:i/>
          <w:sz w:val="24"/>
          <w:szCs w:val="24"/>
        </w:rPr>
        <w:t xml:space="preserve"> </w:t>
      </w:r>
      <w:r w:rsidR="00CD47D4" w:rsidRPr="005F2551">
        <w:rPr>
          <w:i/>
          <w:sz w:val="24"/>
          <w:szCs w:val="24"/>
        </w:rPr>
        <w:t xml:space="preserve"> </w:t>
      </w:r>
      <w:r w:rsidR="00CD47D4" w:rsidRPr="005F2551">
        <w:rPr>
          <w:sz w:val="24"/>
          <w:szCs w:val="24"/>
        </w:rPr>
        <w:t>at constant prices are calculated by</w:t>
      </w:r>
      <w:r w:rsidR="008813D3" w:rsidRPr="005F2551">
        <w:rPr>
          <w:sz w:val="24"/>
          <w:szCs w:val="24"/>
        </w:rPr>
        <w:t xml:space="preserve"> </w:t>
      </w:r>
      <w:r w:rsidR="005F2551" w:rsidRPr="005F2551">
        <w:rPr>
          <w:sz w:val="24"/>
          <w:szCs w:val="24"/>
        </w:rPr>
        <w:t xml:space="preserve">deflating investments at current prices. </w:t>
      </w:r>
      <w:r w:rsidR="00CD47D4" w:rsidRPr="005F2551">
        <w:rPr>
          <w:sz w:val="24"/>
          <w:szCs w:val="24"/>
        </w:rPr>
        <w:t xml:space="preserve">Since the total input structure/structure of expenditures for construction includes </w:t>
      </w:r>
      <w:r w:rsidR="005F2551">
        <w:rPr>
          <w:sz w:val="24"/>
          <w:szCs w:val="24"/>
        </w:rPr>
        <w:t xml:space="preserve">costs of </w:t>
      </w:r>
      <w:r w:rsidR="00CD47D4" w:rsidRPr="005F2551">
        <w:rPr>
          <w:sz w:val="24"/>
          <w:szCs w:val="24"/>
        </w:rPr>
        <w:t>building materials, energy, transport</w:t>
      </w:r>
      <w:r w:rsidR="005F2551">
        <w:rPr>
          <w:sz w:val="24"/>
          <w:szCs w:val="24"/>
        </w:rPr>
        <w:t xml:space="preserve">, </w:t>
      </w:r>
      <w:r w:rsidR="00154854">
        <w:rPr>
          <w:sz w:val="24"/>
          <w:szCs w:val="24"/>
        </w:rPr>
        <w:t xml:space="preserve">salaries and </w:t>
      </w:r>
      <w:r w:rsidR="005F2551">
        <w:rPr>
          <w:sz w:val="24"/>
          <w:szCs w:val="24"/>
        </w:rPr>
        <w:t>wages,</w:t>
      </w:r>
      <w:r w:rsidR="00CD47D4" w:rsidRPr="005F2551">
        <w:rPr>
          <w:sz w:val="24"/>
          <w:szCs w:val="24"/>
        </w:rPr>
        <w:t xml:space="preserve"> and a number of other elements, the deflator used </w:t>
      </w:r>
      <w:r w:rsidR="00154854">
        <w:rPr>
          <w:sz w:val="24"/>
          <w:szCs w:val="24"/>
        </w:rPr>
        <w:t xml:space="preserve">for </w:t>
      </w:r>
      <w:r w:rsidR="005F2551">
        <w:rPr>
          <w:sz w:val="24"/>
          <w:szCs w:val="24"/>
        </w:rPr>
        <w:t>construction works</w:t>
      </w:r>
      <w:r w:rsidR="00CD47D4" w:rsidRPr="005F2551">
        <w:rPr>
          <w:sz w:val="24"/>
          <w:szCs w:val="24"/>
        </w:rPr>
        <w:t xml:space="preserve"> </w:t>
      </w:r>
      <w:r w:rsidR="005F2551" w:rsidRPr="00536148">
        <w:rPr>
          <w:sz w:val="24"/>
          <w:szCs w:val="24"/>
        </w:rPr>
        <w:t>(</w:t>
      </w:r>
      <w:r>
        <w:rPr>
          <w:sz w:val="24"/>
          <w:szCs w:val="24"/>
        </w:rPr>
        <w:t>c</w:t>
      </w:r>
      <w:r w:rsidR="00CD47D4" w:rsidRPr="00536148">
        <w:rPr>
          <w:sz w:val="24"/>
          <w:szCs w:val="24"/>
        </w:rPr>
        <w:t xml:space="preserve">omposite price index for </w:t>
      </w:r>
      <w:r w:rsidR="0029144B" w:rsidRPr="0029144B">
        <w:rPr>
          <w:rFonts w:cs="Arial"/>
          <w:bCs/>
          <w:lang w:val="en-GB"/>
        </w:rPr>
        <w:t>buildings and other structures</w:t>
      </w:r>
      <w:r w:rsidR="005F2551" w:rsidRPr="00536148">
        <w:rPr>
          <w:sz w:val="24"/>
          <w:szCs w:val="24"/>
        </w:rPr>
        <w:t>)</w:t>
      </w:r>
      <w:r w:rsidR="00CD47D4" w:rsidRPr="005F2551">
        <w:rPr>
          <w:sz w:val="24"/>
          <w:szCs w:val="24"/>
        </w:rPr>
        <w:t xml:space="preserve"> </w:t>
      </w:r>
      <w:r w:rsidR="005F2551">
        <w:rPr>
          <w:sz w:val="24"/>
          <w:szCs w:val="24"/>
        </w:rPr>
        <w:t>is estimated</w:t>
      </w:r>
      <w:r w:rsidR="00CD47D4" w:rsidRPr="005F2551">
        <w:rPr>
          <w:sz w:val="24"/>
          <w:szCs w:val="24"/>
        </w:rPr>
        <w:t xml:space="preserve"> </w:t>
      </w:r>
      <w:r w:rsidR="005F2551">
        <w:rPr>
          <w:sz w:val="24"/>
          <w:szCs w:val="24"/>
        </w:rPr>
        <w:t xml:space="preserve">by weighting the respective </w:t>
      </w:r>
      <w:r w:rsidR="00154854">
        <w:rPr>
          <w:sz w:val="24"/>
          <w:szCs w:val="24"/>
        </w:rPr>
        <w:t xml:space="preserve">producer price </w:t>
      </w:r>
      <w:r w:rsidR="00BA055A">
        <w:rPr>
          <w:sz w:val="24"/>
          <w:szCs w:val="24"/>
        </w:rPr>
        <w:t>indices</w:t>
      </w:r>
      <w:r w:rsidR="005F2551">
        <w:rPr>
          <w:sz w:val="24"/>
          <w:szCs w:val="24"/>
        </w:rPr>
        <w:t xml:space="preserve"> of industrial products</w:t>
      </w:r>
      <w:r w:rsidR="00154854">
        <w:rPr>
          <w:sz w:val="24"/>
          <w:szCs w:val="24"/>
        </w:rPr>
        <w:t xml:space="preserve"> for domestic market (elements and </w:t>
      </w:r>
      <w:r w:rsidR="00CD47D4" w:rsidRPr="005F2551">
        <w:rPr>
          <w:sz w:val="24"/>
          <w:szCs w:val="24"/>
        </w:rPr>
        <w:t xml:space="preserve">materials for incorporating in construction, energy, </w:t>
      </w:r>
      <w:r w:rsidR="00154854" w:rsidRPr="005F2551">
        <w:rPr>
          <w:sz w:val="24"/>
          <w:szCs w:val="24"/>
        </w:rPr>
        <w:t>motor vehicles and trailers</w:t>
      </w:r>
      <w:r w:rsidR="00BA055A">
        <w:rPr>
          <w:sz w:val="24"/>
          <w:szCs w:val="24"/>
        </w:rPr>
        <w:t>,</w:t>
      </w:r>
      <w:r w:rsidR="00154854" w:rsidRPr="005F2551">
        <w:rPr>
          <w:sz w:val="24"/>
          <w:szCs w:val="24"/>
        </w:rPr>
        <w:t xml:space="preserve"> </w:t>
      </w:r>
      <w:r w:rsidR="00CD47D4" w:rsidRPr="005F2551">
        <w:rPr>
          <w:sz w:val="24"/>
          <w:szCs w:val="24"/>
        </w:rPr>
        <w:t>machinery and equipment n.e.c.</w:t>
      </w:r>
      <w:r w:rsidR="00154854">
        <w:rPr>
          <w:sz w:val="24"/>
          <w:szCs w:val="24"/>
        </w:rPr>
        <w:t>)</w:t>
      </w:r>
      <w:r w:rsidR="00CD47D4" w:rsidRPr="005F2551">
        <w:rPr>
          <w:sz w:val="24"/>
          <w:szCs w:val="24"/>
        </w:rPr>
        <w:t xml:space="preserve"> and index of </w:t>
      </w:r>
      <w:r w:rsidR="00154854">
        <w:rPr>
          <w:sz w:val="24"/>
          <w:szCs w:val="24"/>
        </w:rPr>
        <w:t xml:space="preserve">average </w:t>
      </w:r>
      <w:r w:rsidR="00CD47D4" w:rsidRPr="005F2551">
        <w:rPr>
          <w:sz w:val="24"/>
          <w:szCs w:val="24"/>
        </w:rPr>
        <w:t>gross salaries</w:t>
      </w:r>
      <w:r w:rsidR="00154854">
        <w:rPr>
          <w:sz w:val="24"/>
          <w:szCs w:val="24"/>
        </w:rPr>
        <w:t xml:space="preserve"> and wages </w:t>
      </w:r>
      <w:r w:rsidR="00CD47D4" w:rsidRPr="005F2551">
        <w:rPr>
          <w:sz w:val="24"/>
          <w:szCs w:val="24"/>
        </w:rPr>
        <w:t>in construction.</w:t>
      </w:r>
    </w:p>
    <w:p w:rsidR="00CD47D4" w:rsidRDefault="00CD47D4" w:rsidP="007B277A">
      <w:pPr>
        <w:pStyle w:val="BodyText"/>
        <w:spacing w:after="240" w:line="264" w:lineRule="auto"/>
        <w:jc w:val="both"/>
        <w:rPr>
          <w:rFonts w:cs="Arial"/>
          <w:sz w:val="24"/>
          <w:szCs w:val="24"/>
          <w:lang w:eastAsia="en-US"/>
        </w:rPr>
      </w:pPr>
      <w:r w:rsidRPr="00154854">
        <w:rPr>
          <w:rFonts w:cs="Arial"/>
          <w:sz w:val="24"/>
          <w:szCs w:val="24"/>
          <w:lang w:eastAsia="en-US"/>
        </w:rPr>
        <w:t xml:space="preserve">With this approach, all cost components (material costs, consumption of fixed capital and </w:t>
      </w:r>
      <w:r w:rsidR="00BA055A">
        <w:rPr>
          <w:rFonts w:cs="Arial"/>
          <w:sz w:val="24"/>
          <w:szCs w:val="24"/>
          <w:lang w:eastAsia="en-US"/>
        </w:rPr>
        <w:t xml:space="preserve">compensations of </w:t>
      </w:r>
      <w:r w:rsidRPr="00154854">
        <w:rPr>
          <w:rFonts w:cs="Arial"/>
          <w:sz w:val="24"/>
          <w:szCs w:val="24"/>
          <w:lang w:eastAsia="en-US"/>
        </w:rPr>
        <w:t xml:space="preserve">employees) are taken into account considering </w:t>
      </w:r>
      <w:r w:rsidR="003A5CA0">
        <w:rPr>
          <w:rFonts w:cs="Arial"/>
          <w:sz w:val="24"/>
          <w:szCs w:val="24"/>
          <w:lang w:eastAsia="en-US"/>
        </w:rPr>
        <w:t>their</w:t>
      </w:r>
      <w:r w:rsidRPr="00154854">
        <w:rPr>
          <w:rFonts w:cs="Arial"/>
          <w:sz w:val="24"/>
          <w:szCs w:val="24"/>
          <w:lang w:eastAsia="en-US"/>
        </w:rPr>
        <w:t xml:space="preserve"> </w:t>
      </w:r>
      <w:r w:rsidR="00E9690A">
        <w:rPr>
          <w:rFonts w:cs="Arial"/>
          <w:sz w:val="24"/>
          <w:szCs w:val="24"/>
          <w:lang w:eastAsia="en-US"/>
        </w:rPr>
        <w:t>share in</w:t>
      </w:r>
      <w:r w:rsidRPr="00154854">
        <w:rPr>
          <w:rFonts w:cs="Arial"/>
          <w:sz w:val="24"/>
          <w:szCs w:val="24"/>
          <w:lang w:eastAsia="en-US"/>
        </w:rPr>
        <w:t xml:space="preserve"> the total construction costs. </w:t>
      </w:r>
      <w:r w:rsidR="00363374">
        <w:rPr>
          <w:rFonts w:cs="Arial"/>
          <w:sz w:val="24"/>
          <w:szCs w:val="24"/>
          <w:lang w:eastAsia="en-US"/>
        </w:rPr>
        <w:t>The w</w:t>
      </w:r>
      <w:r w:rsidRPr="00154854">
        <w:rPr>
          <w:rFonts w:cs="Arial"/>
          <w:sz w:val="24"/>
          <w:szCs w:val="24"/>
          <w:lang w:eastAsia="en-US"/>
        </w:rPr>
        <w:t xml:space="preserve">eights are </w:t>
      </w:r>
      <w:r w:rsidR="00536148">
        <w:rPr>
          <w:rFonts w:cs="Arial"/>
          <w:sz w:val="24"/>
          <w:szCs w:val="24"/>
          <w:lang w:eastAsia="en-US"/>
        </w:rPr>
        <w:t>calculated</w:t>
      </w:r>
      <w:r w:rsidRPr="00154854">
        <w:rPr>
          <w:rFonts w:cs="Arial"/>
          <w:sz w:val="24"/>
          <w:szCs w:val="24"/>
          <w:lang w:eastAsia="en-US"/>
        </w:rPr>
        <w:t xml:space="preserve"> on the basis of data from annual financial </w:t>
      </w:r>
      <w:r w:rsidRPr="00154854">
        <w:rPr>
          <w:rFonts w:cs="Arial"/>
          <w:sz w:val="24"/>
          <w:szCs w:val="24"/>
          <w:lang w:eastAsia="en-US"/>
        </w:rPr>
        <w:lastRenderedPageBreak/>
        <w:t>statements</w:t>
      </w:r>
      <w:r w:rsidR="00536148">
        <w:rPr>
          <w:rFonts w:cs="Arial"/>
          <w:sz w:val="24"/>
          <w:szCs w:val="24"/>
          <w:lang w:eastAsia="en-US"/>
        </w:rPr>
        <w:t xml:space="preserve"> of construction companies</w:t>
      </w:r>
      <w:r w:rsidRPr="00154854">
        <w:rPr>
          <w:rFonts w:cs="Arial"/>
          <w:sz w:val="24"/>
          <w:szCs w:val="24"/>
          <w:lang w:eastAsia="en-US"/>
        </w:rPr>
        <w:t xml:space="preserve">, as shares of each element </w:t>
      </w:r>
      <w:r w:rsidR="00536148">
        <w:rPr>
          <w:rFonts w:cs="Arial"/>
          <w:sz w:val="24"/>
          <w:szCs w:val="24"/>
          <w:lang w:eastAsia="en-US"/>
        </w:rPr>
        <w:t xml:space="preserve">of costs </w:t>
      </w:r>
      <w:r w:rsidRPr="00154854">
        <w:rPr>
          <w:rFonts w:cs="Arial"/>
          <w:sz w:val="24"/>
          <w:szCs w:val="24"/>
          <w:lang w:eastAsia="en-US"/>
        </w:rPr>
        <w:t>in the total expenditures of enterprises.</w:t>
      </w:r>
    </w:p>
    <w:p w:rsidR="00536148" w:rsidRDefault="00536148" w:rsidP="007B277A">
      <w:pPr>
        <w:pStyle w:val="BodyText"/>
        <w:spacing w:after="240" w:line="264" w:lineRule="auto"/>
        <w:jc w:val="both"/>
        <w:rPr>
          <w:sz w:val="24"/>
          <w:szCs w:val="24"/>
        </w:rPr>
      </w:pPr>
      <w:r w:rsidRPr="00231E40">
        <w:rPr>
          <w:rFonts w:cs="Arial"/>
          <w:i/>
          <w:sz w:val="24"/>
          <w:szCs w:val="24"/>
          <w:lang w:eastAsia="en-US"/>
        </w:rPr>
        <w:t>Investments in domestic machinery and equipment</w:t>
      </w:r>
      <w:r w:rsidR="007E70CA">
        <w:rPr>
          <w:rFonts w:cs="Arial"/>
          <w:sz w:val="24"/>
          <w:szCs w:val="24"/>
          <w:lang w:eastAsia="en-US"/>
        </w:rPr>
        <w:t xml:space="preserve"> at</w:t>
      </w:r>
      <w:r w:rsidR="007E70CA">
        <w:rPr>
          <w:rFonts w:eastAsia="SimSun" w:cs="MyriadPro-LightSemiCn"/>
          <w:bCs/>
          <w:sz w:val="24"/>
          <w:szCs w:val="24"/>
          <w:lang w:val="en-GB" w:eastAsia="zh-CN"/>
        </w:rPr>
        <w:t xml:space="preserve"> previous year prices</w:t>
      </w:r>
      <w:r>
        <w:rPr>
          <w:rFonts w:cs="Arial"/>
          <w:sz w:val="24"/>
          <w:szCs w:val="24"/>
          <w:lang w:eastAsia="en-US"/>
        </w:rPr>
        <w:t xml:space="preserve"> are </w:t>
      </w:r>
      <w:r w:rsidR="00BD68A9">
        <w:rPr>
          <w:sz w:val="24"/>
          <w:szCs w:val="24"/>
        </w:rPr>
        <w:t>estimated</w:t>
      </w:r>
      <w:r w:rsidRPr="005F2551">
        <w:rPr>
          <w:sz w:val="24"/>
          <w:szCs w:val="24"/>
        </w:rPr>
        <w:t xml:space="preserve"> by deflating investments at current prices.</w:t>
      </w:r>
      <w:r>
        <w:rPr>
          <w:rFonts w:cs="Arial"/>
          <w:sz w:val="24"/>
          <w:szCs w:val="24"/>
          <w:lang w:eastAsia="en-US"/>
        </w:rPr>
        <w:t xml:space="preserve"> </w:t>
      </w:r>
      <w:r w:rsidRPr="00536148">
        <w:rPr>
          <w:sz w:val="24"/>
          <w:szCs w:val="24"/>
        </w:rPr>
        <w:t>Composite price index for</w:t>
      </w:r>
      <w:r>
        <w:rPr>
          <w:sz w:val="24"/>
          <w:szCs w:val="24"/>
        </w:rPr>
        <w:t xml:space="preserve"> domestic equipment is used as deflator.</w:t>
      </w:r>
    </w:p>
    <w:p w:rsidR="003F2E9C" w:rsidRDefault="003F2E9C" w:rsidP="007B277A">
      <w:pPr>
        <w:pStyle w:val="BodyText"/>
        <w:spacing w:after="240" w:line="264" w:lineRule="auto"/>
        <w:jc w:val="both"/>
        <w:rPr>
          <w:rFonts w:cs="Arial"/>
          <w:sz w:val="24"/>
          <w:szCs w:val="24"/>
          <w:lang w:val="en-GB"/>
        </w:rPr>
      </w:pPr>
      <w:r w:rsidRPr="006B645E">
        <w:rPr>
          <w:rFonts w:cs="Arial"/>
          <w:sz w:val="24"/>
          <w:szCs w:val="24"/>
          <w:lang w:val="en-GB"/>
        </w:rPr>
        <w:t xml:space="preserve">The starting point for </w:t>
      </w:r>
      <w:r w:rsidR="006B645E">
        <w:rPr>
          <w:rFonts w:cs="Arial"/>
          <w:sz w:val="24"/>
          <w:szCs w:val="24"/>
          <w:lang w:val="en-GB"/>
        </w:rPr>
        <w:t>its</w:t>
      </w:r>
      <w:r w:rsidRPr="006B645E">
        <w:rPr>
          <w:rFonts w:cs="Arial"/>
          <w:sz w:val="24"/>
          <w:szCs w:val="24"/>
          <w:lang w:val="en-GB"/>
        </w:rPr>
        <w:t xml:space="preserve"> computation </w:t>
      </w:r>
      <w:r w:rsidR="006B645E">
        <w:rPr>
          <w:rFonts w:cs="Arial"/>
          <w:sz w:val="24"/>
          <w:szCs w:val="24"/>
          <w:lang w:val="en-GB"/>
        </w:rPr>
        <w:t>presents</w:t>
      </w:r>
      <w:r w:rsidRPr="006B645E">
        <w:rPr>
          <w:rFonts w:cs="Arial"/>
          <w:sz w:val="24"/>
          <w:szCs w:val="24"/>
          <w:lang w:val="en-GB"/>
        </w:rPr>
        <w:t xml:space="preserve"> the results of the Annual survey on investments in fixed assets that ensure detailed data</w:t>
      </w:r>
      <w:r w:rsidR="006B645E">
        <w:rPr>
          <w:rFonts w:cs="Arial"/>
          <w:sz w:val="24"/>
          <w:szCs w:val="24"/>
          <w:lang w:val="en-GB"/>
        </w:rPr>
        <w:t xml:space="preserve"> on invest</w:t>
      </w:r>
      <w:r w:rsidR="00983375">
        <w:rPr>
          <w:rFonts w:cs="Arial"/>
          <w:sz w:val="24"/>
          <w:szCs w:val="24"/>
          <w:lang w:val="en-GB"/>
        </w:rPr>
        <w:t>ments in domestic equipment,</w:t>
      </w:r>
      <w:r w:rsidRPr="006B645E">
        <w:rPr>
          <w:rFonts w:cs="Arial"/>
          <w:sz w:val="24"/>
          <w:szCs w:val="24"/>
          <w:lang w:val="en-GB"/>
        </w:rPr>
        <w:t xml:space="preserve"> broken down into 10 categories of </w:t>
      </w:r>
      <w:r w:rsidR="009301B3" w:rsidRPr="00995A6C">
        <w:rPr>
          <w:rFonts w:cs="Calibri"/>
          <w:lang w:eastAsia="en-US"/>
        </w:rPr>
        <w:t>investment goods</w:t>
      </w:r>
      <w:r w:rsidRPr="006B645E">
        <w:rPr>
          <w:rFonts w:cs="Arial"/>
          <w:sz w:val="24"/>
          <w:szCs w:val="24"/>
          <w:lang w:val="en-GB"/>
        </w:rPr>
        <w:t xml:space="preserve">. For each of these </w:t>
      </w:r>
      <w:r w:rsidR="00983375">
        <w:rPr>
          <w:rFonts w:cs="Arial"/>
          <w:sz w:val="24"/>
          <w:szCs w:val="24"/>
          <w:lang w:val="en-GB"/>
        </w:rPr>
        <w:t>categories</w:t>
      </w:r>
      <w:r w:rsidRPr="006B645E">
        <w:rPr>
          <w:rFonts w:cs="Arial"/>
          <w:sz w:val="24"/>
          <w:szCs w:val="24"/>
          <w:lang w:val="en-GB"/>
        </w:rPr>
        <w:t xml:space="preserve">, </w:t>
      </w:r>
      <w:r w:rsidR="006B645E">
        <w:rPr>
          <w:rFonts w:cs="Arial"/>
          <w:sz w:val="24"/>
          <w:szCs w:val="24"/>
          <w:lang w:val="en-GB"/>
        </w:rPr>
        <w:t>the values at current prices a</w:t>
      </w:r>
      <w:r w:rsidR="00FB092E">
        <w:rPr>
          <w:rFonts w:cs="Arial"/>
          <w:sz w:val="24"/>
          <w:szCs w:val="24"/>
          <w:lang w:val="en-GB"/>
        </w:rPr>
        <w:t xml:space="preserve">re deflated with the respective </w:t>
      </w:r>
      <w:r w:rsidRPr="006B645E">
        <w:rPr>
          <w:rFonts w:cs="Arial"/>
          <w:sz w:val="24"/>
          <w:szCs w:val="24"/>
          <w:lang w:val="en-GB"/>
        </w:rPr>
        <w:t>PPIs</w:t>
      </w:r>
      <w:r w:rsidR="00FB092E">
        <w:rPr>
          <w:rFonts w:cs="Arial"/>
          <w:sz w:val="24"/>
          <w:szCs w:val="24"/>
          <w:lang w:val="en-GB"/>
        </w:rPr>
        <w:t xml:space="preserve"> of</w:t>
      </w:r>
      <w:r w:rsidR="00FB092E">
        <w:rPr>
          <w:sz w:val="24"/>
          <w:szCs w:val="24"/>
        </w:rPr>
        <w:t xml:space="preserve"> industrial products for domestic market, applying the weighted share</w:t>
      </w:r>
      <w:r w:rsidR="00231E40">
        <w:rPr>
          <w:sz w:val="24"/>
          <w:szCs w:val="24"/>
        </w:rPr>
        <w:t xml:space="preserve"> of the product group </w:t>
      </w:r>
      <w:r w:rsidR="00A16690">
        <w:rPr>
          <w:sz w:val="24"/>
          <w:szCs w:val="24"/>
        </w:rPr>
        <w:t xml:space="preserve">in the total investments in </w:t>
      </w:r>
      <w:r w:rsidR="009301B3">
        <w:rPr>
          <w:sz w:val="24"/>
          <w:szCs w:val="24"/>
        </w:rPr>
        <w:t xml:space="preserve">domestic </w:t>
      </w:r>
      <w:r w:rsidR="00A16690">
        <w:rPr>
          <w:sz w:val="24"/>
          <w:szCs w:val="24"/>
        </w:rPr>
        <w:t xml:space="preserve">equipment on the </w:t>
      </w:r>
      <w:r w:rsidR="00983375">
        <w:rPr>
          <w:sz w:val="24"/>
          <w:szCs w:val="24"/>
        </w:rPr>
        <w:t xml:space="preserve">section </w:t>
      </w:r>
      <w:r w:rsidR="00A16690">
        <w:rPr>
          <w:sz w:val="24"/>
          <w:szCs w:val="24"/>
        </w:rPr>
        <w:t xml:space="preserve">level of the </w:t>
      </w:r>
      <w:r w:rsidR="00983375" w:rsidRPr="001A603A">
        <w:rPr>
          <w:rFonts w:eastAsia="SimSun" w:cs="MyriadPro-LightSemiCn"/>
          <w:bCs/>
          <w:sz w:val="24"/>
          <w:szCs w:val="24"/>
          <w:lang w:val="en-GB" w:eastAsia="zh-CN"/>
        </w:rPr>
        <w:t>Classification of Activities</w:t>
      </w:r>
      <w:r w:rsidR="00A16690">
        <w:rPr>
          <w:sz w:val="24"/>
          <w:szCs w:val="24"/>
        </w:rPr>
        <w:t xml:space="preserve">. </w:t>
      </w:r>
      <w:r w:rsidRPr="006B645E">
        <w:rPr>
          <w:rFonts w:cs="Arial"/>
          <w:sz w:val="24"/>
          <w:szCs w:val="24"/>
          <w:lang w:val="en-GB"/>
        </w:rPr>
        <w:t>Separate composite pri</w:t>
      </w:r>
      <w:r w:rsidR="00BD68A9">
        <w:rPr>
          <w:rFonts w:cs="Arial"/>
          <w:sz w:val="24"/>
          <w:szCs w:val="24"/>
          <w:lang w:val="en-GB"/>
        </w:rPr>
        <w:t>ce indices are derived for each</w:t>
      </w:r>
      <w:r w:rsidR="00A16690">
        <w:rPr>
          <w:rFonts w:cs="Arial"/>
          <w:sz w:val="24"/>
          <w:szCs w:val="24"/>
          <w:lang w:val="en-GB"/>
        </w:rPr>
        <w:t xml:space="preserve"> section</w:t>
      </w:r>
      <w:r w:rsidRPr="006B645E">
        <w:rPr>
          <w:rFonts w:cs="Arial"/>
          <w:sz w:val="24"/>
          <w:szCs w:val="24"/>
          <w:lang w:val="en-GB"/>
        </w:rPr>
        <w:t xml:space="preserve">, </w:t>
      </w:r>
      <w:r w:rsidR="00A16690">
        <w:rPr>
          <w:rFonts w:cs="Arial"/>
          <w:sz w:val="24"/>
          <w:szCs w:val="24"/>
          <w:lang w:val="en-GB"/>
        </w:rPr>
        <w:t>since</w:t>
      </w:r>
      <w:r w:rsidRPr="006B645E">
        <w:rPr>
          <w:rFonts w:cs="Arial"/>
          <w:sz w:val="24"/>
          <w:szCs w:val="24"/>
          <w:lang w:val="en-GB"/>
        </w:rPr>
        <w:t xml:space="preserve"> the structures of </w:t>
      </w:r>
      <w:r w:rsidR="00F72140">
        <w:rPr>
          <w:rFonts w:cs="Arial"/>
          <w:sz w:val="24"/>
          <w:szCs w:val="24"/>
          <w:lang w:val="en-GB"/>
        </w:rPr>
        <w:t>fixed assets</w:t>
      </w:r>
      <w:r w:rsidRPr="006B645E">
        <w:rPr>
          <w:rFonts w:cs="Arial"/>
          <w:sz w:val="24"/>
          <w:szCs w:val="24"/>
          <w:lang w:val="en-GB"/>
        </w:rPr>
        <w:t xml:space="preserve"> vary across industries.</w:t>
      </w:r>
    </w:p>
    <w:p w:rsidR="00A16690" w:rsidRDefault="00A16690" w:rsidP="007B277A">
      <w:pPr>
        <w:pStyle w:val="BodyText"/>
        <w:spacing w:after="240" w:line="264" w:lineRule="auto"/>
        <w:jc w:val="both"/>
        <w:rPr>
          <w:sz w:val="24"/>
          <w:szCs w:val="24"/>
        </w:rPr>
      </w:pPr>
      <w:r w:rsidRPr="00231E40">
        <w:rPr>
          <w:rFonts w:cs="Arial"/>
          <w:i/>
          <w:sz w:val="24"/>
          <w:szCs w:val="24"/>
          <w:lang w:eastAsia="en-US"/>
        </w:rPr>
        <w:t xml:space="preserve">Investments in </w:t>
      </w:r>
      <w:r>
        <w:rPr>
          <w:rFonts w:cs="Arial"/>
          <w:i/>
          <w:sz w:val="24"/>
          <w:szCs w:val="24"/>
          <w:lang w:eastAsia="en-US"/>
        </w:rPr>
        <w:t>imported</w:t>
      </w:r>
      <w:r w:rsidR="008D5C57" w:rsidRPr="008D5C57">
        <w:rPr>
          <w:rFonts w:cs="Arial"/>
          <w:i/>
          <w:sz w:val="24"/>
          <w:szCs w:val="24"/>
          <w:lang w:eastAsia="en-US"/>
        </w:rPr>
        <w:t xml:space="preserve"> </w:t>
      </w:r>
      <w:r w:rsidR="008D5C57" w:rsidRPr="00231E40">
        <w:rPr>
          <w:rFonts w:cs="Arial"/>
          <w:i/>
          <w:sz w:val="24"/>
          <w:szCs w:val="24"/>
          <w:lang w:eastAsia="en-US"/>
        </w:rPr>
        <w:t>machinery and</w:t>
      </w:r>
      <w:r>
        <w:rPr>
          <w:rFonts w:cs="Arial"/>
          <w:i/>
          <w:sz w:val="24"/>
          <w:szCs w:val="24"/>
          <w:lang w:eastAsia="en-US"/>
        </w:rPr>
        <w:t xml:space="preserve"> </w:t>
      </w:r>
      <w:r w:rsidRPr="00231E40">
        <w:rPr>
          <w:rFonts w:cs="Arial"/>
          <w:i/>
          <w:sz w:val="24"/>
          <w:szCs w:val="24"/>
          <w:lang w:eastAsia="en-US"/>
        </w:rPr>
        <w:t>equipment</w:t>
      </w:r>
      <w:r>
        <w:rPr>
          <w:rFonts w:cs="Arial"/>
          <w:sz w:val="24"/>
          <w:szCs w:val="24"/>
          <w:lang w:eastAsia="en-US"/>
        </w:rPr>
        <w:t xml:space="preserve"> at constant prices are </w:t>
      </w:r>
      <w:r w:rsidRPr="005F2551">
        <w:rPr>
          <w:sz w:val="24"/>
          <w:szCs w:val="24"/>
        </w:rPr>
        <w:t>calculated by deflating investments at current prices.</w:t>
      </w:r>
      <w:r>
        <w:rPr>
          <w:rFonts w:cs="Arial"/>
          <w:sz w:val="24"/>
          <w:szCs w:val="24"/>
          <w:lang w:eastAsia="en-US"/>
        </w:rPr>
        <w:t xml:space="preserve"> </w:t>
      </w:r>
      <w:r w:rsidRPr="00536148">
        <w:rPr>
          <w:sz w:val="24"/>
          <w:szCs w:val="24"/>
        </w:rPr>
        <w:t>Composite price index for</w:t>
      </w:r>
      <w:r>
        <w:rPr>
          <w:sz w:val="24"/>
          <w:szCs w:val="24"/>
        </w:rPr>
        <w:t xml:space="preserve"> </w:t>
      </w:r>
      <w:r w:rsidR="00230C3E">
        <w:rPr>
          <w:sz w:val="24"/>
          <w:szCs w:val="24"/>
        </w:rPr>
        <w:t>imported</w:t>
      </w:r>
      <w:r>
        <w:rPr>
          <w:sz w:val="24"/>
          <w:szCs w:val="24"/>
        </w:rPr>
        <w:t xml:space="preserve"> equipment is used as deflator.</w:t>
      </w:r>
    </w:p>
    <w:p w:rsidR="00AC6098" w:rsidRDefault="00A16690" w:rsidP="007B277A">
      <w:pPr>
        <w:pStyle w:val="BodyText"/>
        <w:spacing w:after="240" w:line="264" w:lineRule="auto"/>
        <w:jc w:val="both"/>
        <w:rPr>
          <w:sz w:val="24"/>
          <w:szCs w:val="24"/>
        </w:rPr>
      </w:pPr>
      <w:r w:rsidRPr="00F06EC5">
        <w:rPr>
          <w:sz w:val="24"/>
          <w:szCs w:val="24"/>
        </w:rPr>
        <w:t xml:space="preserve">The starting point for </w:t>
      </w:r>
      <w:r w:rsidR="000E08D1">
        <w:rPr>
          <w:sz w:val="24"/>
          <w:szCs w:val="24"/>
        </w:rPr>
        <w:t>this</w:t>
      </w:r>
      <w:r w:rsidRPr="00F06EC5">
        <w:rPr>
          <w:sz w:val="24"/>
          <w:szCs w:val="24"/>
        </w:rPr>
        <w:t xml:space="preserve"> computation presents the results of the Annual survey on investments in fixed assets that ensure detailed data on the value of investments in </w:t>
      </w:r>
      <w:r w:rsidR="00230C3E" w:rsidRPr="00F06EC5">
        <w:rPr>
          <w:sz w:val="24"/>
          <w:szCs w:val="24"/>
        </w:rPr>
        <w:t>imported</w:t>
      </w:r>
      <w:r w:rsidR="00BD68A9">
        <w:rPr>
          <w:sz w:val="24"/>
          <w:szCs w:val="24"/>
        </w:rPr>
        <w:t xml:space="preserve"> equipment,</w:t>
      </w:r>
      <w:r w:rsidRPr="00F06EC5">
        <w:rPr>
          <w:sz w:val="24"/>
          <w:szCs w:val="24"/>
        </w:rPr>
        <w:t xml:space="preserve"> further broken down into 10 categories of </w:t>
      </w:r>
      <w:r w:rsidR="00BD68A9">
        <w:rPr>
          <w:rFonts w:cs="Calibri"/>
          <w:lang w:eastAsia="en-US"/>
        </w:rPr>
        <w:t>capital</w:t>
      </w:r>
      <w:r w:rsidR="00BD68A9" w:rsidRPr="00995A6C">
        <w:rPr>
          <w:rFonts w:cs="Calibri"/>
          <w:lang w:eastAsia="en-US"/>
        </w:rPr>
        <w:t xml:space="preserve"> goods</w:t>
      </w:r>
      <w:r w:rsidRPr="00F06EC5">
        <w:rPr>
          <w:sz w:val="24"/>
          <w:szCs w:val="24"/>
        </w:rPr>
        <w:t>.</w:t>
      </w:r>
      <w:r w:rsidR="00BD68A9">
        <w:rPr>
          <w:sz w:val="24"/>
          <w:szCs w:val="24"/>
        </w:rPr>
        <w:t xml:space="preserve"> For each of these categories</w:t>
      </w:r>
      <w:r w:rsidR="00230C3E" w:rsidRPr="00F06EC5">
        <w:rPr>
          <w:sz w:val="24"/>
          <w:szCs w:val="24"/>
        </w:rPr>
        <w:t xml:space="preserve">, the values at current prices are deflated with the </w:t>
      </w:r>
      <w:r w:rsidR="00E9690A" w:rsidRPr="00F06EC5">
        <w:rPr>
          <w:sz w:val="24"/>
          <w:szCs w:val="24"/>
        </w:rPr>
        <w:t>weighted</w:t>
      </w:r>
      <w:r w:rsidR="00230C3E" w:rsidRPr="00F06EC5">
        <w:rPr>
          <w:sz w:val="24"/>
          <w:szCs w:val="24"/>
        </w:rPr>
        <w:t xml:space="preserve"> PPIs of industrial products</w:t>
      </w:r>
      <w:r w:rsidR="00E9690A" w:rsidRPr="00F06EC5">
        <w:rPr>
          <w:sz w:val="24"/>
          <w:szCs w:val="24"/>
        </w:rPr>
        <w:t xml:space="preserve"> for exports of 10 major partners where from each product group is imported, corrected by the rat</w:t>
      </w:r>
      <w:r w:rsidR="00F06EC5" w:rsidRPr="00F06EC5">
        <w:rPr>
          <w:sz w:val="24"/>
          <w:szCs w:val="24"/>
        </w:rPr>
        <w:t>i</w:t>
      </w:r>
      <w:r w:rsidR="00E9690A" w:rsidRPr="00F06EC5">
        <w:rPr>
          <w:sz w:val="24"/>
          <w:szCs w:val="24"/>
        </w:rPr>
        <w:t>o</w:t>
      </w:r>
      <w:r w:rsidR="00F06EC5" w:rsidRPr="00F06EC5">
        <w:rPr>
          <w:sz w:val="24"/>
          <w:szCs w:val="24"/>
        </w:rPr>
        <w:t xml:space="preserve"> of the average annual exchange rate of the respective currencies to RSD. Each category of fixed assets is taken into account proportionally to its share in the total investments in </w:t>
      </w:r>
      <w:r w:rsidR="00BD68A9">
        <w:rPr>
          <w:sz w:val="24"/>
          <w:szCs w:val="24"/>
        </w:rPr>
        <w:t xml:space="preserve">imported </w:t>
      </w:r>
      <w:r w:rsidR="00F06EC5" w:rsidRPr="00F06EC5">
        <w:rPr>
          <w:sz w:val="24"/>
          <w:szCs w:val="24"/>
        </w:rPr>
        <w:t>equipment on the</w:t>
      </w:r>
      <w:r w:rsidR="00BD68A9">
        <w:rPr>
          <w:sz w:val="24"/>
          <w:szCs w:val="24"/>
        </w:rPr>
        <w:t xml:space="preserve"> </w:t>
      </w:r>
      <w:r w:rsidR="00BD68A9" w:rsidRPr="00F06EC5">
        <w:rPr>
          <w:sz w:val="24"/>
          <w:szCs w:val="24"/>
        </w:rPr>
        <w:t>section</w:t>
      </w:r>
      <w:r w:rsidR="00F06EC5" w:rsidRPr="00F06EC5">
        <w:rPr>
          <w:sz w:val="24"/>
          <w:szCs w:val="24"/>
        </w:rPr>
        <w:t xml:space="preserve"> level of the </w:t>
      </w:r>
      <w:r w:rsidR="00BD68A9" w:rsidRPr="001A603A">
        <w:rPr>
          <w:rFonts w:eastAsia="SimSun" w:cs="MyriadPro-LightSemiCn"/>
          <w:bCs/>
          <w:sz w:val="24"/>
          <w:szCs w:val="24"/>
          <w:lang w:val="en-GB" w:eastAsia="zh-CN"/>
        </w:rPr>
        <w:t>Classification of Activities</w:t>
      </w:r>
      <w:r w:rsidR="00F06EC5" w:rsidRPr="00F06EC5">
        <w:rPr>
          <w:sz w:val="24"/>
          <w:szCs w:val="24"/>
        </w:rPr>
        <w:t xml:space="preserve">. </w:t>
      </w:r>
    </w:p>
    <w:p w:rsidR="00B97376" w:rsidRDefault="00F06EC5" w:rsidP="007B277A">
      <w:pPr>
        <w:pStyle w:val="BodyText"/>
        <w:spacing w:after="240" w:line="264" w:lineRule="auto"/>
        <w:jc w:val="both"/>
        <w:rPr>
          <w:sz w:val="24"/>
          <w:szCs w:val="24"/>
        </w:rPr>
      </w:pPr>
      <w:r>
        <w:rPr>
          <w:sz w:val="24"/>
          <w:szCs w:val="24"/>
        </w:rPr>
        <w:t xml:space="preserve">Real growth of </w:t>
      </w:r>
      <w:r w:rsidRPr="00B97376">
        <w:rPr>
          <w:i/>
          <w:sz w:val="24"/>
          <w:szCs w:val="24"/>
        </w:rPr>
        <w:t>investments in cultivated biological resources</w:t>
      </w:r>
      <w:r>
        <w:rPr>
          <w:sz w:val="24"/>
          <w:szCs w:val="24"/>
        </w:rPr>
        <w:t xml:space="preserve"> is estimated by deflating investments at current prices</w:t>
      </w:r>
      <w:r w:rsidR="00B97376">
        <w:rPr>
          <w:sz w:val="24"/>
          <w:szCs w:val="24"/>
        </w:rPr>
        <w:t>. Producer</w:t>
      </w:r>
      <w:r w:rsidR="007E70CA">
        <w:rPr>
          <w:sz w:val="24"/>
          <w:szCs w:val="24"/>
        </w:rPr>
        <w:t xml:space="preserve"> price index</w:t>
      </w:r>
      <w:r w:rsidR="00B97376">
        <w:rPr>
          <w:sz w:val="24"/>
          <w:szCs w:val="24"/>
        </w:rPr>
        <w:t xml:space="preserve"> of agricultural and fishing products is used as deflator.</w:t>
      </w:r>
      <w:r w:rsidR="00287086">
        <w:rPr>
          <w:sz w:val="24"/>
          <w:szCs w:val="24"/>
        </w:rPr>
        <w:t xml:space="preserve"> </w:t>
      </w:r>
    </w:p>
    <w:p w:rsidR="00B97376" w:rsidRDefault="00B97376" w:rsidP="007B277A">
      <w:pPr>
        <w:pStyle w:val="BodyText"/>
        <w:spacing w:line="264" w:lineRule="auto"/>
        <w:jc w:val="both"/>
        <w:rPr>
          <w:sz w:val="24"/>
          <w:szCs w:val="24"/>
        </w:rPr>
      </w:pPr>
      <w:r w:rsidRPr="00B97376">
        <w:rPr>
          <w:i/>
          <w:sz w:val="24"/>
          <w:szCs w:val="24"/>
        </w:rPr>
        <w:t>Investments in intellectual property</w:t>
      </w:r>
      <w:r w:rsidR="007E70CA">
        <w:rPr>
          <w:i/>
          <w:sz w:val="24"/>
          <w:szCs w:val="24"/>
        </w:rPr>
        <w:t xml:space="preserve"> products</w:t>
      </w:r>
      <w:r>
        <w:rPr>
          <w:sz w:val="24"/>
          <w:szCs w:val="24"/>
        </w:rPr>
        <w:t xml:space="preserve"> at constant prices are estimated by deflating investments at current prices with the respective composite price index:</w:t>
      </w:r>
    </w:p>
    <w:p w:rsidR="00B97376" w:rsidRPr="00B97376" w:rsidRDefault="007E70CA" w:rsidP="007B277A">
      <w:pPr>
        <w:numPr>
          <w:ilvl w:val="0"/>
          <w:numId w:val="3"/>
        </w:numPr>
        <w:spacing w:line="264" w:lineRule="auto"/>
        <w:ind w:left="714" w:hanging="357"/>
        <w:jc w:val="both"/>
        <w:rPr>
          <w:rFonts w:ascii="Calibri" w:hAnsi="Calibri" w:cs="Arial"/>
          <w:i/>
          <w:lang w:val="en-GB"/>
        </w:rPr>
      </w:pPr>
      <w:r>
        <w:rPr>
          <w:rFonts w:ascii="Calibri" w:hAnsi="Calibri"/>
          <w:lang w:val="en-GB"/>
        </w:rPr>
        <w:t>c</w:t>
      </w:r>
      <w:r w:rsidR="00B97376" w:rsidRPr="00B97376">
        <w:rPr>
          <w:rFonts w:ascii="Calibri" w:hAnsi="Calibri"/>
          <w:lang w:val="en-GB"/>
        </w:rPr>
        <w:t xml:space="preserve">omposite price index for </w:t>
      </w:r>
      <w:r w:rsidR="00B97376">
        <w:rPr>
          <w:rFonts w:ascii="Calibri" w:hAnsi="Calibri"/>
          <w:lang w:val="en-GB"/>
        </w:rPr>
        <w:t>research and development,</w:t>
      </w:r>
    </w:p>
    <w:p w:rsidR="00B97376" w:rsidRPr="00B97376" w:rsidRDefault="007E70CA" w:rsidP="007B277A">
      <w:pPr>
        <w:numPr>
          <w:ilvl w:val="0"/>
          <w:numId w:val="3"/>
        </w:numPr>
        <w:spacing w:line="264" w:lineRule="auto"/>
        <w:ind w:left="714" w:hanging="357"/>
        <w:jc w:val="both"/>
        <w:rPr>
          <w:rFonts w:ascii="Calibri" w:hAnsi="Calibri" w:cs="Arial"/>
          <w:i/>
          <w:lang w:val="en-GB"/>
        </w:rPr>
      </w:pPr>
      <w:r>
        <w:rPr>
          <w:rFonts w:ascii="Calibri" w:hAnsi="Calibri"/>
          <w:lang w:val="en-GB"/>
        </w:rPr>
        <w:t>c</w:t>
      </w:r>
      <w:r w:rsidR="00B97376" w:rsidRPr="00B97376">
        <w:rPr>
          <w:rFonts w:ascii="Calibri" w:hAnsi="Calibri"/>
          <w:lang w:val="en-GB"/>
        </w:rPr>
        <w:t xml:space="preserve">omposite price index for </w:t>
      </w:r>
      <w:r w:rsidR="00B97376">
        <w:rPr>
          <w:rFonts w:ascii="Calibri" w:hAnsi="Calibri"/>
          <w:lang w:val="en-GB"/>
        </w:rPr>
        <w:t>software, and</w:t>
      </w:r>
    </w:p>
    <w:p w:rsidR="00B97376" w:rsidRPr="00BC4008" w:rsidRDefault="007E70CA" w:rsidP="007B277A">
      <w:pPr>
        <w:numPr>
          <w:ilvl w:val="0"/>
          <w:numId w:val="3"/>
        </w:numPr>
        <w:spacing w:after="240" w:line="264" w:lineRule="auto"/>
        <w:jc w:val="both"/>
        <w:rPr>
          <w:rFonts w:ascii="Calibri" w:hAnsi="Calibri" w:cs="Arial"/>
          <w:i/>
          <w:lang w:val="en-GB"/>
        </w:rPr>
      </w:pPr>
      <w:r>
        <w:rPr>
          <w:rFonts w:ascii="Calibri" w:hAnsi="Calibri"/>
          <w:lang w:val="en-GB"/>
        </w:rPr>
        <w:t>c</w:t>
      </w:r>
      <w:r w:rsidR="00B97376" w:rsidRPr="00B97376">
        <w:rPr>
          <w:rFonts w:ascii="Calibri" w:hAnsi="Calibri"/>
          <w:lang w:val="en-GB"/>
        </w:rPr>
        <w:t>omposite price index for</w:t>
      </w:r>
      <w:r w:rsidR="00B97376">
        <w:rPr>
          <w:rFonts w:ascii="Calibri" w:hAnsi="Calibri"/>
          <w:lang w:val="en-GB"/>
        </w:rPr>
        <w:t xml:space="preserve"> intellectual property</w:t>
      </w:r>
      <w:r>
        <w:rPr>
          <w:rFonts w:ascii="Calibri" w:hAnsi="Calibri"/>
          <w:lang w:val="en-GB"/>
        </w:rPr>
        <w:t xml:space="preserve"> products</w:t>
      </w:r>
      <w:r w:rsidR="00B97376">
        <w:rPr>
          <w:rFonts w:ascii="Calibri" w:hAnsi="Calibri"/>
          <w:lang w:val="en-GB"/>
        </w:rPr>
        <w:t xml:space="preserve">, excluding </w:t>
      </w:r>
      <w:r w:rsidR="00BC4008">
        <w:rPr>
          <w:rFonts w:ascii="Calibri" w:hAnsi="Calibri"/>
          <w:lang w:val="en-GB"/>
        </w:rPr>
        <w:t>software and research and development.</w:t>
      </w:r>
    </w:p>
    <w:p w:rsidR="00BC4008" w:rsidRPr="00BC4008" w:rsidRDefault="00B85E4B" w:rsidP="007B277A">
      <w:pPr>
        <w:pStyle w:val="BodyText"/>
        <w:spacing w:after="240" w:line="264" w:lineRule="auto"/>
        <w:jc w:val="both"/>
        <w:rPr>
          <w:sz w:val="24"/>
          <w:szCs w:val="24"/>
        </w:rPr>
      </w:pPr>
      <w:r>
        <w:rPr>
          <w:sz w:val="24"/>
          <w:szCs w:val="24"/>
        </w:rPr>
        <w:lastRenderedPageBreak/>
        <w:t xml:space="preserve">Real growth of </w:t>
      </w:r>
      <w:r>
        <w:rPr>
          <w:i/>
          <w:sz w:val="24"/>
          <w:szCs w:val="24"/>
        </w:rPr>
        <w:t>i</w:t>
      </w:r>
      <w:r w:rsidR="00BC4008" w:rsidRPr="00BC4008">
        <w:rPr>
          <w:rFonts w:cs="Arial"/>
          <w:i/>
          <w:sz w:val="24"/>
          <w:szCs w:val="24"/>
          <w:lang w:eastAsia="en-US"/>
        </w:rPr>
        <w:t>nvestments in</w:t>
      </w:r>
      <w:r w:rsidR="00BC4008" w:rsidRPr="00BC4008">
        <w:rPr>
          <w:i/>
          <w:sz w:val="24"/>
          <w:szCs w:val="24"/>
        </w:rPr>
        <w:t xml:space="preserve"> research and development</w:t>
      </w:r>
      <w:r w:rsidR="00BC4008">
        <w:rPr>
          <w:sz w:val="24"/>
          <w:szCs w:val="24"/>
        </w:rPr>
        <w:t xml:space="preserve"> </w:t>
      </w:r>
      <w:r>
        <w:rPr>
          <w:sz w:val="24"/>
          <w:szCs w:val="24"/>
        </w:rPr>
        <w:t>is</w:t>
      </w:r>
      <w:r w:rsidR="00BC4008" w:rsidRPr="00BC4008">
        <w:rPr>
          <w:sz w:val="24"/>
          <w:szCs w:val="24"/>
        </w:rPr>
        <w:t xml:space="preserve"> calculated by deflating investments at current prices. Since the total input structure for </w:t>
      </w:r>
      <w:r w:rsidR="00B5148F">
        <w:rPr>
          <w:sz w:val="24"/>
          <w:szCs w:val="24"/>
        </w:rPr>
        <w:t>research and development</w:t>
      </w:r>
      <w:r w:rsidR="00BC4008" w:rsidRPr="00BC4008">
        <w:rPr>
          <w:sz w:val="24"/>
          <w:szCs w:val="24"/>
        </w:rPr>
        <w:t xml:space="preserve"> includes costs of </w:t>
      </w:r>
      <w:r w:rsidR="00B5148F">
        <w:rPr>
          <w:sz w:val="24"/>
          <w:szCs w:val="24"/>
        </w:rPr>
        <w:t>raw</w:t>
      </w:r>
      <w:r w:rsidR="00BC4008" w:rsidRPr="00BC4008">
        <w:rPr>
          <w:sz w:val="24"/>
          <w:szCs w:val="24"/>
        </w:rPr>
        <w:t xml:space="preserve"> materials, energy, </w:t>
      </w:r>
      <w:r w:rsidR="00B5148F">
        <w:rPr>
          <w:sz w:val="24"/>
          <w:szCs w:val="24"/>
        </w:rPr>
        <w:t>costs of machinery and equipment and other fixed assets</w:t>
      </w:r>
      <w:r w:rsidR="00BC4008" w:rsidRPr="00BC4008">
        <w:rPr>
          <w:sz w:val="24"/>
          <w:szCs w:val="24"/>
        </w:rPr>
        <w:t xml:space="preserve">, </w:t>
      </w:r>
      <w:r w:rsidR="00B5148F">
        <w:rPr>
          <w:sz w:val="24"/>
          <w:szCs w:val="24"/>
        </w:rPr>
        <w:t xml:space="preserve">salaries and wages for employees, </w:t>
      </w:r>
      <w:r w:rsidR="00BC4008" w:rsidRPr="00BC4008">
        <w:rPr>
          <w:sz w:val="24"/>
          <w:szCs w:val="24"/>
        </w:rPr>
        <w:t xml:space="preserve">and a number of other elements, the deflator used for </w:t>
      </w:r>
      <w:r w:rsidR="00B5148F">
        <w:rPr>
          <w:sz w:val="24"/>
          <w:szCs w:val="24"/>
        </w:rPr>
        <w:t>research and development</w:t>
      </w:r>
      <w:r w:rsidR="00BC4008" w:rsidRPr="00BC4008">
        <w:rPr>
          <w:sz w:val="24"/>
          <w:szCs w:val="24"/>
        </w:rPr>
        <w:t xml:space="preserve"> (</w:t>
      </w:r>
      <w:r w:rsidR="001B74E6">
        <w:rPr>
          <w:sz w:val="24"/>
          <w:szCs w:val="24"/>
        </w:rPr>
        <w:t>c</w:t>
      </w:r>
      <w:r w:rsidR="00BC4008" w:rsidRPr="00BC4008">
        <w:rPr>
          <w:sz w:val="24"/>
          <w:szCs w:val="24"/>
        </w:rPr>
        <w:t xml:space="preserve">omposite price index for </w:t>
      </w:r>
      <w:r w:rsidR="00B5148F">
        <w:rPr>
          <w:lang w:val="en-GB"/>
        </w:rPr>
        <w:t>research and development</w:t>
      </w:r>
      <w:r w:rsidR="00BC4008" w:rsidRPr="00BC4008">
        <w:rPr>
          <w:sz w:val="24"/>
          <w:szCs w:val="24"/>
        </w:rPr>
        <w:t xml:space="preserve">) is estimated </w:t>
      </w:r>
      <w:r w:rsidR="00B5148F">
        <w:rPr>
          <w:sz w:val="24"/>
          <w:szCs w:val="24"/>
        </w:rPr>
        <w:t>as the weighted average of</w:t>
      </w:r>
      <w:r w:rsidR="00B5148F" w:rsidRPr="00BC4008">
        <w:rPr>
          <w:sz w:val="24"/>
          <w:szCs w:val="24"/>
        </w:rPr>
        <w:t xml:space="preserve"> the </w:t>
      </w:r>
      <w:r w:rsidR="00BC4008" w:rsidRPr="00BC4008">
        <w:rPr>
          <w:sz w:val="24"/>
          <w:szCs w:val="24"/>
        </w:rPr>
        <w:t xml:space="preserve">respective producer price </w:t>
      </w:r>
      <w:r w:rsidR="00883F2A">
        <w:rPr>
          <w:sz w:val="24"/>
          <w:szCs w:val="24"/>
        </w:rPr>
        <w:t>ind</w:t>
      </w:r>
      <w:r w:rsidR="001B74E6">
        <w:rPr>
          <w:sz w:val="24"/>
          <w:szCs w:val="24"/>
        </w:rPr>
        <w:t>ices</w:t>
      </w:r>
      <w:r w:rsidR="00BC4008" w:rsidRPr="00BC4008">
        <w:rPr>
          <w:sz w:val="24"/>
          <w:szCs w:val="24"/>
        </w:rPr>
        <w:t xml:space="preserve"> of industrial products for domestic market</w:t>
      </w:r>
      <w:r w:rsidR="00B5148F">
        <w:rPr>
          <w:sz w:val="24"/>
          <w:szCs w:val="24"/>
        </w:rPr>
        <w:t xml:space="preserve">, consumer price index (COICOP), </w:t>
      </w:r>
      <w:r w:rsidR="003A5CA0">
        <w:rPr>
          <w:sz w:val="24"/>
          <w:szCs w:val="24"/>
        </w:rPr>
        <w:t xml:space="preserve">implicit deflator of gross fixed capital formation and </w:t>
      </w:r>
      <w:r w:rsidR="00BC4008" w:rsidRPr="00BC4008">
        <w:rPr>
          <w:sz w:val="24"/>
          <w:szCs w:val="24"/>
        </w:rPr>
        <w:t xml:space="preserve">index of average gross salaries and wages in </w:t>
      </w:r>
      <w:r w:rsidR="003A5CA0">
        <w:rPr>
          <w:sz w:val="24"/>
          <w:szCs w:val="24"/>
        </w:rPr>
        <w:t>research and development</w:t>
      </w:r>
      <w:r w:rsidR="001B74E6">
        <w:rPr>
          <w:sz w:val="24"/>
          <w:szCs w:val="24"/>
        </w:rPr>
        <w:t xml:space="preserve"> </w:t>
      </w:r>
      <w:r w:rsidR="009415F7">
        <w:rPr>
          <w:rFonts w:eastAsia="SimSun" w:cs="MyriadPro-LightSemiCn"/>
          <w:bCs/>
          <w:sz w:val="24"/>
          <w:szCs w:val="24"/>
          <w:lang w:val="en-GB" w:eastAsia="zh-CN"/>
        </w:rPr>
        <w:t>division</w:t>
      </w:r>
      <w:r w:rsidR="009415F7" w:rsidRPr="001A603A">
        <w:rPr>
          <w:rFonts w:eastAsia="SimSun" w:cs="MyriadPro-LightSemiCn"/>
          <w:bCs/>
          <w:sz w:val="24"/>
          <w:szCs w:val="24"/>
          <w:lang w:val="en-GB" w:eastAsia="zh-CN"/>
        </w:rPr>
        <w:t xml:space="preserve"> of the Classification of Activities</w:t>
      </w:r>
      <w:r w:rsidR="009415F7">
        <w:rPr>
          <w:rFonts w:eastAsia="SimSun" w:cs="MyriadPro-LightSemiCn"/>
          <w:bCs/>
          <w:sz w:val="24"/>
          <w:szCs w:val="24"/>
          <w:lang w:val="en-GB" w:eastAsia="zh-CN"/>
        </w:rPr>
        <w:t>.</w:t>
      </w:r>
    </w:p>
    <w:p w:rsidR="00BC4008" w:rsidRDefault="00F71629" w:rsidP="007B277A">
      <w:pPr>
        <w:spacing w:after="240" w:line="264" w:lineRule="auto"/>
        <w:jc w:val="both"/>
        <w:rPr>
          <w:rFonts w:ascii="Calibri" w:hAnsi="Calibri" w:cs="Arial"/>
        </w:rPr>
      </w:pPr>
      <w:r>
        <w:rPr>
          <w:rFonts w:ascii="Calibri" w:hAnsi="Calibri" w:cs="Arial"/>
        </w:rPr>
        <w:t xml:space="preserve">Applying </w:t>
      </w:r>
      <w:r w:rsidR="00BC4008" w:rsidRPr="00BC4008">
        <w:rPr>
          <w:rFonts w:ascii="Calibri" w:hAnsi="Calibri" w:cs="Arial"/>
        </w:rPr>
        <w:t xml:space="preserve">this approach, all cost components (material costs, </w:t>
      </w:r>
      <w:r w:rsidR="003A5CA0">
        <w:rPr>
          <w:rFonts w:ascii="Calibri" w:hAnsi="Calibri" w:cs="Arial"/>
        </w:rPr>
        <w:t>investment costs</w:t>
      </w:r>
      <w:r w:rsidR="00BC4008" w:rsidRPr="00BC4008">
        <w:rPr>
          <w:rFonts w:ascii="Calibri" w:hAnsi="Calibri" w:cs="Arial"/>
        </w:rPr>
        <w:t xml:space="preserve"> and remuneration for employees) are taken into account </w:t>
      </w:r>
      <w:r w:rsidR="003A5CA0">
        <w:rPr>
          <w:rFonts w:ascii="Calibri" w:hAnsi="Calibri" w:cs="Arial"/>
        </w:rPr>
        <w:t>in proportion with</w:t>
      </w:r>
      <w:r w:rsidR="00BC4008" w:rsidRPr="00BC4008">
        <w:rPr>
          <w:rFonts w:ascii="Calibri" w:hAnsi="Calibri" w:cs="Arial"/>
        </w:rPr>
        <w:t xml:space="preserve"> </w:t>
      </w:r>
      <w:r w:rsidR="003A5CA0">
        <w:rPr>
          <w:rFonts w:ascii="Calibri" w:hAnsi="Calibri" w:cs="Arial"/>
        </w:rPr>
        <w:t>their</w:t>
      </w:r>
      <w:r w:rsidR="00BC4008" w:rsidRPr="00BC4008">
        <w:rPr>
          <w:rFonts w:ascii="Calibri" w:hAnsi="Calibri" w:cs="Arial"/>
        </w:rPr>
        <w:t xml:space="preserve"> share in the </w:t>
      </w:r>
      <w:r w:rsidR="00CC6CE9">
        <w:rPr>
          <w:rFonts w:ascii="Calibri" w:hAnsi="Calibri" w:cs="Arial"/>
        </w:rPr>
        <w:t>gross domestic expenditures for research and development</w:t>
      </w:r>
      <w:r w:rsidR="009415F7">
        <w:rPr>
          <w:rFonts w:ascii="Calibri" w:hAnsi="Calibri" w:cs="Arial"/>
        </w:rPr>
        <w:t xml:space="preserve"> activity</w:t>
      </w:r>
      <w:r w:rsidR="00BC4008" w:rsidRPr="00BC4008">
        <w:rPr>
          <w:rFonts w:ascii="Calibri" w:hAnsi="Calibri" w:cs="Arial"/>
        </w:rPr>
        <w:t xml:space="preserve">. </w:t>
      </w:r>
      <w:r w:rsidR="00363374">
        <w:rPr>
          <w:rFonts w:ascii="Calibri" w:hAnsi="Calibri" w:cs="Arial"/>
        </w:rPr>
        <w:t>The w</w:t>
      </w:r>
      <w:r w:rsidR="00BC4008" w:rsidRPr="00BC4008">
        <w:rPr>
          <w:rFonts w:ascii="Calibri" w:hAnsi="Calibri" w:cs="Arial"/>
        </w:rPr>
        <w:t xml:space="preserve">eights are </w:t>
      </w:r>
      <w:r w:rsidR="00DD40A0">
        <w:rPr>
          <w:rFonts w:ascii="Calibri" w:hAnsi="Calibri" w:cs="Arial"/>
        </w:rPr>
        <w:t>obtained</w:t>
      </w:r>
      <w:r w:rsidR="00BC4008" w:rsidRPr="00BC4008">
        <w:rPr>
          <w:rFonts w:ascii="Calibri" w:hAnsi="Calibri" w:cs="Arial"/>
        </w:rPr>
        <w:t xml:space="preserve"> on the basis of data </w:t>
      </w:r>
      <w:r w:rsidR="00363374">
        <w:rPr>
          <w:rFonts w:ascii="Calibri" w:hAnsi="Calibri" w:cs="Arial"/>
        </w:rPr>
        <w:t>from</w:t>
      </w:r>
      <w:r w:rsidR="00CC6CE9">
        <w:rPr>
          <w:rFonts w:ascii="Calibri" w:hAnsi="Calibri" w:cs="Arial"/>
        </w:rPr>
        <w:t xml:space="preserve"> the</w:t>
      </w:r>
      <w:r w:rsidR="00BC4008" w:rsidRPr="00BC4008">
        <w:rPr>
          <w:rFonts w:ascii="Calibri" w:hAnsi="Calibri" w:cs="Arial"/>
        </w:rPr>
        <w:t xml:space="preserve"> </w:t>
      </w:r>
      <w:r w:rsidR="009A4CF9">
        <w:rPr>
          <w:rFonts w:ascii="Calibri" w:hAnsi="Calibri" w:cs="Arial"/>
        </w:rPr>
        <w:t xml:space="preserve">surveys </w:t>
      </w:r>
      <w:r w:rsidR="00CC6CE9">
        <w:rPr>
          <w:rFonts w:ascii="Calibri" w:hAnsi="Calibri" w:cs="Arial"/>
        </w:rPr>
        <w:t>A</w:t>
      </w:r>
      <w:r w:rsidR="00BC4008" w:rsidRPr="00BC4008">
        <w:rPr>
          <w:rFonts w:ascii="Calibri" w:hAnsi="Calibri" w:cs="Arial"/>
        </w:rPr>
        <w:t xml:space="preserve">nnual </w:t>
      </w:r>
      <w:r w:rsidR="00CC6CE9">
        <w:rPr>
          <w:rFonts w:ascii="Calibri" w:hAnsi="Calibri" w:cs="Arial"/>
        </w:rPr>
        <w:t>report on research and development</w:t>
      </w:r>
      <w:r w:rsidR="00BC4008" w:rsidRPr="00BC4008">
        <w:rPr>
          <w:rFonts w:ascii="Calibri" w:hAnsi="Calibri" w:cs="Arial"/>
        </w:rPr>
        <w:t xml:space="preserve"> </w:t>
      </w:r>
      <w:r w:rsidR="009A4CF9">
        <w:rPr>
          <w:rFonts w:ascii="Calibri" w:hAnsi="Calibri" w:cs="Arial"/>
        </w:rPr>
        <w:t xml:space="preserve">and </w:t>
      </w:r>
      <w:r w:rsidR="009A4CF9" w:rsidRPr="00363374">
        <w:rPr>
          <w:rFonts w:ascii="Calibri" w:hAnsi="Calibri"/>
        </w:rPr>
        <w:t>Structure of income and expenditure of economic subjects</w:t>
      </w:r>
      <w:r w:rsidR="00BC4008" w:rsidRPr="00363374">
        <w:rPr>
          <w:rFonts w:ascii="Calibri" w:hAnsi="Calibri" w:cs="Arial"/>
        </w:rPr>
        <w:t>.</w:t>
      </w:r>
    </w:p>
    <w:p w:rsidR="00ED7104" w:rsidRDefault="00ED7104" w:rsidP="007B277A">
      <w:pPr>
        <w:spacing w:after="240" w:line="264" w:lineRule="auto"/>
        <w:jc w:val="both"/>
        <w:rPr>
          <w:rFonts w:ascii="Calibri" w:hAnsi="Calibri"/>
        </w:rPr>
      </w:pPr>
      <w:r w:rsidRPr="00ED7104">
        <w:rPr>
          <w:rFonts w:ascii="Calibri" w:hAnsi="Calibri" w:cs="Arial"/>
          <w:i/>
        </w:rPr>
        <w:t xml:space="preserve">Investments in </w:t>
      </w:r>
      <w:r w:rsidR="002145E4" w:rsidRPr="00ED7104">
        <w:rPr>
          <w:rFonts w:ascii="Calibri" w:hAnsi="Calibri" w:cs="Arial"/>
          <w:i/>
        </w:rPr>
        <w:t>softw</w:t>
      </w:r>
      <w:r w:rsidR="002145E4">
        <w:rPr>
          <w:rFonts w:ascii="Calibri" w:hAnsi="Calibri" w:cs="Arial"/>
          <w:i/>
        </w:rPr>
        <w:t xml:space="preserve">are </w:t>
      </w:r>
      <w:r>
        <w:rPr>
          <w:rFonts w:ascii="Calibri" w:hAnsi="Calibri" w:cs="Arial"/>
        </w:rPr>
        <w:t xml:space="preserve">at constant prices </w:t>
      </w:r>
      <w:r w:rsidRPr="00ED7104">
        <w:rPr>
          <w:rFonts w:ascii="Calibri" w:hAnsi="Calibri"/>
        </w:rPr>
        <w:t xml:space="preserve">are </w:t>
      </w:r>
      <w:r w:rsidR="002145E4">
        <w:rPr>
          <w:rFonts w:ascii="Calibri" w:hAnsi="Calibri"/>
        </w:rPr>
        <w:t>estimated</w:t>
      </w:r>
      <w:r w:rsidRPr="00ED7104">
        <w:rPr>
          <w:rFonts w:ascii="Calibri" w:hAnsi="Calibri"/>
        </w:rPr>
        <w:t xml:space="preserve"> by deflating investments at current prices.</w:t>
      </w:r>
      <w:r>
        <w:rPr>
          <w:rFonts w:ascii="Calibri" w:hAnsi="Calibri"/>
        </w:rPr>
        <w:t xml:space="preserve"> Total investments in software include investments for the purchase</w:t>
      </w:r>
      <w:r w:rsidR="003F1972">
        <w:rPr>
          <w:rFonts w:ascii="Calibri" w:hAnsi="Calibri"/>
        </w:rPr>
        <w:t xml:space="preserve">d </w:t>
      </w:r>
      <w:r>
        <w:rPr>
          <w:rFonts w:ascii="Calibri" w:hAnsi="Calibri"/>
        </w:rPr>
        <w:t>software and software development for own needs.</w:t>
      </w:r>
    </w:p>
    <w:p w:rsidR="00ED7104" w:rsidRDefault="00ED7104" w:rsidP="007B277A">
      <w:pPr>
        <w:spacing w:after="240" w:line="264" w:lineRule="auto"/>
        <w:jc w:val="both"/>
        <w:rPr>
          <w:rFonts w:ascii="Calibri" w:hAnsi="Calibri" w:cs="Arial"/>
        </w:rPr>
      </w:pPr>
      <w:r>
        <w:rPr>
          <w:rFonts w:ascii="Calibri" w:hAnsi="Calibri" w:cs="Arial"/>
        </w:rPr>
        <w:t xml:space="preserve">As </w:t>
      </w:r>
      <w:r w:rsidRPr="00ED7104">
        <w:rPr>
          <w:rFonts w:ascii="Calibri" w:hAnsi="Calibri" w:cs="Arial"/>
        </w:rPr>
        <w:t>deflator for</w:t>
      </w:r>
      <w:r>
        <w:rPr>
          <w:rFonts w:ascii="Calibri" w:hAnsi="Calibri" w:cs="Arial"/>
        </w:rPr>
        <w:t xml:space="preserve"> purchased software applied is PPI for software</w:t>
      </w:r>
      <w:r w:rsidR="00873517">
        <w:rPr>
          <w:rFonts w:ascii="Calibri" w:hAnsi="Calibri" w:cs="Arial"/>
        </w:rPr>
        <w:t xml:space="preserve"> </w:t>
      </w:r>
      <w:r w:rsidR="000E08D1">
        <w:rPr>
          <w:rFonts w:ascii="Calibri" w:hAnsi="Calibri" w:cs="Arial"/>
        </w:rPr>
        <w:t xml:space="preserve">applicable </w:t>
      </w:r>
      <w:r w:rsidR="00873517">
        <w:rPr>
          <w:rFonts w:ascii="Calibri" w:hAnsi="Calibri" w:cs="Arial"/>
        </w:rPr>
        <w:t xml:space="preserve">in the </w:t>
      </w:r>
      <w:smartTag w:uri="urn:schemas-microsoft-com:office:smarttags" w:element="place">
        <w:smartTag w:uri="urn:schemas-microsoft-com:office:smarttags" w:element="country-region">
          <w:r w:rsidR="00873517">
            <w:rPr>
              <w:rFonts w:ascii="Calibri" w:hAnsi="Calibri" w:cs="Arial"/>
            </w:rPr>
            <w:t>USA</w:t>
          </w:r>
        </w:smartTag>
      </w:smartTag>
      <w:r w:rsidR="00873517">
        <w:rPr>
          <w:rFonts w:ascii="Calibri" w:hAnsi="Calibri" w:cs="Arial"/>
        </w:rPr>
        <w:t xml:space="preserve">, corrected for </w:t>
      </w:r>
      <w:r w:rsidR="00E52A0D">
        <w:rPr>
          <w:rFonts w:ascii="Calibri" w:hAnsi="Calibri" w:cs="Arial"/>
        </w:rPr>
        <w:t>USD exchange</w:t>
      </w:r>
      <w:r w:rsidR="00873517">
        <w:rPr>
          <w:rFonts w:ascii="Calibri" w:hAnsi="Calibri" w:cs="Arial"/>
        </w:rPr>
        <w:t xml:space="preserve"> rate fluctuations. </w:t>
      </w:r>
      <w:r w:rsidR="002145E4">
        <w:rPr>
          <w:rFonts w:ascii="Calibri" w:hAnsi="Calibri" w:cs="Arial"/>
        </w:rPr>
        <w:t xml:space="preserve">In accordance with the international recommendations, this deflator is applied because of the dominant position of software of the </w:t>
      </w:r>
      <w:smartTag w:uri="urn:schemas-microsoft-com:office:smarttags" w:element="country-region">
        <w:smartTag w:uri="urn:schemas-microsoft-com:office:smarttags" w:element="place">
          <w:r w:rsidR="002145E4">
            <w:rPr>
              <w:rFonts w:ascii="Calibri" w:hAnsi="Calibri" w:cs="Arial"/>
            </w:rPr>
            <w:t>USA</w:t>
          </w:r>
        </w:smartTag>
      </w:smartTag>
      <w:r w:rsidR="002145E4">
        <w:rPr>
          <w:rFonts w:ascii="Calibri" w:hAnsi="Calibri" w:cs="Arial"/>
        </w:rPr>
        <w:t xml:space="preserve"> origin in the world marke</w:t>
      </w:r>
      <w:r w:rsidR="00E52A0D">
        <w:rPr>
          <w:rFonts w:ascii="Calibri" w:hAnsi="Calibri" w:cs="Arial"/>
        </w:rPr>
        <w:t>t</w:t>
      </w:r>
      <w:r w:rsidR="002145E4">
        <w:rPr>
          <w:rFonts w:ascii="Calibri" w:hAnsi="Calibri" w:cs="Arial"/>
        </w:rPr>
        <w:t xml:space="preserve"> and thereby comparability of data is ensured.</w:t>
      </w:r>
    </w:p>
    <w:p w:rsidR="000C2BCA" w:rsidRDefault="00883F2A" w:rsidP="007B277A">
      <w:pPr>
        <w:spacing w:after="240" w:line="264" w:lineRule="auto"/>
        <w:jc w:val="both"/>
        <w:rPr>
          <w:rFonts w:ascii="Calibri" w:hAnsi="Calibri" w:cs="Arial"/>
        </w:rPr>
      </w:pPr>
      <w:r>
        <w:rPr>
          <w:rFonts w:ascii="Calibri" w:hAnsi="Calibri" w:cs="Arial"/>
        </w:rPr>
        <w:t>Deflator for software produced for own needs (</w:t>
      </w:r>
      <w:r w:rsidR="00E52A0D">
        <w:rPr>
          <w:rFonts w:ascii="Calibri" w:hAnsi="Calibri" w:cs="Arial"/>
        </w:rPr>
        <w:t>c</w:t>
      </w:r>
      <w:r>
        <w:rPr>
          <w:rFonts w:ascii="Calibri" w:hAnsi="Calibri" w:cs="Arial"/>
        </w:rPr>
        <w:t>omposite price index for</w:t>
      </w:r>
      <w:r w:rsidR="00E52A0D">
        <w:rPr>
          <w:rFonts w:ascii="Calibri" w:hAnsi="Calibri" w:cs="Arial"/>
        </w:rPr>
        <w:t xml:space="preserve"> o</w:t>
      </w:r>
      <w:r w:rsidR="00E52A0D" w:rsidRPr="00E52A0D">
        <w:rPr>
          <w:rFonts w:ascii="Calibri" w:hAnsi="Calibri" w:cs="Arial"/>
        </w:rPr>
        <w:t>wn account software</w:t>
      </w:r>
      <w:r>
        <w:rPr>
          <w:rFonts w:ascii="Calibri" w:hAnsi="Calibri" w:cs="Arial"/>
        </w:rPr>
        <w:t xml:space="preserve">) is estimated </w:t>
      </w:r>
      <w:r w:rsidR="00364C5C">
        <w:rPr>
          <w:rFonts w:ascii="Calibri" w:hAnsi="Calibri" w:cs="Arial"/>
        </w:rPr>
        <w:t xml:space="preserve">by weighting </w:t>
      </w:r>
      <w:r>
        <w:rPr>
          <w:rFonts w:ascii="Calibri" w:hAnsi="Calibri" w:cs="Arial"/>
        </w:rPr>
        <w:t xml:space="preserve">the respective producer price indices and indices of average </w:t>
      </w:r>
      <w:r w:rsidRPr="00883F2A">
        <w:rPr>
          <w:rFonts w:ascii="Calibri" w:hAnsi="Calibri" w:cs="Arial"/>
        </w:rPr>
        <w:t xml:space="preserve">gross </w:t>
      </w:r>
      <w:r w:rsidRPr="00883F2A">
        <w:rPr>
          <w:rFonts w:ascii="Calibri" w:hAnsi="Calibri"/>
        </w:rPr>
        <w:t>salaries and wages in</w:t>
      </w:r>
      <w:r>
        <w:rPr>
          <w:rFonts w:ascii="Calibri" w:hAnsi="Calibri"/>
        </w:rPr>
        <w:t xml:space="preserve"> computer engineering. </w:t>
      </w:r>
      <w:r w:rsidR="00EE4FBA">
        <w:rPr>
          <w:rFonts w:ascii="Calibri" w:hAnsi="Calibri"/>
        </w:rPr>
        <w:t xml:space="preserve">Thereby </w:t>
      </w:r>
      <w:r w:rsidR="00EE4FBA" w:rsidRPr="00BC4008">
        <w:rPr>
          <w:rFonts w:ascii="Calibri" w:hAnsi="Calibri" w:cs="Arial"/>
        </w:rPr>
        <w:t>all cost components (</w:t>
      </w:r>
      <w:r w:rsidR="00EE4FBA">
        <w:rPr>
          <w:rFonts w:ascii="Calibri" w:hAnsi="Calibri" w:cs="Arial"/>
        </w:rPr>
        <w:t>transport</w:t>
      </w:r>
      <w:r w:rsidR="00EE4FBA" w:rsidRPr="00BC4008">
        <w:rPr>
          <w:rFonts w:ascii="Calibri" w:hAnsi="Calibri" w:cs="Arial"/>
        </w:rPr>
        <w:t xml:space="preserve"> costs, </w:t>
      </w:r>
      <w:r w:rsidR="00EE4FBA">
        <w:rPr>
          <w:rFonts w:ascii="Calibri" w:hAnsi="Calibri" w:cs="Arial"/>
        </w:rPr>
        <w:t xml:space="preserve">energy, food, </w:t>
      </w:r>
      <w:r w:rsidR="00364C5C">
        <w:rPr>
          <w:rFonts w:ascii="Calibri" w:hAnsi="Calibri" w:cs="Arial"/>
        </w:rPr>
        <w:t>communication</w:t>
      </w:r>
      <w:r w:rsidR="00EE4FBA">
        <w:rPr>
          <w:rFonts w:ascii="Calibri" w:hAnsi="Calibri" w:cs="Arial"/>
        </w:rPr>
        <w:t xml:space="preserve">, </w:t>
      </w:r>
      <w:r w:rsidR="00364C5C">
        <w:rPr>
          <w:rFonts w:ascii="Calibri" w:hAnsi="Calibri" w:cs="Arial"/>
        </w:rPr>
        <w:t>consumption of fixed assets</w:t>
      </w:r>
      <w:r w:rsidR="00EE4FBA">
        <w:rPr>
          <w:rFonts w:ascii="Calibri" w:hAnsi="Calibri" w:cs="Arial"/>
        </w:rPr>
        <w:t xml:space="preserve">, salaries and wages </w:t>
      </w:r>
      <w:r w:rsidR="00EE4FBA" w:rsidRPr="00BC4008">
        <w:rPr>
          <w:rFonts w:ascii="Calibri" w:hAnsi="Calibri" w:cs="Arial"/>
        </w:rPr>
        <w:t>for employees</w:t>
      </w:r>
      <w:r w:rsidR="00EE4FBA">
        <w:rPr>
          <w:rFonts w:ascii="Calibri" w:hAnsi="Calibri" w:cs="Arial"/>
        </w:rPr>
        <w:t>, etc.</w:t>
      </w:r>
      <w:r w:rsidR="00EE4FBA" w:rsidRPr="00BC4008">
        <w:rPr>
          <w:rFonts w:ascii="Calibri" w:hAnsi="Calibri" w:cs="Arial"/>
        </w:rPr>
        <w:t xml:space="preserve">) are taken into account </w:t>
      </w:r>
      <w:r w:rsidR="00EE4FBA">
        <w:rPr>
          <w:rFonts w:ascii="Calibri" w:hAnsi="Calibri" w:cs="Arial"/>
        </w:rPr>
        <w:t>in proportion with</w:t>
      </w:r>
      <w:r w:rsidR="00EE4FBA" w:rsidRPr="00BC4008">
        <w:rPr>
          <w:rFonts w:ascii="Calibri" w:hAnsi="Calibri" w:cs="Arial"/>
        </w:rPr>
        <w:t xml:space="preserve"> </w:t>
      </w:r>
      <w:r w:rsidR="00EE4FBA">
        <w:rPr>
          <w:rFonts w:ascii="Calibri" w:hAnsi="Calibri" w:cs="Arial"/>
        </w:rPr>
        <w:t>their</w:t>
      </w:r>
      <w:r w:rsidR="00EE4FBA" w:rsidRPr="00BC4008">
        <w:rPr>
          <w:rFonts w:ascii="Calibri" w:hAnsi="Calibri" w:cs="Arial"/>
        </w:rPr>
        <w:t xml:space="preserve"> share in </w:t>
      </w:r>
      <w:r w:rsidR="00364C5C">
        <w:rPr>
          <w:rFonts w:ascii="Calibri" w:hAnsi="Calibri" w:cs="Arial"/>
        </w:rPr>
        <w:t xml:space="preserve">total expenditures in development </w:t>
      </w:r>
      <w:r w:rsidR="00EE4FBA">
        <w:rPr>
          <w:rFonts w:ascii="Calibri" w:hAnsi="Calibri" w:cs="Arial"/>
        </w:rPr>
        <w:t xml:space="preserve">software for own needs. </w:t>
      </w:r>
    </w:p>
    <w:p w:rsidR="000E08D1" w:rsidRDefault="000E08D1" w:rsidP="007B277A">
      <w:pPr>
        <w:spacing w:after="240" w:line="264" w:lineRule="auto"/>
        <w:jc w:val="both"/>
        <w:rPr>
          <w:rFonts w:ascii="Calibri" w:hAnsi="Calibri"/>
          <w:lang w:val="en-GB"/>
        </w:rPr>
      </w:pPr>
      <w:r>
        <w:rPr>
          <w:rFonts w:ascii="Calibri" w:hAnsi="Calibri" w:cs="Arial"/>
        </w:rPr>
        <w:t>Deflator for software (</w:t>
      </w:r>
      <w:r w:rsidR="00364C5C">
        <w:rPr>
          <w:rFonts w:ascii="Calibri" w:hAnsi="Calibri"/>
          <w:lang w:val="en-GB"/>
        </w:rPr>
        <w:t>c</w:t>
      </w:r>
      <w:r w:rsidRPr="00B97376">
        <w:rPr>
          <w:rFonts w:ascii="Calibri" w:hAnsi="Calibri"/>
          <w:lang w:val="en-GB"/>
        </w:rPr>
        <w:t xml:space="preserve">omposite price index for </w:t>
      </w:r>
      <w:r>
        <w:rPr>
          <w:rFonts w:ascii="Calibri" w:hAnsi="Calibri"/>
          <w:lang w:val="en-GB"/>
        </w:rPr>
        <w:t xml:space="preserve">software) is </w:t>
      </w:r>
      <w:r w:rsidR="00364C5C">
        <w:rPr>
          <w:rFonts w:ascii="Calibri" w:hAnsi="Calibri"/>
          <w:lang w:val="en-GB"/>
        </w:rPr>
        <w:t>obtaine</w:t>
      </w:r>
      <w:r>
        <w:rPr>
          <w:rFonts w:ascii="Calibri" w:hAnsi="Calibri"/>
          <w:lang w:val="en-GB"/>
        </w:rPr>
        <w:t xml:space="preserve">d as the weighted average of the above described indices. </w:t>
      </w:r>
    </w:p>
    <w:p w:rsidR="000E08D1" w:rsidRPr="00932168" w:rsidRDefault="000E08D1" w:rsidP="007B277A">
      <w:pPr>
        <w:spacing w:after="240" w:line="264" w:lineRule="auto"/>
        <w:jc w:val="both"/>
        <w:rPr>
          <w:rFonts w:ascii="Calibri" w:eastAsia="SimSun" w:hAnsi="Calibri" w:cs="MyriadPro-LightSemiCn"/>
          <w:lang w:val="en-GB" w:eastAsia="zh-CN"/>
        </w:rPr>
      </w:pPr>
      <w:r>
        <w:rPr>
          <w:rFonts w:ascii="Calibri" w:hAnsi="Calibri"/>
          <w:lang w:val="en-GB"/>
        </w:rPr>
        <w:t xml:space="preserve">The starting point for estimating deflator needed for the calculations of real growth of </w:t>
      </w:r>
      <w:r w:rsidRPr="000E08D1">
        <w:rPr>
          <w:rFonts w:ascii="Calibri" w:hAnsi="Calibri"/>
          <w:i/>
          <w:lang w:val="en-GB"/>
        </w:rPr>
        <w:t>investments in intellectual property</w:t>
      </w:r>
      <w:r w:rsidR="00911815">
        <w:rPr>
          <w:rFonts w:ascii="Calibri" w:hAnsi="Calibri"/>
          <w:i/>
          <w:lang w:val="en-GB"/>
        </w:rPr>
        <w:t xml:space="preserve"> products</w:t>
      </w:r>
      <w:r w:rsidRPr="000E08D1">
        <w:rPr>
          <w:rFonts w:ascii="Calibri" w:hAnsi="Calibri"/>
          <w:i/>
          <w:lang w:val="en-GB"/>
        </w:rPr>
        <w:t>, excluding software and research and development</w:t>
      </w:r>
      <w:r>
        <w:rPr>
          <w:rFonts w:ascii="Calibri" w:hAnsi="Calibri"/>
          <w:lang w:val="en-GB"/>
        </w:rPr>
        <w:t xml:space="preserve"> are the data on </w:t>
      </w:r>
      <w:r w:rsidR="00ED3C72" w:rsidRPr="001A603A">
        <w:rPr>
          <w:rFonts w:ascii="Calibri" w:eastAsia="SimSun" w:hAnsi="Calibri" w:cs="MyriadPro-LightSemiCn"/>
          <w:lang w:val="en-GB" w:eastAsia="zh-CN"/>
        </w:rPr>
        <w:t xml:space="preserve">mining (mineral) </w:t>
      </w:r>
      <w:r w:rsidR="00ED3C72">
        <w:rPr>
          <w:rFonts w:ascii="Calibri" w:eastAsia="SimSun" w:hAnsi="Calibri" w:cs="MyriadPro-LightSemiCn"/>
          <w:lang w:val="en-GB" w:eastAsia="zh-CN"/>
        </w:rPr>
        <w:t>exploration</w:t>
      </w:r>
      <w:r w:rsidR="00ED3C72" w:rsidRPr="001A603A">
        <w:rPr>
          <w:rFonts w:ascii="Calibri" w:eastAsia="SimSun" w:hAnsi="Calibri" w:cs="MyriadPro-LightSemiCn"/>
          <w:lang w:val="en-GB" w:eastAsia="zh-CN"/>
        </w:rPr>
        <w:t xml:space="preserve">, </w:t>
      </w:r>
      <w:r w:rsidR="00ED3C72">
        <w:rPr>
          <w:rFonts w:ascii="Calibri" w:eastAsia="SimSun" w:hAnsi="Calibri" w:cs="MyriadPro-LightSemiCn"/>
          <w:lang w:val="en-GB" w:eastAsia="zh-CN"/>
        </w:rPr>
        <w:t xml:space="preserve">entertainment, </w:t>
      </w:r>
      <w:r w:rsidR="00ED3C72" w:rsidRPr="001A603A">
        <w:rPr>
          <w:rFonts w:ascii="Calibri" w:eastAsia="SimSun" w:hAnsi="Calibri" w:cs="MyriadPro-LightSemiCn"/>
          <w:lang w:val="en-GB" w:eastAsia="zh-CN"/>
        </w:rPr>
        <w:t>literary and artistic originals and other intellectual property</w:t>
      </w:r>
      <w:r w:rsidR="00911815">
        <w:rPr>
          <w:rFonts w:ascii="Calibri" w:eastAsia="SimSun" w:hAnsi="Calibri" w:cs="MyriadPro-LightSemiCn"/>
          <w:lang w:val="en-GB" w:eastAsia="zh-CN"/>
        </w:rPr>
        <w:t xml:space="preserve"> products</w:t>
      </w:r>
      <w:r w:rsidR="00ED3C72">
        <w:rPr>
          <w:rFonts w:ascii="Calibri" w:eastAsia="SimSun" w:hAnsi="Calibri" w:cs="MyriadPro-LightSemiCn"/>
          <w:lang w:val="en-GB" w:eastAsia="zh-CN"/>
        </w:rPr>
        <w:t xml:space="preserve"> respective f</w:t>
      </w:r>
      <w:r w:rsidR="00911815">
        <w:rPr>
          <w:rFonts w:ascii="Calibri" w:eastAsia="SimSun" w:hAnsi="Calibri" w:cs="MyriadPro-LightSemiCn"/>
          <w:lang w:val="en-GB" w:eastAsia="zh-CN"/>
        </w:rPr>
        <w:t>rom</w:t>
      </w:r>
      <w:r w:rsidR="00ED3C72">
        <w:rPr>
          <w:rFonts w:ascii="Calibri" w:eastAsia="SimSun" w:hAnsi="Calibri" w:cs="MyriadPro-LightSemiCn"/>
          <w:lang w:val="en-GB" w:eastAsia="zh-CN"/>
        </w:rPr>
        <w:t xml:space="preserve"> the survey on investments.</w:t>
      </w:r>
      <w:r w:rsidR="00B01CB8">
        <w:rPr>
          <w:rFonts w:ascii="Calibri" w:eastAsia="SimSun" w:hAnsi="Calibri" w:cs="MyriadPro-LightSemiCn"/>
          <w:lang w:val="en-GB" w:eastAsia="zh-CN"/>
        </w:rPr>
        <w:t xml:space="preserve"> The values </w:t>
      </w:r>
      <w:r w:rsidR="00B01CB8" w:rsidRPr="00920FCB">
        <w:rPr>
          <w:rFonts w:ascii="Calibri" w:eastAsia="SimSun" w:hAnsi="Calibri" w:cs="MyriadPro-LightSemiCn"/>
          <w:lang w:val="en-GB" w:eastAsia="zh-CN"/>
        </w:rPr>
        <w:t>at current prices</w:t>
      </w:r>
      <w:r w:rsidR="00B01CB8">
        <w:rPr>
          <w:rFonts w:ascii="Calibri" w:eastAsia="SimSun" w:hAnsi="Calibri" w:cs="MyriadPro-LightSemiCn"/>
          <w:lang w:val="en-GB" w:eastAsia="zh-CN"/>
        </w:rPr>
        <w:t xml:space="preserve"> of investments </w:t>
      </w:r>
      <w:r w:rsidR="00920FCB">
        <w:rPr>
          <w:rFonts w:ascii="Calibri" w:eastAsia="SimSun" w:hAnsi="Calibri" w:cs="MyriadPro-LightSemiCn"/>
          <w:lang w:val="en-GB" w:eastAsia="zh-CN"/>
        </w:rPr>
        <w:t>in</w:t>
      </w:r>
      <w:r w:rsidR="00B01CB8">
        <w:rPr>
          <w:rFonts w:ascii="Calibri" w:eastAsia="SimSun" w:hAnsi="Calibri" w:cs="MyriadPro-LightSemiCn"/>
          <w:lang w:val="en-GB" w:eastAsia="zh-CN"/>
        </w:rPr>
        <w:t xml:space="preserve"> these categories of fixed assets are deflated with the respective weighted price indices: composite price index for </w:t>
      </w:r>
      <w:r w:rsidR="00B01CB8">
        <w:rPr>
          <w:rFonts w:ascii="Calibri" w:eastAsia="SimSun" w:hAnsi="Calibri" w:cs="MyriadPro-LightSemiCn"/>
          <w:lang w:val="en-GB" w:eastAsia="zh-CN"/>
        </w:rPr>
        <w:lastRenderedPageBreak/>
        <w:t>research and development, consumer price index (COICOP)</w:t>
      </w:r>
      <w:r w:rsidR="00932168">
        <w:rPr>
          <w:rFonts w:ascii="Calibri" w:eastAsia="SimSun" w:hAnsi="Calibri" w:cs="MyriadPro-LightSemiCn"/>
          <w:lang w:val="en-GB" w:eastAsia="zh-CN"/>
        </w:rPr>
        <w:t xml:space="preserve"> for culture and </w:t>
      </w:r>
      <w:r w:rsidR="00911815">
        <w:rPr>
          <w:rFonts w:ascii="Calibri" w:eastAsia="SimSun" w:hAnsi="Calibri" w:cs="MyriadPro-LightSemiCn"/>
          <w:lang w:val="en-GB" w:eastAsia="zh-CN"/>
        </w:rPr>
        <w:t>total</w:t>
      </w:r>
      <w:r w:rsidR="00932168">
        <w:rPr>
          <w:rFonts w:ascii="Calibri" w:eastAsia="SimSun" w:hAnsi="Calibri" w:cs="MyriadPro-LightSemiCn"/>
          <w:lang w:val="en-GB" w:eastAsia="zh-CN"/>
        </w:rPr>
        <w:t xml:space="preserve"> consumer price index (COICOP). The weights are determined by the share of each product group in total investments for the subject part of intellectual property</w:t>
      </w:r>
      <w:r w:rsidR="007B277A">
        <w:rPr>
          <w:rFonts w:ascii="Calibri" w:eastAsia="SimSun" w:hAnsi="Calibri" w:cs="MyriadPro-LightSemiCn"/>
          <w:lang w:val="en-GB" w:eastAsia="zh-CN"/>
        </w:rPr>
        <w:t xml:space="preserve"> products</w:t>
      </w:r>
      <w:r w:rsidR="00932168">
        <w:rPr>
          <w:rFonts w:ascii="Calibri" w:eastAsia="SimSun" w:hAnsi="Calibri" w:cs="MyriadPro-LightSemiCn"/>
          <w:lang w:val="en-GB" w:eastAsia="zh-CN"/>
        </w:rPr>
        <w:t>.</w:t>
      </w:r>
    </w:p>
    <w:p w:rsidR="00932168" w:rsidRPr="00932168" w:rsidRDefault="00932168" w:rsidP="007B277A">
      <w:pPr>
        <w:spacing w:line="264" w:lineRule="auto"/>
        <w:jc w:val="both"/>
        <w:rPr>
          <w:rFonts w:ascii="Calibri" w:hAnsi="Calibri"/>
          <w:lang w:val="en-GB"/>
        </w:rPr>
      </w:pPr>
      <w:r w:rsidRPr="00932168">
        <w:rPr>
          <w:rFonts w:ascii="Calibri" w:eastAsia="SimSun" w:hAnsi="Calibri" w:cs="MyriadPro-LightSemiCn"/>
          <w:bCs/>
          <w:i/>
          <w:lang w:val="en-GB" w:eastAsia="zh-CN"/>
        </w:rPr>
        <w:t>Gross fixed capital formation at constant prices</w:t>
      </w:r>
      <w:r w:rsidRPr="00932168">
        <w:rPr>
          <w:rFonts w:ascii="Calibri" w:eastAsia="SimSun" w:hAnsi="Calibri" w:cs="MyriadPro-LightSemiCn"/>
          <w:bCs/>
          <w:lang w:val="en-GB" w:eastAsia="zh-CN"/>
        </w:rPr>
        <w:t xml:space="preserve"> is</w:t>
      </w:r>
      <w:r>
        <w:rPr>
          <w:rFonts w:ascii="Calibri" w:eastAsia="SimSun" w:hAnsi="Calibri" w:cs="MyriadPro-LightSemiCn"/>
          <w:bCs/>
          <w:lang w:val="en-GB" w:eastAsia="zh-CN"/>
        </w:rPr>
        <w:t xml:space="preserve"> obtained by summing up in this way </w:t>
      </w:r>
      <w:r w:rsidR="00454C26">
        <w:rPr>
          <w:rFonts w:ascii="Calibri" w:eastAsia="SimSun" w:hAnsi="Calibri" w:cs="MyriadPro-LightSemiCn"/>
          <w:bCs/>
          <w:lang w:val="en-GB" w:eastAsia="zh-CN"/>
        </w:rPr>
        <w:t>estimat</w:t>
      </w:r>
      <w:r>
        <w:rPr>
          <w:rFonts w:ascii="Calibri" w:eastAsia="SimSun" w:hAnsi="Calibri" w:cs="MyriadPro-LightSemiCn"/>
          <w:bCs/>
          <w:lang w:val="en-GB" w:eastAsia="zh-CN"/>
        </w:rPr>
        <w:t>ed values of investments in construction works, machinery and equipment, cultivated biological resources and intellectual property</w:t>
      </w:r>
      <w:r w:rsidR="00454C26">
        <w:rPr>
          <w:rFonts w:ascii="Calibri" w:eastAsia="SimSun" w:hAnsi="Calibri" w:cs="MyriadPro-LightSemiCn"/>
          <w:bCs/>
          <w:lang w:val="en-GB" w:eastAsia="zh-CN"/>
        </w:rPr>
        <w:t xml:space="preserve"> products</w:t>
      </w:r>
      <w:r>
        <w:rPr>
          <w:rFonts w:ascii="Calibri" w:eastAsia="SimSun" w:hAnsi="Calibri" w:cs="MyriadPro-LightSemiCn"/>
          <w:bCs/>
          <w:lang w:val="en-GB" w:eastAsia="zh-CN"/>
        </w:rPr>
        <w:t>.</w:t>
      </w:r>
      <w:r w:rsidR="00765200">
        <w:rPr>
          <w:rFonts w:ascii="Calibri" w:eastAsia="SimSun" w:hAnsi="Calibri" w:cs="MyriadPro-LightSemiCn"/>
          <w:bCs/>
          <w:lang w:val="en-GB" w:eastAsia="zh-CN"/>
        </w:rPr>
        <w:t xml:space="preserve"> The series of investment</w:t>
      </w:r>
      <w:r w:rsidR="001C288E">
        <w:rPr>
          <w:rFonts w:ascii="Calibri" w:eastAsia="SimSun" w:hAnsi="Calibri" w:cs="MyriadPro-LightSemiCn"/>
          <w:bCs/>
          <w:lang w:val="en-GB" w:eastAsia="zh-CN"/>
        </w:rPr>
        <w:t xml:space="preserve"> values </w:t>
      </w:r>
      <w:r w:rsidR="001612B5">
        <w:rPr>
          <w:rFonts w:ascii="Calibri" w:eastAsia="SimSun" w:hAnsi="Calibri" w:cs="MyriadPro-LightSemiCn"/>
          <w:bCs/>
          <w:lang w:val="en-GB" w:eastAsia="zh-CN"/>
        </w:rPr>
        <w:t xml:space="preserve">calculated </w:t>
      </w:r>
      <w:r w:rsidR="001C288E">
        <w:rPr>
          <w:rFonts w:ascii="Calibri" w:eastAsia="SimSun" w:hAnsi="Calibri" w:cs="MyriadPro-LightSemiCn"/>
          <w:bCs/>
          <w:lang w:val="en-GB" w:eastAsia="zh-CN"/>
        </w:rPr>
        <w:t xml:space="preserve">at previous year prices </w:t>
      </w:r>
      <w:r w:rsidR="001612B5">
        <w:rPr>
          <w:rFonts w:ascii="Calibri" w:eastAsia="SimSun" w:hAnsi="Calibri" w:cs="MyriadPro-LightSemiCn"/>
          <w:bCs/>
          <w:lang w:val="en-GB" w:eastAsia="zh-CN"/>
        </w:rPr>
        <w:t>cannot be used for real growth rate estimations since the data by years are not comparable (each year is valued at previous year prices). To obtain the series of comparable data</w:t>
      </w:r>
      <w:r w:rsidR="00B52B1F">
        <w:rPr>
          <w:rFonts w:ascii="Calibri" w:eastAsia="SimSun" w:hAnsi="Calibri" w:cs="MyriadPro-LightSemiCn"/>
          <w:bCs/>
          <w:lang w:val="en-GB" w:eastAsia="zh-CN"/>
        </w:rPr>
        <w:t>,</w:t>
      </w:r>
      <w:r w:rsidR="001612B5">
        <w:rPr>
          <w:rFonts w:ascii="Calibri" w:eastAsia="SimSun" w:hAnsi="Calibri" w:cs="MyriadPro-LightSemiCn"/>
          <w:bCs/>
          <w:lang w:val="en-GB" w:eastAsia="zh-CN"/>
        </w:rPr>
        <w:t xml:space="preserve"> applied is the chain-linking method </w:t>
      </w:r>
      <w:r w:rsidR="00B52B1F">
        <w:rPr>
          <w:rFonts w:ascii="Calibri" w:eastAsia="SimSun" w:hAnsi="Calibri" w:cs="MyriadPro-LightSemiCn"/>
          <w:bCs/>
          <w:lang w:val="en-GB" w:eastAsia="zh-CN"/>
        </w:rPr>
        <w:t>in order to provide</w:t>
      </w:r>
      <w:r w:rsidR="001612B5">
        <w:rPr>
          <w:rFonts w:ascii="Calibri" w:eastAsia="SimSun" w:hAnsi="Calibri" w:cs="MyriadPro-LightSemiCn"/>
          <w:bCs/>
          <w:lang w:val="en-GB" w:eastAsia="zh-CN"/>
        </w:rPr>
        <w:t xml:space="preserve"> chain-linked volume measures of </w:t>
      </w:r>
      <w:r w:rsidR="001417A9">
        <w:rPr>
          <w:rFonts w:ascii="Calibri" w:eastAsia="SimSun" w:hAnsi="Calibri" w:cs="MyriadPro-LightSemiCn"/>
          <w:bCs/>
          <w:lang w:val="en-GB" w:eastAsia="zh-CN"/>
        </w:rPr>
        <w:t>gross fixed capital formation</w:t>
      </w:r>
      <w:r w:rsidR="001612B5">
        <w:rPr>
          <w:rFonts w:ascii="Calibri" w:eastAsia="SimSun" w:hAnsi="Calibri" w:cs="MyriadPro-LightSemiCn"/>
          <w:bCs/>
          <w:lang w:val="en-GB" w:eastAsia="zh-CN"/>
        </w:rPr>
        <w:t>. Starting from 2013, in compliance with the Eurostat recommendations, the year 20</w:t>
      </w:r>
      <w:r w:rsidR="001417A9">
        <w:rPr>
          <w:rFonts w:ascii="Calibri" w:eastAsia="SimSun" w:hAnsi="Calibri" w:cs="MyriadPro-LightSemiCn"/>
          <w:bCs/>
          <w:lang w:val="en-GB" w:eastAsia="zh-CN"/>
        </w:rPr>
        <w:t>10 is used as the referen</w:t>
      </w:r>
      <w:r w:rsidR="00B52B1F">
        <w:rPr>
          <w:rFonts w:ascii="Calibri" w:eastAsia="SimSun" w:hAnsi="Calibri" w:cs="MyriadPro-LightSemiCn"/>
          <w:bCs/>
          <w:lang w:val="en-GB" w:eastAsia="zh-CN"/>
        </w:rPr>
        <w:t>ce</w:t>
      </w:r>
      <w:r w:rsidR="001417A9">
        <w:rPr>
          <w:rFonts w:ascii="Calibri" w:eastAsia="SimSun" w:hAnsi="Calibri" w:cs="MyriadPro-LightSemiCn"/>
          <w:bCs/>
          <w:lang w:val="en-GB" w:eastAsia="zh-CN"/>
        </w:rPr>
        <w:t xml:space="preserve"> year for </w:t>
      </w:r>
      <w:r w:rsidR="001612B5">
        <w:rPr>
          <w:rFonts w:ascii="Calibri" w:eastAsia="SimSun" w:hAnsi="Calibri" w:cs="MyriadPro-LightSemiCn"/>
          <w:bCs/>
          <w:lang w:val="en-GB" w:eastAsia="zh-CN"/>
        </w:rPr>
        <w:t>chain-linked volume measures</w:t>
      </w:r>
      <w:r w:rsidR="001612B5" w:rsidRPr="00DD752B">
        <w:rPr>
          <w:rFonts w:ascii="Calibri" w:eastAsia="SimSun" w:hAnsi="Calibri" w:cs="MyriadPro-LightSemiCn"/>
          <w:bCs/>
          <w:lang w:val="en-GB" w:eastAsia="zh-CN"/>
        </w:rPr>
        <w:t xml:space="preserve">. </w:t>
      </w:r>
      <w:r w:rsidR="00DD752B" w:rsidRPr="00DD752B">
        <w:rPr>
          <w:rFonts w:ascii="Calibri" w:hAnsi="Calibri" w:cs="Arial"/>
        </w:rPr>
        <w:t>As a result of converting chain-linked vo</w:t>
      </w:r>
      <w:r w:rsidR="00ED592C">
        <w:rPr>
          <w:rFonts w:ascii="Calibri" w:hAnsi="Calibri" w:cs="Arial"/>
        </w:rPr>
        <w:t>lume measures to monetary terms while</w:t>
      </w:r>
      <w:r w:rsidR="00DD752B" w:rsidRPr="00DD752B">
        <w:rPr>
          <w:rFonts w:ascii="Calibri" w:hAnsi="Calibri" w:cs="Arial"/>
        </w:rPr>
        <w:t xml:space="preserve"> using the reference year</w:t>
      </w:r>
      <w:r w:rsidR="001417A9">
        <w:rPr>
          <w:rFonts w:ascii="Calibri" w:hAnsi="Calibri" w:cs="Arial"/>
        </w:rPr>
        <w:t xml:space="preserve"> prices</w:t>
      </w:r>
      <w:r w:rsidR="00DD752B" w:rsidRPr="00DD752B">
        <w:rPr>
          <w:rFonts w:ascii="Calibri" w:hAnsi="Calibri" w:cs="Arial"/>
        </w:rPr>
        <w:t xml:space="preserve">, the non-additivity problem </w:t>
      </w:r>
      <w:r w:rsidR="00B52B1F" w:rsidRPr="00DD752B">
        <w:rPr>
          <w:rFonts w:ascii="Calibri" w:hAnsi="Calibri" w:cs="Arial"/>
        </w:rPr>
        <w:t>appears</w:t>
      </w:r>
      <w:r w:rsidR="00B52B1F">
        <w:rPr>
          <w:rFonts w:ascii="Calibri" w:hAnsi="Calibri" w:cs="Arial"/>
        </w:rPr>
        <w:t xml:space="preserve"> because</w:t>
      </w:r>
      <w:r w:rsidR="00DD752B" w:rsidRPr="00DD752B">
        <w:rPr>
          <w:rFonts w:ascii="Calibri" w:hAnsi="Calibri" w:cs="Arial"/>
        </w:rPr>
        <w:t xml:space="preserve"> </w:t>
      </w:r>
      <w:r w:rsidR="00ED592C">
        <w:rPr>
          <w:rFonts w:ascii="Calibri" w:hAnsi="Calibri" w:cs="Arial"/>
        </w:rPr>
        <w:t xml:space="preserve">the </w:t>
      </w:r>
      <w:r w:rsidR="00DD752B" w:rsidRPr="00DD752B">
        <w:rPr>
          <w:rFonts w:ascii="Calibri" w:hAnsi="Calibri" w:cs="Arial"/>
        </w:rPr>
        <w:t>aggregates could not be obtained by summing</w:t>
      </w:r>
      <w:r w:rsidR="00ED592C">
        <w:rPr>
          <w:rFonts w:ascii="Calibri" w:hAnsi="Calibri" w:cs="Arial"/>
        </w:rPr>
        <w:t xml:space="preserve"> up</w:t>
      </w:r>
      <w:r w:rsidR="00DD752B" w:rsidRPr="00DD752B">
        <w:rPr>
          <w:rFonts w:ascii="Calibri" w:hAnsi="Calibri" w:cs="Arial"/>
        </w:rPr>
        <w:t xml:space="preserve"> its integral elements. Additivity exists only in the reference year and </w:t>
      </w:r>
      <w:r w:rsidR="00DD752B">
        <w:rPr>
          <w:rFonts w:ascii="Calibri" w:hAnsi="Calibri" w:cs="Arial"/>
        </w:rPr>
        <w:t xml:space="preserve">in </w:t>
      </w:r>
      <w:r w:rsidR="00DD752B" w:rsidRPr="00DD752B">
        <w:rPr>
          <w:rFonts w:ascii="Calibri" w:hAnsi="Calibri" w:cs="Arial"/>
        </w:rPr>
        <w:t xml:space="preserve">the year after, </w:t>
      </w:r>
      <w:r w:rsidR="00B52B1F">
        <w:rPr>
          <w:rFonts w:ascii="Calibri" w:hAnsi="Calibri" w:cs="Arial"/>
        </w:rPr>
        <w:t>as</w:t>
      </w:r>
      <w:r w:rsidR="00DD752B">
        <w:rPr>
          <w:rFonts w:ascii="Calibri" w:hAnsi="Calibri" w:cs="Arial"/>
        </w:rPr>
        <w:t xml:space="preserve"> the GFCF </w:t>
      </w:r>
      <w:r w:rsidR="00DD752B" w:rsidRPr="00DD752B">
        <w:rPr>
          <w:rFonts w:ascii="Calibri" w:hAnsi="Calibri" w:cs="Arial"/>
        </w:rPr>
        <w:t xml:space="preserve">elements in these years are valued </w:t>
      </w:r>
      <w:r w:rsidR="00DD752B">
        <w:rPr>
          <w:rFonts w:ascii="Calibri" w:hAnsi="Calibri" w:cs="Arial"/>
        </w:rPr>
        <w:t>at</w:t>
      </w:r>
      <w:r w:rsidR="00DD752B" w:rsidRPr="00DD752B">
        <w:rPr>
          <w:rFonts w:ascii="Calibri" w:hAnsi="Calibri" w:cs="Arial"/>
        </w:rPr>
        <w:t xml:space="preserve"> the same prices.</w:t>
      </w:r>
    </w:p>
    <w:p w:rsidR="000E08D1" w:rsidRDefault="000E08D1" w:rsidP="007B277A">
      <w:pPr>
        <w:spacing w:line="264" w:lineRule="auto"/>
        <w:jc w:val="both"/>
        <w:rPr>
          <w:rFonts w:ascii="Calibri" w:hAnsi="Calibri"/>
          <w:lang w:val="en-GB"/>
        </w:rPr>
      </w:pPr>
    </w:p>
    <w:p w:rsidR="00DF7120" w:rsidRPr="001A603A" w:rsidRDefault="00DF7120" w:rsidP="007B277A">
      <w:pPr>
        <w:spacing w:after="120" w:line="264" w:lineRule="auto"/>
        <w:ind w:firstLine="720"/>
        <w:jc w:val="both"/>
        <w:rPr>
          <w:rFonts w:ascii="Calibri" w:hAnsi="Calibri"/>
          <w:lang w:val="en-GB"/>
        </w:rPr>
      </w:pPr>
    </w:p>
    <w:p w:rsidR="0070457C" w:rsidRPr="001A603A" w:rsidRDefault="0070457C" w:rsidP="007B277A">
      <w:pPr>
        <w:spacing w:line="264" w:lineRule="auto"/>
        <w:rPr>
          <w:rFonts w:ascii="Calibri" w:hAnsi="Calibri"/>
          <w:lang w:val="en-GB"/>
        </w:rPr>
      </w:pPr>
    </w:p>
    <w:sectPr w:rsidR="0070457C" w:rsidRPr="001A603A" w:rsidSect="006E007E">
      <w:pgSz w:w="12240" w:h="15840"/>
      <w:pgMar w:top="1440" w:right="162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4D" w:rsidRDefault="005A334D">
      <w:r>
        <w:separator/>
      </w:r>
    </w:p>
  </w:endnote>
  <w:endnote w:type="continuationSeparator" w:id="0">
    <w:p w:rsidR="005A334D" w:rsidRDefault="005A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LightSemiC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4D" w:rsidRDefault="005A334D">
      <w:r>
        <w:separator/>
      </w:r>
    </w:p>
  </w:footnote>
  <w:footnote w:type="continuationSeparator" w:id="0">
    <w:p w:rsidR="005A334D" w:rsidRDefault="005A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0C0A"/>
    <w:multiLevelType w:val="hybridMultilevel"/>
    <w:tmpl w:val="129645F6"/>
    <w:lvl w:ilvl="0" w:tplc="E93885F4">
      <w:numFmt w:val="bullet"/>
      <w:lvlText w:val=""/>
      <w:lvlJc w:val="left"/>
      <w:pPr>
        <w:tabs>
          <w:tab w:val="num" w:pos="720"/>
        </w:tabs>
        <w:ind w:left="720" w:hanging="360"/>
      </w:pPr>
      <w:rPr>
        <w:rFonts w:ascii="Symbol" w:hAnsi="Symbol" w:cs="Aria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20B8C"/>
    <w:multiLevelType w:val="hybridMultilevel"/>
    <w:tmpl w:val="46300C70"/>
    <w:lvl w:ilvl="0" w:tplc="BA7EEBC8">
      <w:start w:val="1"/>
      <w:numFmt w:val="bullet"/>
      <w:lvlText w:val=""/>
      <w:lvlJc w:val="left"/>
      <w:pPr>
        <w:tabs>
          <w:tab w:val="num" w:pos="720"/>
        </w:tabs>
        <w:ind w:left="720" w:hanging="360"/>
      </w:pPr>
      <w:rPr>
        <w:rFonts w:ascii="Symbol" w:hAnsi="Symbol" w:hint="default"/>
        <w:color w:val="auto"/>
        <w:sz w:val="18"/>
      </w:rPr>
    </w:lvl>
    <w:lvl w:ilvl="1" w:tplc="604005BE">
      <w:start w:val="1"/>
      <w:numFmt w:val="decimal"/>
      <w:lvlText w:val="%2."/>
      <w:lvlJc w:val="left"/>
      <w:pPr>
        <w:tabs>
          <w:tab w:val="num" w:pos="1440"/>
        </w:tabs>
        <w:ind w:left="1440" w:hanging="360"/>
      </w:pPr>
      <w:rPr>
        <w:rFonts w:hint="default"/>
      </w:rPr>
    </w:lvl>
    <w:lvl w:ilvl="2" w:tplc="53DA2DEA" w:tentative="1">
      <w:start w:val="1"/>
      <w:numFmt w:val="decimal"/>
      <w:lvlText w:val="%3."/>
      <w:lvlJc w:val="left"/>
      <w:pPr>
        <w:tabs>
          <w:tab w:val="num" w:pos="2160"/>
        </w:tabs>
        <w:ind w:left="2160" w:hanging="360"/>
      </w:pPr>
    </w:lvl>
    <w:lvl w:ilvl="3" w:tplc="B0B22E9C" w:tentative="1">
      <w:start w:val="1"/>
      <w:numFmt w:val="decimal"/>
      <w:lvlText w:val="%4."/>
      <w:lvlJc w:val="left"/>
      <w:pPr>
        <w:tabs>
          <w:tab w:val="num" w:pos="2880"/>
        </w:tabs>
        <w:ind w:left="2880" w:hanging="360"/>
      </w:pPr>
    </w:lvl>
    <w:lvl w:ilvl="4" w:tplc="9A2648DC" w:tentative="1">
      <w:start w:val="1"/>
      <w:numFmt w:val="decimal"/>
      <w:lvlText w:val="%5."/>
      <w:lvlJc w:val="left"/>
      <w:pPr>
        <w:tabs>
          <w:tab w:val="num" w:pos="3600"/>
        </w:tabs>
        <w:ind w:left="3600" w:hanging="360"/>
      </w:pPr>
    </w:lvl>
    <w:lvl w:ilvl="5" w:tplc="7196E66C" w:tentative="1">
      <w:start w:val="1"/>
      <w:numFmt w:val="decimal"/>
      <w:lvlText w:val="%6."/>
      <w:lvlJc w:val="left"/>
      <w:pPr>
        <w:tabs>
          <w:tab w:val="num" w:pos="4320"/>
        </w:tabs>
        <w:ind w:left="4320" w:hanging="360"/>
      </w:pPr>
    </w:lvl>
    <w:lvl w:ilvl="6" w:tplc="709A297C" w:tentative="1">
      <w:start w:val="1"/>
      <w:numFmt w:val="decimal"/>
      <w:lvlText w:val="%7."/>
      <w:lvlJc w:val="left"/>
      <w:pPr>
        <w:tabs>
          <w:tab w:val="num" w:pos="5040"/>
        </w:tabs>
        <w:ind w:left="5040" w:hanging="360"/>
      </w:pPr>
    </w:lvl>
    <w:lvl w:ilvl="7" w:tplc="F808E110" w:tentative="1">
      <w:start w:val="1"/>
      <w:numFmt w:val="decimal"/>
      <w:lvlText w:val="%8."/>
      <w:lvlJc w:val="left"/>
      <w:pPr>
        <w:tabs>
          <w:tab w:val="num" w:pos="5760"/>
        </w:tabs>
        <w:ind w:left="5760" w:hanging="360"/>
      </w:pPr>
    </w:lvl>
    <w:lvl w:ilvl="8" w:tplc="DADE38EE" w:tentative="1">
      <w:start w:val="1"/>
      <w:numFmt w:val="decimal"/>
      <w:lvlText w:val="%9."/>
      <w:lvlJc w:val="left"/>
      <w:pPr>
        <w:tabs>
          <w:tab w:val="num" w:pos="6480"/>
        </w:tabs>
        <w:ind w:left="6480" w:hanging="360"/>
      </w:pPr>
    </w:lvl>
  </w:abstractNum>
  <w:abstractNum w:abstractNumId="2" w15:restartNumberingAfterBreak="0">
    <w:nsid w:val="29A015D0"/>
    <w:multiLevelType w:val="hybridMultilevel"/>
    <w:tmpl w:val="FA0C3306"/>
    <w:lvl w:ilvl="0" w:tplc="45309710">
      <w:start w:val="1"/>
      <w:numFmt w:val="bullet"/>
      <w:lvlText w:val=""/>
      <w:lvlJc w:val="left"/>
      <w:pPr>
        <w:tabs>
          <w:tab w:val="num" w:pos="360"/>
        </w:tabs>
        <w:ind w:left="360" w:hanging="360"/>
      </w:pPr>
      <w:rPr>
        <w:rFonts w:ascii="Wingdings" w:hAnsi="Wingdings" w:hint="default"/>
        <w:sz w:val="18"/>
      </w:rPr>
    </w:lvl>
    <w:lvl w:ilvl="1" w:tplc="04090003">
      <w:start w:val="1"/>
      <w:numFmt w:val="bullet"/>
      <w:lvlText w:val=""/>
      <w:lvlJc w:val="left"/>
      <w:pPr>
        <w:tabs>
          <w:tab w:val="num" w:pos="624"/>
        </w:tabs>
        <w:ind w:left="624" w:hanging="264"/>
      </w:pPr>
      <w:rPr>
        <w:rFonts w:ascii="Symbol" w:hAnsi="Symbol" w:hint="default"/>
        <w:color w:val="auto"/>
        <w:sz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8AA2D19"/>
    <w:multiLevelType w:val="hybridMultilevel"/>
    <w:tmpl w:val="2C1CBC16"/>
    <w:lvl w:ilvl="0" w:tplc="5D887C8A">
      <w:start w:val="101"/>
      <w:numFmt w:val="bullet"/>
      <w:lvlText w:val="-"/>
      <w:lvlJc w:val="left"/>
      <w:pPr>
        <w:tabs>
          <w:tab w:val="num" w:pos="720"/>
        </w:tabs>
        <w:ind w:left="720" w:hanging="360"/>
      </w:pPr>
      <w:rPr>
        <w:rFonts w:ascii="Calibri" w:eastAsia="SimSun" w:hAnsi="Calibri" w:cs="MyriadPro-LightSemiC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B60630"/>
    <w:multiLevelType w:val="hybridMultilevel"/>
    <w:tmpl w:val="14009742"/>
    <w:lvl w:ilvl="0" w:tplc="6908C90A">
      <w:numFmt w:val="bullet"/>
      <w:lvlText w:val=""/>
      <w:lvlJc w:val="left"/>
      <w:pPr>
        <w:tabs>
          <w:tab w:val="num" w:pos="720"/>
        </w:tabs>
        <w:ind w:left="720" w:hanging="360"/>
      </w:pPr>
      <w:rPr>
        <w:rFonts w:ascii="Symbol" w:hAnsi="Symbol" w:cs="Aria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8E"/>
    <w:rsid w:val="000000F9"/>
    <w:rsid w:val="00000577"/>
    <w:rsid w:val="00000F2B"/>
    <w:rsid w:val="00002EB3"/>
    <w:rsid w:val="00003A04"/>
    <w:rsid w:val="000103A1"/>
    <w:rsid w:val="00011B3A"/>
    <w:rsid w:val="00011E49"/>
    <w:rsid w:val="000134D6"/>
    <w:rsid w:val="000149DB"/>
    <w:rsid w:val="000168BA"/>
    <w:rsid w:val="00016D81"/>
    <w:rsid w:val="000237D5"/>
    <w:rsid w:val="00025981"/>
    <w:rsid w:val="00027D2B"/>
    <w:rsid w:val="00032155"/>
    <w:rsid w:val="00035F0A"/>
    <w:rsid w:val="00037683"/>
    <w:rsid w:val="000458C8"/>
    <w:rsid w:val="0004711D"/>
    <w:rsid w:val="00047B2B"/>
    <w:rsid w:val="00050D79"/>
    <w:rsid w:val="00050F07"/>
    <w:rsid w:val="0005194C"/>
    <w:rsid w:val="00052B8C"/>
    <w:rsid w:val="000540F7"/>
    <w:rsid w:val="00057767"/>
    <w:rsid w:val="000614AB"/>
    <w:rsid w:val="000614BD"/>
    <w:rsid w:val="00064E00"/>
    <w:rsid w:val="00066540"/>
    <w:rsid w:val="00071EC3"/>
    <w:rsid w:val="0007241B"/>
    <w:rsid w:val="0007270A"/>
    <w:rsid w:val="000729BE"/>
    <w:rsid w:val="00074671"/>
    <w:rsid w:val="00075966"/>
    <w:rsid w:val="00076421"/>
    <w:rsid w:val="0007671C"/>
    <w:rsid w:val="00077A39"/>
    <w:rsid w:val="000810BA"/>
    <w:rsid w:val="00082C20"/>
    <w:rsid w:val="000852DF"/>
    <w:rsid w:val="00085362"/>
    <w:rsid w:val="0008631F"/>
    <w:rsid w:val="00090A38"/>
    <w:rsid w:val="00092AA6"/>
    <w:rsid w:val="00094CF8"/>
    <w:rsid w:val="0009636D"/>
    <w:rsid w:val="00096424"/>
    <w:rsid w:val="00097990"/>
    <w:rsid w:val="000A1D38"/>
    <w:rsid w:val="000A2F6A"/>
    <w:rsid w:val="000A39A8"/>
    <w:rsid w:val="000A69EE"/>
    <w:rsid w:val="000B06DF"/>
    <w:rsid w:val="000B123D"/>
    <w:rsid w:val="000B18F2"/>
    <w:rsid w:val="000B488F"/>
    <w:rsid w:val="000B651B"/>
    <w:rsid w:val="000C2BCA"/>
    <w:rsid w:val="000C2BEC"/>
    <w:rsid w:val="000C5B9B"/>
    <w:rsid w:val="000C63A2"/>
    <w:rsid w:val="000C65ED"/>
    <w:rsid w:val="000C744D"/>
    <w:rsid w:val="000D11B1"/>
    <w:rsid w:val="000D25E1"/>
    <w:rsid w:val="000D6F8C"/>
    <w:rsid w:val="000E08D1"/>
    <w:rsid w:val="000E787D"/>
    <w:rsid w:val="000F1C00"/>
    <w:rsid w:val="000F3F03"/>
    <w:rsid w:val="000F41AE"/>
    <w:rsid w:val="000F4F61"/>
    <w:rsid w:val="000F69F4"/>
    <w:rsid w:val="000F6EB6"/>
    <w:rsid w:val="00104BAA"/>
    <w:rsid w:val="00104F70"/>
    <w:rsid w:val="00105D28"/>
    <w:rsid w:val="00107ED9"/>
    <w:rsid w:val="001108E7"/>
    <w:rsid w:val="00111540"/>
    <w:rsid w:val="0011273F"/>
    <w:rsid w:val="0011408F"/>
    <w:rsid w:val="00121148"/>
    <w:rsid w:val="00123AF8"/>
    <w:rsid w:val="00126145"/>
    <w:rsid w:val="00127B22"/>
    <w:rsid w:val="00130DCB"/>
    <w:rsid w:val="001315BA"/>
    <w:rsid w:val="00132FB6"/>
    <w:rsid w:val="00133B4B"/>
    <w:rsid w:val="001348A6"/>
    <w:rsid w:val="00135198"/>
    <w:rsid w:val="00135662"/>
    <w:rsid w:val="001408B1"/>
    <w:rsid w:val="001417A9"/>
    <w:rsid w:val="00142A59"/>
    <w:rsid w:val="001455C3"/>
    <w:rsid w:val="0014593A"/>
    <w:rsid w:val="00150743"/>
    <w:rsid w:val="001508C2"/>
    <w:rsid w:val="00152005"/>
    <w:rsid w:val="001545F9"/>
    <w:rsid w:val="00154854"/>
    <w:rsid w:val="00155EC7"/>
    <w:rsid w:val="001562F6"/>
    <w:rsid w:val="001573F9"/>
    <w:rsid w:val="00160DD6"/>
    <w:rsid w:val="001612B5"/>
    <w:rsid w:val="00164324"/>
    <w:rsid w:val="00165932"/>
    <w:rsid w:val="001668AA"/>
    <w:rsid w:val="0016758B"/>
    <w:rsid w:val="0017033D"/>
    <w:rsid w:val="001719FE"/>
    <w:rsid w:val="00173277"/>
    <w:rsid w:val="00175E44"/>
    <w:rsid w:val="001769AB"/>
    <w:rsid w:val="00185857"/>
    <w:rsid w:val="00185913"/>
    <w:rsid w:val="0019061D"/>
    <w:rsid w:val="00191349"/>
    <w:rsid w:val="00194FF1"/>
    <w:rsid w:val="00195107"/>
    <w:rsid w:val="00195664"/>
    <w:rsid w:val="0019685C"/>
    <w:rsid w:val="001A10F2"/>
    <w:rsid w:val="001A1617"/>
    <w:rsid w:val="001A2781"/>
    <w:rsid w:val="001A3C5F"/>
    <w:rsid w:val="001A4A01"/>
    <w:rsid w:val="001A603A"/>
    <w:rsid w:val="001A7030"/>
    <w:rsid w:val="001B1A4E"/>
    <w:rsid w:val="001B4A46"/>
    <w:rsid w:val="001B5927"/>
    <w:rsid w:val="001B59A0"/>
    <w:rsid w:val="001B6082"/>
    <w:rsid w:val="001B6165"/>
    <w:rsid w:val="001B66A6"/>
    <w:rsid w:val="001B74E6"/>
    <w:rsid w:val="001C128D"/>
    <w:rsid w:val="001C288E"/>
    <w:rsid w:val="001C5194"/>
    <w:rsid w:val="001C6C78"/>
    <w:rsid w:val="001C7692"/>
    <w:rsid w:val="001D19D9"/>
    <w:rsid w:val="001D40FC"/>
    <w:rsid w:val="001D5462"/>
    <w:rsid w:val="001D5A9E"/>
    <w:rsid w:val="001E1714"/>
    <w:rsid w:val="001E5575"/>
    <w:rsid w:val="001E5FCB"/>
    <w:rsid w:val="001E69A9"/>
    <w:rsid w:val="001E782E"/>
    <w:rsid w:val="001F5AA8"/>
    <w:rsid w:val="001F67FC"/>
    <w:rsid w:val="0020213F"/>
    <w:rsid w:val="00206E7E"/>
    <w:rsid w:val="00211252"/>
    <w:rsid w:val="00211C71"/>
    <w:rsid w:val="0021222F"/>
    <w:rsid w:val="00212A1E"/>
    <w:rsid w:val="002139DB"/>
    <w:rsid w:val="002145E4"/>
    <w:rsid w:val="002157F6"/>
    <w:rsid w:val="0022026D"/>
    <w:rsid w:val="00224DD2"/>
    <w:rsid w:val="0022524E"/>
    <w:rsid w:val="00225ABF"/>
    <w:rsid w:val="00226378"/>
    <w:rsid w:val="00226A54"/>
    <w:rsid w:val="00230C3E"/>
    <w:rsid w:val="00230EE0"/>
    <w:rsid w:val="00231634"/>
    <w:rsid w:val="00231E40"/>
    <w:rsid w:val="002350B1"/>
    <w:rsid w:val="002375C2"/>
    <w:rsid w:val="002410C7"/>
    <w:rsid w:val="002414EA"/>
    <w:rsid w:val="00244F34"/>
    <w:rsid w:val="00250409"/>
    <w:rsid w:val="00250A3C"/>
    <w:rsid w:val="002541CD"/>
    <w:rsid w:val="002542CC"/>
    <w:rsid w:val="002561A7"/>
    <w:rsid w:val="00257B62"/>
    <w:rsid w:val="00261119"/>
    <w:rsid w:val="00261D6A"/>
    <w:rsid w:val="00261E21"/>
    <w:rsid w:val="00264D01"/>
    <w:rsid w:val="00265256"/>
    <w:rsid w:val="00265831"/>
    <w:rsid w:val="00267B97"/>
    <w:rsid w:val="00267EE6"/>
    <w:rsid w:val="002824A7"/>
    <w:rsid w:val="00282CDD"/>
    <w:rsid w:val="00283E2D"/>
    <w:rsid w:val="00287086"/>
    <w:rsid w:val="002904FD"/>
    <w:rsid w:val="0029144B"/>
    <w:rsid w:val="00291E54"/>
    <w:rsid w:val="00292052"/>
    <w:rsid w:val="002922C5"/>
    <w:rsid w:val="0029262F"/>
    <w:rsid w:val="002937DB"/>
    <w:rsid w:val="00294BCA"/>
    <w:rsid w:val="00295B3F"/>
    <w:rsid w:val="00295CDD"/>
    <w:rsid w:val="00296C20"/>
    <w:rsid w:val="002A3278"/>
    <w:rsid w:val="002A4D4E"/>
    <w:rsid w:val="002A52D2"/>
    <w:rsid w:val="002B101A"/>
    <w:rsid w:val="002B3742"/>
    <w:rsid w:val="002B5BD8"/>
    <w:rsid w:val="002B6044"/>
    <w:rsid w:val="002B70DF"/>
    <w:rsid w:val="002C1BF3"/>
    <w:rsid w:val="002C1C6C"/>
    <w:rsid w:val="002C584A"/>
    <w:rsid w:val="002C69C3"/>
    <w:rsid w:val="002C7FC9"/>
    <w:rsid w:val="002D2886"/>
    <w:rsid w:val="002D3746"/>
    <w:rsid w:val="002D3B1D"/>
    <w:rsid w:val="002D6084"/>
    <w:rsid w:val="002D6892"/>
    <w:rsid w:val="002E15D0"/>
    <w:rsid w:val="002E1EEA"/>
    <w:rsid w:val="002E494A"/>
    <w:rsid w:val="002E5090"/>
    <w:rsid w:val="002E63D9"/>
    <w:rsid w:val="002E7078"/>
    <w:rsid w:val="002F273C"/>
    <w:rsid w:val="002F79A1"/>
    <w:rsid w:val="00306B89"/>
    <w:rsid w:val="00306EFD"/>
    <w:rsid w:val="0031228E"/>
    <w:rsid w:val="00320FF2"/>
    <w:rsid w:val="00324FB6"/>
    <w:rsid w:val="00327038"/>
    <w:rsid w:val="003315E9"/>
    <w:rsid w:val="00334634"/>
    <w:rsid w:val="00335977"/>
    <w:rsid w:val="003365DA"/>
    <w:rsid w:val="003377F8"/>
    <w:rsid w:val="003378DD"/>
    <w:rsid w:val="0034130A"/>
    <w:rsid w:val="00344DD5"/>
    <w:rsid w:val="00362384"/>
    <w:rsid w:val="00363374"/>
    <w:rsid w:val="00364C5C"/>
    <w:rsid w:val="0036508C"/>
    <w:rsid w:val="0036543F"/>
    <w:rsid w:val="003655C3"/>
    <w:rsid w:val="00367FB5"/>
    <w:rsid w:val="00370BCA"/>
    <w:rsid w:val="00371E6E"/>
    <w:rsid w:val="00373BAC"/>
    <w:rsid w:val="00380628"/>
    <w:rsid w:val="003813DA"/>
    <w:rsid w:val="00381703"/>
    <w:rsid w:val="00382F2B"/>
    <w:rsid w:val="00383EFA"/>
    <w:rsid w:val="0038545F"/>
    <w:rsid w:val="00385990"/>
    <w:rsid w:val="00386565"/>
    <w:rsid w:val="00386EB4"/>
    <w:rsid w:val="00390880"/>
    <w:rsid w:val="00391A5F"/>
    <w:rsid w:val="00393B82"/>
    <w:rsid w:val="0039615F"/>
    <w:rsid w:val="003A0A8C"/>
    <w:rsid w:val="003A1090"/>
    <w:rsid w:val="003A2C17"/>
    <w:rsid w:val="003A57CD"/>
    <w:rsid w:val="003A5CA0"/>
    <w:rsid w:val="003B11C3"/>
    <w:rsid w:val="003B2753"/>
    <w:rsid w:val="003B2910"/>
    <w:rsid w:val="003B33CB"/>
    <w:rsid w:val="003C656E"/>
    <w:rsid w:val="003D2F62"/>
    <w:rsid w:val="003D428A"/>
    <w:rsid w:val="003D749C"/>
    <w:rsid w:val="003E0172"/>
    <w:rsid w:val="003E218A"/>
    <w:rsid w:val="003E30AD"/>
    <w:rsid w:val="003E611D"/>
    <w:rsid w:val="003E6921"/>
    <w:rsid w:val="003F1972"/>
    <w:rsid w:val="003F2191"/>
    <w:rsid w:val="003F2E9C"/>
    <w:rsid w:val="003F6B8D"/>
    <w:rsid w:val="00400B04"/>
    <w:rsid w:val="00402A25"/>
    <w:rsid w:val="004117E7"/>
    <w:rsid w:val="00412A00"/>
    <w:rsid w:val="004173F8"/>
    <w:rsid w:val="0042162C"/>
    <w:rsid w:val="004218AD"/>
    <w:rsid w:val="00421D96"/>
    <w:rsid w:val="00424DDD"/>
    <w:rsid w:val="00424F10"/>
    <w:rsid w:val="00430280"/>
    <w:rsid w:val="00432548"/>
    <w:rsid w:val="00432702"/>
    <w:rsid w:val="0043395D"/>
    <w:rsid w:val="004403A5"/>
    <w:rsid w:val="00441222"/>
    <w:rsid w:val="0044515F"/>
    <w:rsid w:val="00447475"/>
    <w:rsid w:val="00450F4A"/>
    <w:rsid w:val="00453A74"/>
    <w:rsid w:val="00454C26"/>
    <w:rsid w:val="00456500"/>
    <w:rsid w:val="004573FA"/>
    <w:rsid w:val="00463505"/>
    <w:rsid w:val="00463D60"/>
    <w:rsid w:val="00463EC8"/>
    <w:rsid w:val="004643CF"/>
    <w:rsid w:val="004644FA"/>
    <w:rsid w:val="004661A3"/>
    <w:rsid w:val="0047120C"/>
    <w:rsid w:val="0047168B"/>
    <w:rsid w:val="004717F6"/>
    <w:rsid w:val="00472171"/>
    <w:rsid w:val="00472B5F"/>
    <w:rsid w:val="004773FF"/>
    <w:rsid w:val="0048083B"/>
    <w:rsid w:val="004816A0"/>
    <w:rsid w:val="00481B33"/>
    <w:rsid w:val="00482E06"/>
    <w:rsid w:val="00487024"/>
    <w:rsid w:val="00490E63"/>
    <w:rsid w:val="00491723"/>
    <w:rsid w:val="00492725"/>
    <w:rsid w:val="00494B2F"/>
    <w:rsid w:val="00495373"/>
    <w:rsid w:val="004A0A72"/>
    <w:rsid w:val="004A0EC0"/>
    <w:rsid w:val="004A1F20"/>
    <w:rsid w:val="004A2065"/>
    <w:rsid w:val="004A3A43"/>
    <w:rsid w:val="004A4D62"/>
    <w:rsid w:val="004B0B0F"/>
    <w:rsid w:val="004B0F25"/>
    <w:rsid w:val="004B27E9"/>
    <w:rsid w:val="004B3F4F"/>
    <w:rsid w:val="004B5722"/>
    <w:rsid w:val="004B5BE2"/>
    <w:rsid w:val="004C281B"/>
    <w:rsid w:val="004C2901"/>
    <w:rsid w:val="004D1CB1"/>
    <w:rsid w:val="004D2229"/>
    <w:rsid w:val="004D2437"/>
    <w:rsid w:val="004D4AB7"/>
    <w:rsid w:val="004D63A7"/>
    <w:rsid w:val="004D6BBE"/>
    <w:rsid w:val="004E0742"/>
    <w:rsid w:val="004E0F2D"/>
    <w:rsid w:val="004E1057"/>
    <w:rsid w:val="004E2C67"/>
    <w:rsid w:val="004E33B0"/>
    <w:rsid w:val="004E45C7"/>
    <w:rsid w:val="004E51AF"/>
    <w:rsid w:val="004E583F"/>
    <w:rsid w:val="004F0569"/>
    <w:rsid w:val="004F3106"/>
    <w:rsid w:val="004F46EC"/>
    <w:rsid w:val="004F7120"/>
    <w:rsid w:val="004F727F"/>
    <w:rsid w:val="00502689"/>
    <w:rsid w:val="00502738"/>
    <w:rsid w:val="0050318E"/>
    <w:rsid w:val="0050324E"/>
    <w:rsid w:val="00503D80"/>
    <w:rsid w:val="005148C9"/>
    <w:rsid w:val="00514DF8"/>
    <w:rsid w:val="0052181C"/>
    <w:rsid w:val="00524368"/>
    <w:rsid w:val="00524C99"/>
    <w:rsid w:val="00525283"/>
    <w:rsid w:val="00525C4D"/>
    <w:rsid w:val="00530704"/>
    <w:rsid w:val="00530FCC"/>
    <w:rsid w:val="00531B2B"/>
    <w:rsid w:val="0053217F"/>
    <w:rsid w:val="005325DA"/>
    <w:rsid w:val="00532CDC"/>
    <w:rsid w:val="00536148"/>
    <w:rsid w:val="00536370"/>
    <w:rsid w:val="00536FBF"/>
    <w:rsid w:val="0053776F"/>
    <w:rsid w:val="00537953"/>
    <w:rsid w:val="00537C6F"/>
    <w:rsid w:val="00541453"/>
    <w:rsid w:val="00542224"/>
    <w:rsid w:val="00544DBC"/>
    <w:rsid w:val="00545B6F"/>
    <w:rsid w:val="005509E2"/>
    <w:rsid w:val="005518CE"/>
    <w:rsid w:val="00551C85"/>
    <w:rsid w:val="005541B8"/>
    <w:rsid w:val="00554A6E"/>
    <w:rsid w:val="005610C2"/>
    <w:rsid w:val="0056173E"/>
    <w:rsid w:val="00561E59"/>
    <w:rsid w:val="00562478"/>
    <w:rsid w:val="005709CF"/>
    <w:rsid w:val="00572441"/>
    <w:rsid w:val="005735C5"/>
    <w:rsid w:val="00575A8D"/>
    <w:rsid w:val="00575C37"/>
    <w:rsid w:val="00576DBB"/>
    <w:rsid w:val="00577758"/>
    <w:rsid w:val="0058106D"/>
    <w:rsid w:val="00590A5E"/>
    <w:rsid w:val="00590E44"/>
    <w:rsid w:val="005A03BB"/>
    <w:rsid w:val="005A08AC"/>
    <w:rsid w:val="005A0958"/>
    <w:rsid w:val="005A334D"/>
    <w:rsid w:val="005A5915"/>
    <w:rsid w:val="005A6C77"/>
    <w:rsid w:val="005A771B"/>
    <w:rsid w:val="005A7A96"/>
    <w:rsid w:val="005B6830"/>
    <w:rsid w:val="005B7E23"/>
    <w:rsid w:val="005C1ADD"/>
    <w:rsid w:val="005C3844"/>
    <w:rsid w:val="005C4335"/>
    <w:rsid w:val="005C46AD"/>
    <w:rsid w:val="005C774C"/>
    <w:rsid w:val="005D0D91"/>
    <w:rsid w:val="005D1623"/>
    <w:rsid w:val="005D2C1F"/>
    <w:rsid w:val="005D375C"/>
    <w:rsid w:val="005D5283"/>
    <w:rsid w:val="005D53BC"/>
    <w:rsid w:val="005D7D31"/>
    <w:rsid w:val="005E21AD"/>
    <w:rsid w:val="005E3863"/>
    <w:rsid w:val="005E7C67"/>
    <w:rsid w:val="005F1A6A"/>
    <w:rsid w:val="005F2551"/>
    <w:rsid w:val="005F39FC"/>
    <w:rsid w:val="005F67A1"/>
    <w:rsid w:val="0060125E"/>
    <w:rsid w:val="00601E5B"/>
    <w:rsid w:val="00604023"/>
    <w:rsid w:val="00604F15"/>
    <w:rsid w:val="0060521F"/>
    <w:rsid w:val="00611D72"/>
    <w:rsid w:val="00613AE8"/>
    <w:rsid w:val="006213E7"/>
    <w:rsid w:val="00622C67"/>
    <w:rsid w:val="00624AB5"/>
    <w:rsid w:val="00624C4C"/>
    <w:rsid w:val="00633959"/>
    <w:rsid w:val="00635DB1"/>
    <w:rsid w:val="00635F22"/>
    <w:rsid w:val="006363EC"/>
    <w:rsid w:val="00637CA3"/>
    <w:rsid w:val="00642780"/>
    <w:rsid w:val="00642859"/>
    <w:rsid w:val="00647892"/>
    <w:rsid w:val="0065423D"/>
    <w:rsid w:val="006543E6"/>
    <w:rsid w:val="0065500D"/>
    <w:rsid w:val="006556C3"/>
    <w:rsid w:val="00656CD0"/>
    <w:rsid w:val="006623BE"/>
    <w:rsid w:val="0066298F"/>
    <w:rsid w:val="0066530B"/>
    <w:rsid w:val="006660B5"/>
    <w:rsid w:val="00666559"/>
    <w:rsid w:val="00670578"/>
    <w:rsid w:val="00673043"/>
    <w:rsid w:val="00675550"/>
    <w:rsid w:val="0068048B"/>
    <w:rsid w:val="00680AC0"/>
    <w:rsid w:val="00684847"/>
    <w:rsid w:val="006873C5"/>
    <w:rsid w:val="00690708"/>
    <w:rsid w:val="006910C2"/>
    <w:rsid w:val="00691C28"/>
    <w:rsid w:val="00693134"/>
    <w:rsid w:val="006931DC"/>
    <w:rsid w:val="006A4474"/>
    <w:rsid w:val="006A474F"/>
    <w:rsid w:val="006A49AE"/>
    <w:rsid w:val="006A49CA"/>
    <w:rsid w:val="006A59BA"/>
    <w:rsid w:val="006B645E"/>
    <w:rsid w:val="006C2A44"/>
    <w:rsid w:val="006C2C48"/>
    <w:rsid w:val="006C3EC2"/>
    <w:rsid w:val="006C4096"/>
    <w:rsid w:val="006C4615"/>
    <w:rsid w:val="006C6808"/>
    <w:rsid w:val="006C787F"/>
    <w:rsid w:val="006D1409"/>
    <w:rsid w:val="006D41E7"/>
    <w:rsid w:val="006D7BC2"/>
    <w:rsid w:val="006E007E"/>
    <w:rsid w:val="006E0673"/>
    <w:rsid w:val="006E2411"/>
    <w:rsid w:val="006E24DC"/>
    <w:rsid w:val="006E7785"/>
    <w:rsid w:val="006F06ED"/>
    <w:rsid w:val="006F31E3"/>
    <w:rsid w:val="00700076"/>
    <w:rsid w:val="00700A0A"/>
    <w:rsid w:val="00701866"/>
    <w:rsid w:val="0070349A"/>
    <w:rsid w:val="0070400D"/>
    <w:rsid w:val="00704057"/>
    <w:rsid w:val="0070457C"/>
    <w:rsid w:val="00705473"/>
    <w:rsid w:val="00706307"/>
    <w:rsid w:val="00706819"/>
    <w:rsid w:val="0070705F"/>
    <w:rsid w:val="00707B3D"/>
    <w:rsid w:val="007104D7"/>
    <w:rsid w:val="00710EE1"/>
    <w:rsid w:val="007121AD"/>
    <w:rsid w:val="007135AE"/>
    <w:rsid w:val="0071557C"/>
    <w:rsid w:val="00725BCD"/>
    <w:rsid w:val="007329B3"/>
    <w:rsid w:val="00732A4D"/>
    <w:rsid w:val="00735115"/>
    <w:rsid w:val="0073558F"/>
    <w:rsid w:val="007412C4"/>
    <w:rsid w:val="00742CCB"/>
    <w:rsid w:val="0074552C"/>
    <w:rsid w:val="007473B5"/>
    <w:rsid w:val="007536E0"/>
    <w:rsid w:val="007537CA"/>
    <w:rsid w:val="00754EA5"/>
    <w:rsid w:val="00755022"/>
    <w:rsid w:val="007558CE"/>
    <w:rsid w:val="00755E53"/>
    <w:rsid w:val="007565F1"/>
    <w:rsid w:val="007601C0"/>
    <w:rsid w:val="00760C3B"/>
    <w:rsid w:val="00761016"/>
    <w:rsid w:val="00765200"/>
    <w:rsid w:val="0076526E"/>
    <w:rsid w:val="00766967"/>
    <w:rsid w:val="00767394"/>
    <w:rsid w:val="007710FA"/>
    <w:rsid w:val="0077228B"/>
    <w:rsid w:val="00775C38"/>
    <w:rsid w:val="00780F8E"/>
    <w:rsid w:val="0078107D"/>
    <w:rsid w:val="0078109D"/>
    <w:rsid w:val="00786A16"/>
    <w:rsid w:val="007870EE"/>
    <w:rsid w:val="0079136F"/>
    <w:rsid w:val="00793864"/>
    <w:rsid w:val="00794520"/>
    <w:rsid w:val="007962BC"/>
    <w:rsid w:val="00797B6B"/>
    <w:rsid w:val="007A056B"/>
    <w:rsid w:val="007A2B23"/>
    <w:rsid w:val="007A3428"/>
    <w:rsid w:val="007A40EF"/>
    <w:rsid w:val="007A5028"/>
    <w:rsid w:val="007A6A98"/>
    <w:rsid w:val="007A7866"/>
    <w:rsid w:val="007B0715"/>
    <w:rsid w:val="007B1C59"/>
    <w:rsid w:val="007B1E3E"/>
    <w:rsid w:val="007B277A"/>
    <w:rsid w:val="007B2948"/>
    <w:rsid w:val="007B499A"/>
    <w:rsid w:val="007B5047"/>
    <w:rsid w:val="007B7E14"/>
    <w:rsid w:val="007C4A22"/>
    <w:rsid w:val="007D07C4"/>
    <w:rsid w:val="007D1B09"/>
    <w:rsid w:val="007D7298"/>
    <w:rsid w:val="007E1963"/>
    <w:rsid w:val="007E1F2B"/>
    <w:rsid w:val="007E2E28"/>
    <w:rsid w:val="007E70CA"/>
    <w:rsid w:val="007E7121"/>
    <w:rsid w:val="007E756E"/>
    <w:rsid w:val="007F1088"/>
    <w:rsid w:val="007F1AC7"/>
    <w:rsid w:val="007F3297"/>
    <w:rsid w:val="007F46BF"/>
    <w:rsid w:val="008014D7"/>
    <w:rsid w:val="00801521"/>
    <w:rsid w:val="00802CC0"/>
    <w:rsid w:val="00804158"/>
    <w:rsid w:val="0080498E"/>
    <w:rsid w:val="00806312"/>
    <w:rsid w:val="008070F8"/>
    <w:rsid w:val="00807BFB"/>
    <w:rsid w:val="00811E43"/>
    <w:rsid w:val="00812488"/>
    <w:rsid w:val="00814D12"/>
    <w:rsid w:val="00822474"/>
    <w:rsid w:val="0082303F"/>
    <w:rsid w:val="008243D7"/>
    <w:rsid w:val="00824673"/>
    <w:rsid w:val="00826487"/>
    <w:rsid w:val="00827A59"/>
    <w:rsid w:val="008305A0"/>
    <w:rsid w:val="0083110D"/>
    <w:rsid w:val="00832178"/>
    <w:rsid w:val="00834D4E"/>
    <w:rsid w:val="00835428"/>
    <w:rsid w:val="008369F2"/>
    <w:rsid w:val="0084029B"/>
    <w:rsid w:val="00840EAD"/>
    <w:rsid w:val="0084216D"/>
    <w:rsid w:val="00847A64"/>
    <w:rsid w:val="00850E57"/>
    <w:rsid w:val="00851A97"/>
    <w:rsid w:val="008537F6"/>
    <w:rsid w:val="0085534E"/>
    <w:rsid w:val="00864934"/>
    <w:rsid w:val="00867A32"/>
    <w:rsid w:val="008710D3"/>
    <w:rsid w:val="00872109"/>
    <w:rsid w:val="00872345"/>
    <w:rsid w:val="00872825"/>
    <w:rsid w:val="00873517"/>
    <w:rsid w:val="008762B7"/>
    <w:rsid w:val="00877C67"/>
    <w:rsid w:val="008813D3"/>
    <w:rsid w:val="00883F2A"/>
    <w:rsid w:val="0088530C"/>
    <w:rsid w:val="0088545F"/>
    <w:rsid w:val="00887BC4"/>
    <w:rsid w:val="00893AB4"/>
    <w:rsid w:val="0089494D"/>
    <w:rsid w:val="00894F25"/>
    <w:rsid w:val="008973A1"/>
    <w:rsid w:val="00897BC1"/>
    <w:rsid w:val="008A0309"/>
    <w:rsid w:val="008A118B"/>
    <w:rsid w:val="008A183B"/>
    <w:rsid w:val="008A5F26"/>
    <w:rsid w:val="008A6DA5"/>
    <w:rsid w:val="008A7D28"/>
    <w:rsid w:val="008B03AF"/>
    <w:rsid w:val="008B05FE"/>
    <w:rsid w:val="008B0773"/>
    <w:rsid w:val="008B1A41"/>
    <w:rsid w:val="008B3FB5"/>
    <w:rsid w:val="008B46C1"/>
    <w:rsid w:val="008C02CF"/>
    <w:rsid w:val="008C12E9"/>
    <w:rsid w:val="008C6857"/>
    <w:rsid w:val="008C778C"/>
    <w:rsid w:val="008C77C1"/>
    <w:rsid w:val="008C7EF3"/>
    <w:rsid w:val="008D4269"/>
    <w:rsid w:val="008D47EF"/>
    <w:rsid w:val="008D5C57"/>
    <w:rsid w:val="008D7018"/>
    <w:rsid w:val="008E14FF"/>
    <w:rsid w:val="008E23BA"/>
    <w:rsid w:val="008E2756"/>
    <w:rsid w:val="008E30FD"/>
    <w:rsid w:val="008E3163"/>
    <w:rsid w:val="008E4CA5"/>
    <w:rsid w:val="008E5A00"/>
    <w:rsid w:val="008F5AFC"/>
    <w:rsid w:val="0090022A"/>
    <w:rsid w:val="00900D59"/>
    <w:rsid w:val="009026C8"/>
    <w:rsid w:val="00903D7F"/>
    <w:rsid w:val="00904F19"/>
    <w:rsid w:val="00905356"/>
    <w:rsid w:val="0090660E"/>
    <w:rsid w:val="00906C5A"/>
    <w:rsid w:val="00911232"/>
    <w:rsid w:val="00911815"/>
    <w:rsid w:val="00917622"/>
    <w:rsid w:val="00920FCB"/>
    <w:rsid w:val="00923CFF"/>
    <w:rsid w:val="009248F7"/>
    <w:rsid w:val="009301B3"/>
    <w:rsid w:val="00930B88"/>
    <w:rsid w:val="0093136B"/>
    <w:rsid w:val="00931A5D"/>
    <w:rsid w:val="00932168"/>
    <w:rsid w:val="00933137"/>
    <w:rsid w:val="0094041E"/>
    <w:rsid w:val="0094128C"/>
    <w:rsid w:val="00941326"/>
    <w:rsid w:val="009415F7"/>
    <w:rsid w:val="0094217C"/>
    <w:rsid w:val="00947761"/>
    <w:rsid w:val="00952F81"/>
    <w:rsid w:val="00953DA4"/>
    <w:rsid w:val="009552FE"/>
    <w:rsid w:val="009569AA"/>
    <w:rsid w:val="00956A9A"/>
    <w:rsid w:val="00962BFE"/>
    <w:rsid w:val="0096308F"/>
    <w:rsid w:val="00963814"/>
    <w:rsid w:val="0096556E"/>
    <w:rsid w:val="00966EC2"/>
    <w:rsid w:val="00974D73"/>
    <w:rsid w:val="00976719"/>
    <w:rsid w:val="00983375"/>
    <w:rsid w:val="00983545"/>
    <w:rsid w:val="00983708"/>
    <w:rsid w:val="00985032"/>
    <w:rsid w:val="0098702D"/>
    <w:rsid w:val="00993B1A"/>
    <w:rsid w:val="00994A71"/>
    <w:rsid w:val="009A2ED7"/>
    <w:rsid w:val="009A3FF1"/>
    <w:rsid w:val="009A4944"/>
    <w:rsid w:val="009A4CF9"/>
    <w:rsid w:val="009A7B22"/>
    <w:rsid w:val="009A7B40"/>
    <w:rsid w:val="009B2D47"/>
    <w:rsid w:val="009B37DD"/>
    <w:rsid w:val="009B6B0F"/>
    <w:rsid w:val="009B75A1"/>
    <w:rsid w:val="009C2930"/>
    <w:rsid w:val="009C30D2"/>
    <w:rsid w:val="009C386E"/>
    <w:rsid w:val="009C3B5D"/>
    <w:rsid w:val="009C4B2C"/>
    <w:rsid w:val="009C538E"/>
    <w:rsid w:val="009D62A8"/>
    <w:rsid w:val="009E007E"/>
    <w:rsid w:val="009E2FA5"/>
    <w:rsid w:val="009E5959"/>
    <w:rsid w:val="009E5F08"/>
    <w:rsid w:val="009E74A0"/>
    <w:rsid w:val="009E7799"/>
    <w:rsid w:val="009F0438"/>
    <w:rsid w:val="009F3525"/>
    <w:rsid w:val="009F6716"/>
    <w:rsid w:val="009F7DE4"/>
    <w:rsid w:val="00A007D0"/>
    <w:rsid w:val="00A03112"/>
    <w:rsid w:val="00A06CBC"/>
    <w:rsid w:val="00A06E8B"/>
    <w:rsid w:val="00A0739E"/>
    <w:rsid w:val="00A07418"/>
    <w:rsid w:val="00A075E5"/>
    <w:rsid w:val="00A07D41"/>
    <w:rsid w:val="00A11084"/>
    <w:rsid w:val="00A11A90"/>
    <w:rsid w:val="00A137C1"/>
    <w:rsid w:val="00A16690"/>
    <w:rsid w:val="00A16D2B"/>
    <w:rsid w:val="00A171CE"/>
    <w:rsid w:val="00A17979"/>
    <w:rsid w:val="00A17FCD"/>
    <w:rsid w:val="00A24834"/>
    <w:rsid w:val="00A3049A"/>
    <w:rsid w:val="00A310B4"/>
    <w:rsid w:val="00A350BE"/>
    <w:rsid w:val="00A37456"/>
    <w:rsid w:val="00A4167A"/>
    <w:rsid w:val="00A420DA"/>
    <w:rsid w:val="00A431BB"/>
    <w:rsid w:val="00A437A4"/>
    <w:rsid w:val="00A458D5"/>
    <w:rsid w:val="00A53CD3"/>
    <w:rsid w:val="00A549F7"/>
    <w:rsid w:val="00A54BBE"/>
    <w:rsid w:val="00A56CA8"/>
    <w:rsid w:val="00A57DC9"/>
    <w:rsid w:val="00A60228"/>
    <w:rsid w:val="00A6117F"/>
    <w:rsid w:val="00A63135"/>
    <w:rsid w:val="00A63304"/>
    <w:rsid w:val="00A63C4D"/>
    <w:rsid w:val="00A63CD4"/>
    <w:rsid w:val="00A70CC2"/>
    <w:rsid w:val="00A715E5"/>
    <w:rsid w:val="00A73532"/>
    <w:rsid w:val="00A74EDA"/>
    <w:rsid w:val="00A75F11"/>
    <w:rsid w:val="00A761EE"/>
    <w:rsid w:val="00A768D5"/>
    <w:rsid w:val="00A81F44"/>
    <w:rsid w:val="00A83835"/>
    <w:rsid w:val="00A85DC6"/>
    <w:rsid w:val="00A919EA"/>
    <w:rsid w:val="00A91F23"/>
    <w:rsid w:val="00A94A96"/>
    <w:rsid w:val="00A95740"/>
    <w:rsid w:val="00A9597F"/>
    <w:rsid w:val="00A95FA5"/>
    <w:rsid w:val="00A97486"/>
    <w:rsid w:val="00AA2258"/>
    <w:rsid w:val="00AA4343"/>
    <w:rsid w:val="00AA4741"/>
    <w:rsid w:val="00AA4DB4"/>
    <w:rsid w:val="00AA6389"/>
    <w:rsid w:val="00AA707A"/>
    <w:rsid w:val="00AB3032"/>
    <w:rsid w:val="00AC49EE"/>
    <w:rsid w:val="00AC4FA2"/>
    <w:rsid w:val="00AC6098"/>
    <w:rsid w:val="00AD443C"/>
    <w:rsid w:val="00AE179D"/>
    <w:rsid w:val="00AE481E"/>
    <w:rsid w:val="00AE7996"/>
    <w:rsid w:val="00AE7E04"/>
    <w:rsid w:val="00AF0044"/>
    <w:rsid w:val="00AF30CF"/>
    <w:rsid w:val="00AF4364"/>
    <w:rsid w:val="00AF4725"/>
    <w:rsid w:val="00AF4FBA"/>
    <w:rsid w:val="00AF70E9"/>
    <w:rsid w:val="00AF7878"/>
    <w:rsid w:val="00B016E8"/>
    <w:rsid w:val="00B01CB8"/>
    <w:rsid w:val="00B02347"/>
    <w:rsid w:val="00B023B9"/>
    <w:rsid w:val="00B02A59"/>
    <w:rsid w:val="00B02B8F"/>
    <w:rsid w:val="00B065E3"/>
    <w:rsid w:val="00B10CE9"/>
    <w:rsid w:val="00B10E19"/>
    <w:rsid w:val="00B11411"/>
    <w:rsid w:val="00B12066"/>
    <w:rsid w:val="00B158A2"/>
    <w:rsid w:val="00B15D1B"/>
    <w:rsid w:val="00B1646C"/>
    <w:rsid w:val="00B20FDB"/>
    <w:rsid w:val="00B211E4"/>
    <w:rsid w:val="00B21760"/>
    <w:rsid w:val="00B226D6"/>
    <w:rsid w:val="00B22A27"/>
    <w:rsid w:val="00B25225"/>
    <w:rsid w:val="00B260B8"/>
    <w:rsid w:val="00B2694C"/>
    <w:rsid w:val="00B27434"/>
    <w:rsid w:val="00B3167C"/>
    <w:rsid w:val="00B318EB"/>
    <w:rsid w:val="00B31974"/>
    <w:rsid w:val="00B32EBF"/>
    <w:rsid w:val="00B35790"/>
    <w:rsid w:val="00B35D8A"/>
    <w:rsid w:val="00B37E97"/>
    <w:rsid w:val="00B4092E"/>
    <w:rsid w:val="00B4319D"/>
    <w:rsid w:val="00B4320C"/>
    <w:rsid w:val="00B447A6"/>
    <w:rsid w:val="00B458FE"/>
    <w:rsid w:val="00B50D99"/>
    <w:rsid w:val="00B5148F"/>
    <w:rsid w:val="00B51D70"/>
    <w:rsid w:val="00B52B1F"/>
    <w:rsid w:val="00B55C6D"/>
    <w:rsid w:val="00B65BA4"/>
    <w:rsid w:val="00B66173"/>
    <w:rsid w:val="00B66644"/>
    <w:rsid w:val="00B702B6"/>
    <w:rsid w:val="00B735D0"/>
    <w:rsid w:val="00B752DC"/>
    <w:rsid w:val="00B76492"/>
    <w:rsid w:val="00B81B39"/>
    <w:rsid w:val="00B81B44"/>
    <w:rsid w:val="00B8229C"/>
    <w:rsid w:val="00B822B1"/>
    <w:rsid w:val="00B82FC0"/>
    <w:rsid w:val="00B83925"/>
    <w:rsid w:val="00B858F9"/>
    <w:rsid w:val="00B859A1"/>
    <w:rsid w:val="00B85E4B"/>
    <w:rsid w:val="00B86923"/>
    <w:rsid w:val="00B9344D"/>
    <w:rsid w:val="00B9448B"/>
    <w:rsid w:val="00B9567B"/>
    <w:rsid w:val="00B95858"/>
    <w:rsid w:val="00B97376"/>
    <w:rsid w:val="00BA0099"/>
    <w:rsid w:val="00BA055A"/>
    <w:rsid w:val="00BA2892"/>
    <w:rsid w:val="00BA3215"/>
    <w:rsid w:val="00BA5737"/>
    <w:rsid w:val="00BA5FFF"/>
    <w:rsid w:val="00BB03F1"/>
    <w:rsid w:val="00BB48C3"/>
    <w:rsid w:val="00BB5104"/>
    <w:rsid w:val="00BB6D75"/>
    <w:rsid w:val="00BC0EE5"/>
    <w:rsid w:val="00BC4008"/>
    <w:rsid w:val="00BC447F"/>
    <w:rsid w:val="00BC45E1"/>
    <w:rsid w:val="00BD0C93"/>
    <w:rsid w:val="00BD2881"/>
    <w:rsid w:val="00BD29A2"/>
    <w:rsid w:val="00BD33D4"/>
    <w:rsid w:val="00BD384A"/>
    <w:rsid w:val="00BD68A9"/>
    <w:rsid w:val="00BD74EB"/>
    <w:rsid w:val="00BE17B5"/>
    <w:rsid w:val="00BE332E"/>
    <w:rsid w:val="00BE4104"/>
    <w:rsid w:val="00BE5DD4"/>
    <w:rsid w:val="00BF1579"/>
    <w:rsid w:val="00BF2224"/>
    <w:rsid w:val="00BF2903"/>
    <w:rsid w:val="00BF2994"/>
    <w:rsid w:val="00BF2C04"/>
    <w:rsid w:val="00BF534D"/>
    <w:rsid w:val="00BF63B3"/>
    <w:rsid w:val="00BF7C96"/>
    <w:rsid w:val="00C00303"/>
    <w:rsid w:val="00C04C71"/>
    <w:rsid w:val="00C04E78"/>
    <w:rsid w:val="00C058E5"/>
    <w:rsid w:val="00C06BD6"/>
    <w:rsid w:val="00C10E93"/>
    <w:rsid w:val="00C1286D"/>
    <w:rsid w:val="00C145EB"/>
    <w:rsid w:val="00C148DC"/>
    <w:rsid w:val="00C15050"/>
    <w:rsid w:val="00C156CD"/>
    <w:rsid w:val="00C1723C"/>
    <w:rsid w:val="00C20271"/>
    <w:rsid w:val="00C20361"/>
    <w:rsid w:val="00C2083F"/>
    <w:rsid w:val="00C21544"/>
    <w:rsid w:val="00C25AD3"/>
    <w:rsid w:val="00C266A0"/>
    <w:rsid w:val="00C2701B"/>
    <w:rsid w:val="00C317C1"/>
    <w:rsid w:val="00C32221"/>
    <w:rsid w:val="00C356E1"/>
    <w:rsid w:val="00C36211"/>
    <w:rsid w:val="00C36663"/>
    <w:rsid w:val="00C411A9"/>
    <w:rsid w:val="00C414AA"/>
    <w:rsid w:val="00C47340"/>
    <w:rsid w:val="00C47680"/>
    <w:rsid w:val="00C51C19"/>
    <w:rsid w:val="00C52B4A"/>
    <w:rsid w:val="00C5524B"/>
    <w:rsid w:val="00C555C3"/>
    <w:rsid w:val="00C562F7"/>
    <w:rsid w:val="00C60392"/>
    <w:rsid w:val="00C60F38"/>
    <w:rsid w:val="00C6164D"/>
    <w:rsid w:val="00C64D91"/>
    <w:rsid w:val="00C6588A"/>
    <w:rsid w:val="00C66A70"/>
    <w:rsid w:val="00C701CF"/>
    <w:rsid w:val="00C74F43"/>
    <w:rsid w:val="00C750E4"/>
    <w:rsid w:val="00C76B56"/>
    <w:rsid w:val="00C816DD"/>
    <w:rsid w:val="00C82238"/>
    <w:rsid w:val="00C85580"/>
    <w:rsid w:val="00C85B2A"/>
    <w:rsid w:val="00C8717D"/>
    <w:rsid w:val="00C879D8"/>
    <w:rsid w:val="00C87B14"/>
    <w:rsid w:val="00C90414"/>
    <w:rsid w:val="00C95A5B"/>
    <w:rsid w:val="00C96690"/>
    <w:rsid w:val="00C9703A"/>
    <w:rsid w:val="00CA1B77"/>
    <w:rsid w:val="00CA4F36"/>
    <w:rsid w:val="00CA5AE9"/>
    <w:rsid w:val="00CA7056"/>
    <w:rsid w:val="00CB136A"/>
    <w:rsid w:val="00CB1D9F"/>
    <w:rsid w:val="00CB208E"/>
    <w:rsid w:val="00CB2568"/>
    <w:rsid w:val="00CB2F86"/>
    <w:rsid w:val="00CB5867"/>
    <w:rsid w:val="00CB752B"/>
    <w:rsid w:val="00CC18BA"/>
    <w:rsid w:val="00CC2A4E"/>
    <w:rsid w:val="00CC3366"/>
    <w:rsid w:val="00CC5048"/>
    <w:rsid w:val="00CC5D83"/>
    <w:rsid w:val="00CC6CE9"/>
    <w:rsid w:val="00CD0CB6"/>
    <w:rsid w:val="00CD0F57"/>
    <w:rsid w:val="00CD30BA"/>
    <w:rsid w:val="00CD47D4"/>
    <w:rsid w:val="00CD65A0"/>
    <w:rsid w:val="00CE010D"/>
    <w:rsid w:val="00CE0641"/>
    <w:rsid w:val="00CE2C54"/>
    <w:rsid w:val="00CE4AF4"/>
    <w:rsid w:val="00CF0AF7"/>
    <w:rsid w:val="00CF25AB"/>
    <w:rsid w:val="00CF2AED"/>
    <w:rsid w:val="00CF2CF1"/>
    <w:rsid w:val="00CF407A"/>
    <w:rsid w:val="00CF7083"/>
    <w:rsid w:val="00CF7FF1"/>
    <w:rsid w:val="00D03D31"/>
    <w:rsid w:val="00D045B6"/>
    <w:rsid w:val="00D054BA"/>
    <w:rsid w:val="00D13677"/>
    <w:rsid w:val="00D14B70"/>
    <w:rsid w:val="00D14F48"/>
    <w:rsid w:val="00D1666F"/>
    <w:rsid w:val="00D2600F"/>
    <w:rsid w:val="00D26AE0"/>
    <w:rsid w:val="00D2703E"/>
    <w:rsid w:val="00D30E5D"/>
    <w:rsid w:val="00D31BC6"/>
    <w:rsid w:val="00D32153"/>
    <w:rsid w:val="00D348D5"/>
    <w:rsid w:val="00D40A0A"/>
    <w:rsid w:val="00D4110E"/>
    <w:rsid w:val="00D41B7A"/>
    <w:rsid w:val="00D431A7"/>
    <w:rsid w:val="00D44700"/>
    <w:rsid w:val="00D44748"/>
    <w:rsid w:val="00D44999"/>
    <w:rsid w:val="00D44BA8"/>
    <w:rsid w:val="00D45031"/>
    <w:rsid w:val="00D45B67"/>
    <w:rsid w:val="00D462A5"/>
    <w:rsid w:val="00D46D54"/>
    <w:rsid w:val="00D50E18"/>
    <w:rsid w:val="00D538BD"/>
    <w:rsid w:val="00D63793"/>
    <w:rsid w:val="00D645FF"/>
    <w:rsid w:val="00D64681"/>
    <w:rsid w:val="00D70532"/>
    <w:rsid w:val="00D74082"/>
    <w:rsid w:val="00D743A6"/>
    <w:rsid w:val="00D76455"/>
    <w:rsid w:val="00D8637E"/>
    <w:rsid w:val="00D90775"/>
    <w:rsid w:val="00D914BC"/>
    <w:rsid w:val="00D91892"/>
    <w:rsid w:val="00D94D73"/>
    <w:rsid w:val="00D95521"/>
    <w:rsid w:val="00D96549"/>
    <w:rsid w:val="00DA1FAC"/>
    <w:rsid w:val="00DA440D"/>
    <w:rsid w:val="00DA60EE"/>
    <w:rsid w:val="00DA710E"/>
    <w:rsid w:val="00DB25B8"/>
    <w:rsid w:val="00DB3623"/>
    <w:rsid w:val="00DB5B5E"/>
    <w:rsid w:val="00DC1BF2"/>
    <w:rsid w:val="00DC45AE"/>
    <w:rsid w:val="00DC59B9"/>
    <w:rsid w:val="00DC7602"/>
    <w:rsid w:val="00DC7672"/>
    <w:rsid w:val="00DD0371"/>
    <w:rsid w:val="00DD0521"/>
    <w:rsid w:val="00DD1C09"/>
    <w:rsid w:val="00DD2521"/>
    <w:rsid w:val="00DD26FC"/>
    <w:rsid w:val="00DD271D"/>
    <w:rsid w:val="00DD335B"/>
    <w:rsid w:val="00DD40A0"/>
    <w:rsid w:val="00DD5E88"/>
    <w:rsid w:val="00DD752B"/>
    <w:rsid w:val="00DE3B0D"/>
    <w:rsid w:val="00DE6220"/>
    <w:rsid w:val="00DE78D5"/>
    <w:rsid w:val="00DF0821"/>
    <w:rsid w:val="00DF4983"/>
    <w:rsid w:val="00DF6C05"/>
    <w:rsid w:val="00DF7120"/>
    <w:rsid w:val="00DF72FE"/>
    <w:rsid w:val="00E00206"/>
    <w:rsid w:val="00E02DB1"/>
    <w:rsid w:val="00E02DF3"/>
    <w:rsid w:val="00E03BA4"/>
    <w:rsid w:val="00E065FE"/>
    <w:rsid w:val="00E07906"/>
    <w:rsid w:val="00E106CB"/>
    <w:rsid w:val="00E12B6F"/>
    <w:rsid w:val="00E131E5"/>
    <w:rsid w:val="00E146C2"/>
    <w:rsid w:val="00E15C32"/>
    <w:rsid w:val="00E17BDD"/>
    <w:rsid w:val="00E252FB"/>
    <w:rsid w:val="00E25572"/>
    <w:rsid w:val="00E317B6"/>
    <w:rsid w:val="00E326EB"/>
    <w:rsid w:val="00E32D05"/>
    <w:rsid w:val="00E33032"/>
    <w:rsid w:val="00E337EA"/>
    <w:rsid w:val="00E40D25"/>
    <w:rsid w:val="00E42B46"/>
    <w:rsid w:val="00E43343"/>
    <w:rsid w:val="00E4334E"/>
    <w:rsid w:val="00E43774"/>
    <w:rsid w:val="00E43DA2"/>
    <w:rsid w:val="00E52A0D"/>
    <w:rsid w:val="00E54F36"/>
    <w:rsid w:val="00E56BF1"/>
    <w:rsid w:val="00E60076"/>
    <w:rsid w:val="00E60BAA"/>
    <w:rsid w:val="00E61224"/>
    <w:rsid w:val="00E61F0A"/>
    <w:rsid w:val="00E62007"/>
    <w:rsid w:val="00E63A66"/>
    <w:rsid w:val="00E63EA6"/>
    <w:rsid w:val="00E65320"/>
    <w:rsid w:val="00E671E7"/>
    <w:rsid w:val="00E71A7D"/>
    <w:rsid w:val="00E73299"/>
    <w:rsid w:val="00E73EFA"/>
    <w:rsid w:val="00E764D0"/>
    <w:rsid w:val="00E83D60"/>
    <w:rsid w:val="00E83ED5"/>
    <w:rsid w:val="00E86CD6"/>
    <w:rsid w:val="00E90673"/>
    <w:rsid w:val="00E9690A"/>
    <w:rsid w:val="00EA2E7E"/>
    <w:rsid w:val="00EA3D88"/>
    <w:rsid w:val="00EA65AD"/>
    <w:rsid w:val="00EA6D54"/>
    <w:rsid w:val="00EB2119"/>
    <w:rsid w:val="00EB2973"/>
    <w:rsid w:val="00EB4964"/>
    <w:rsid w:val="00EB5928"/>
    <w:rsid w:val="00EB79AD"/>
    <w:rsid w:val="00EC14FA"/>
    <w:rsid w:val="00EC2DB3"/>
    <w:rsid w:val="00EC4081"/>
    <w:rsid w:val="00EC466D"/>
    <w:rsid w:val="00EC7567"/>
    <w:rsid w:val="00ED073C"/>
    <w:rsid w:val="00ED0B75"/>
    <w:rsid w:val="00ED3C6F"/>
    <w:rsid w:val="00ED3C72"/>
    <w:rsid w:val="00ED50D9"/>
    <w:rsid w:val="00ED592C"/>
    <w:rsid w:val="00ED7104"/>
    <w:rsid w:val="00EE007B"/>
    <w:rsid w:val="00EE1302"/>
    <w:rsid w:val="00EE2D84"/>
    <w:rsid w:val="00EE37E5"/>
    <w:rsid w:val="00EE39A8"/>
    <w:rsid w:val="00EE3A16"/>
    <w:rsid w:val="00EE4FBA"/>
    <w:rsid w:val="00EE6C08"/>
    <w:rsid w:val="00EF09B0"/>
    <w:rsid w:val="00EF116E"/>
    <w:rsid w:val="00EF4E64"/>
    <w:rsid w:val="00EF67BB"/>
    <w:rsid w:val="00EF733E"/>
    <w:rsid w:val="00F03327"/>
    <w:rsid w:val="00F05560"/>
    <w:rsid w:val="00F05DD1"/>
    <w:rsid w:val="00F0618C"/>
    <w:rsid w:val="00F06EC5"/>
    <w:rsid w:val="00F116E1"/>
    <w:rsid w:val="00F117C8"/>
    <w:rsid w:val="00F14334"/>
    <w:rsid w:val="00F164E7"/>
    <w:rsid w:val="00F1652C"/>
    <w:rsid w:val="00F16C9B"/>
    <w:rsid w:val="00F21FFB"/>
    <w:rsid w:val="00F2215F"/>
    <w:rsid w:val="00F230F9"/>
    <w:rsid w:val="00F24C5E"/>
    <w:rsid w:val="00F261C6"/>
    <w:rsid w:val="00F267DE"/>
    <w:rsid w:val="00F3142C"/>
    <w:rsid w:val="00F32785"/>
    <w:rsid w:val="00F40454"/>
    <w:rsid w:val="00F4347F"/>
    <w:rsid w:val="00F4753A"/>
    <w:rsid w:val="00F47DE8"/>
    <w:rsid w:val="00F5096C"/>
    <w:rsid w:val="00F5444D"/>
    <w:rsid w:val="00F551C7"/>
    <w:rsid w:val="00F57459"/>
    <w:rsid w:val="00F642C0"/>
    <w:rsid w:val="00F64A62"/>
    <w:rsid w:val="00F66F24"/>
    <w:rsid w:val="00F70FF6"/>
    <w:rsid w:val="00F71629"/>
    <w:rsid w:val="00F72140"/>
    <w:rsid w:val="00F76181"/>
    <w:rsid w:val="00F805CE"/>
    <w:rsid w:val="00F809A2"/>
    <w:rsid w:val="00F829CA"/>
    <w:rsid w:val="00F82FE4"/>
    <w:rsid w:val="00F837F7"/>
    <w:rsid w:val="00F84822"/>
    <w:rsid w:val="00F9407F"/>
    <w:rsid w:val="00F949D3"/>
    <w:rsid w:val="00F96067"/>
    <w:rsid w:val="00F96FC0"/>
    <w:rsid w:val="00FA1159"/>
    <w:rsid w:val="00FA4E82"/>
    <w:rsid w:val="00FA6D0D"/>
    <w:rsid w:val="00FA76E0"/>
    <w:rsid w:val="00FA7B35"/>
    <w:rsid w:val="00FB0225"/>
    <w:rsid w:val="00FB02B8"/>
    <w:rsid w:val="00FB092E"/>
    <w:rsid w:val="00FB4860"/>
    <w:rsid w:val="00FB4E0E"/>
    <w:rsid w:val="00FB5F5E"/>
    <w:rsid w:val="00FB6D12"/>
    <w:rsid w:val="00FC1FC7"/>
    <w:rsid w:val="00FC62C2"/>
    <w:rsid w:val="00FC72C4"/>
    <w:rsid w:val="00FC75AD"/>
    <w:rsid w:val="00FD2733"/>
    <w:rsid w:val="00FD47D3"/>
    <w:rsid w:val="00FD49AB"/>
    <w:rsid w:val="00FD6F64"/>
    <w:rsid w:val="00FD7173"/>
    <w:rsid w:val="00FE0051"/>
    <w:rsid w:val="00FE2438"/>
    <w:rsid w:val="00FE51F2"/>
    <w:rsid w:val="00FF026C"/>
    <w:rsid w:val="00FF0ED9"/>
    <w:rsid w:val="00FF30B1"/>
    <w:rsid w:val="00FF39AC"/>
    <w:rsid w:val="00FF3B5C"/>
    <w:rsid w:val="00FF4B8A"/>
    <w:rsid w:val="00FF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CBDE380-A0C8-46B7-9D98-8A05EC46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28E"/>
    <w:rPr>
      <w:sz w:val="24"/>
      <w:szCs w:val="24"/>
    </w:rPr>
  </w:style>
  <w:style w:type="paragraph" w:styleId="Heading1">
    <w:name w:val="heading 1"/>
    <w:basedOn w:val="Normal"/>
    <w:next w:val="Normal"/>
    <w:link w:val="Heading1Char"/>
    <w:qFormat/>
    <w:rsid w:val="001348A6"/>
    <w:pPr>
      <w:keepNext/>
      <w:keepLines/>
      <w:spacing w:before="480" w:line="276" w:lineRule="auto"/>
      <w:ind w:left="432" w:hanging="432"/>
      <w:outlineLvl w:val="0"/>
    </w:pPr>
    <w:rPr>
      <w:rFonts w:ascii="Cambria" w:eastAsia="Calibri" w:hAnsi="Cambria"/>
      <w:b/>
      <w:bCs/>
      <w:color w:val="365F91"/>
      <w:sz w:val="28"/>
      <w:szCs w:val="28"/>
      <w:lang w:val="x-none" w:eastAsia="x-none"/>
    </w:rPr>
  </w:style>
  <w:style w:type="paragraph" w:styleId="Heading2">
    <w:name w:val="heading 2"/>
    <w:basedOn w:val="Normal"/>
    <w:next w:val="Normal"/>
    <w:qFormat/>
    <w:rsid w:val="001348A6"/>
    <w:pPr>
      <w:keepNext/>
      <w:keepLines/>
      <w:spacing w:before="200" w:line="276" w:lineRule="auto"/>
      <w:ind w:left="576" w:hanging="576"/>
      <w:outlineLvl w:val="1"/>
    </w:pPr>
    <w:rPr>
      <w:rFonts w:ascii="Cambria" w:eastAsia="Calibri" w:hAnsi="Cambria"/>
      <w:b/>
      <w:bCs/>
      <w:color w:val="4F81BD"/>
      <w:sz w:val="26"/>
      <w:szCs w:val="26"/>
      <w:lang w:val="x-none" w:eastAsia="x-none"/>
    </w:rPr>
  </w:style>
  <w:style w:type="paragraph" w:styleId="Heading3">
    <w:name w:val="heading 3"/>
    <w:basedOn w:val="Normal"/>
    <w:next w:val="Normal"/>
    <w:qFormat/>
    <w:rsid w:val="001348A6"/>
    <w:pPr>
      <w:keepNext/>
      <w:keepLines/>
      <w:spacing w:before="200" w:line="276" w:lineRule="auto"/>
      <w:ind w:left="720" w:hanging="720"/>
      <w:outlineLvl w:val="2"/>
    </w:pPr>
    <w:rPr>
      <w:rFonts w:ascii="Cambria" w:eastAsia="Calibri" w:hAnsi="Cambria"/>
      <w:b/>
      <w:bCs/>
      <w:color w:val="4F81BD"/>
      <w:sz w:val="22"/>
      <w:szCs w:val="22"/>
      <w:lang w:val="x-none" w:eastAsia="x-none"/>
    </w:rPr>
  </w:style>
  <w:style w:type="paragraph" w:styleId="Heading4">
    <w:name w:val="heading 4"/>
    <w:basedOn w:val="Normal"/>
    <w:next w:val="Normal"/>
    <w:link w:val="Heading4Char"/>
    <w:qFormat/>
    <w:rsid w:val="005735C5"/>
    <w:pPr>
      <w:keepNext/>
      <w:spacing w:before="240" w:after="60"/>
      <w:outlineLvl w:val="3"/>
    </w:pPr>
    <w:rPr>
      <w:b/>
      <w:bCs/>
      <w:sz w:val="28"/>
      <w:szCs w:val="28"/>
    </w:rPr>
  </w:style>
  <w:style w:type="paragraph" w:styleId="Heading5">
    <w:name w:val="heading 5"/>
    <w:basedOn w:val="Normal"/>
    <w:next w:val="Normal"/>
    <w:qFormat/>
    <w:rsid w:val="001348A6"/>
    <w:pPr>
      <w:keepNext/>
      <w:keepLines/>
      <w:spacing w:before="200" w:line="276" w:lineRule="auto"/>
      <w:ind w:left="1008" w:hanging="1008"/>
      <w:outlineLvl w:val="4"/>
    </w:pPr>
    <w:rPr>
      <w:rFonts w:ascii="Cambria" w:eastAsia="Calibri" w:hAnsi="Cambria"/>
      <w:color w:val="243F60"/>
      <w:sz w:val="22"/>
      <w:szCs w:val="22"/>
      <w:lang w:val="x-none" w:eastAsia="x-none"/>
    </w:rPr>
  </w:style>
  <w:style w:type="paragraph" w:styleId="Heading6">
    <w:name w:val="heading 6"/>
    <w:basedOn w:val="Normal"/>
    <w:next w:val="Normal"/>
    <w:qFormat/>
    <w:rsid w:val="001348A6"/>
    <w:pPr>
      <w:keepNext/>
      <w:keepLines/>
      <w:spacing w:before="200" w:line="276" w:lineRule="auto"/>
      <w:ind w:left="1152" w:hanging="1152"/>
      <w:outlineLvl w:val="5"/>
    </w:pPr>
    <w:rPr>
      <w:rFonts w:ascii="Cambria" w:eastAsia="Calibri" w:hAnsi="Cambria"/>
      <w:i/>
      <w:iCs/>
      <w:color w:val="243F60"/>
      <w:sz w:val="22"/>
      <w:szCs w:val="22"/>
      <w:lang w:val="x-none" w:eastAsia="x-none"/>
    </w:rPr>
  </w:style>
  <w:style w:type="paragraph" w:styleId="Heading7">
    <w:name w:val="heading 7"/>
    <w:basedOn w:val="Normal"/>
    <w:next w:val="Normal"/>
    <w:qFormat/>
    <w:rsid w:val="001348A6"/>
    <w:pPr>
      <w:keepNext/>
      <w:keepLines/>
      <w:spacing w:before="200" w:line="276" w:lineRule="auto"/>
      <w:ind w:left="1296" w:hanging="1296"/>
      <w:outlineLvl w:val="6"/>
    </w:pPr>
    <w:rPr>
      <w:rFonts w:ascii="Cambria" w:eastAsia="Calibri" w:hAnsi="Cambria"/>
      <w:i/>
      <w:iCs/>
      <w:color w:val="404040"/>
      <w:sz w:val="22"/>
      <w:szCs w:val="22"/>
      <w:lang w:val="x-none" w:eastAsia="x-none"/>
    </w:rPr>
  </w:style>
  <w:style w:type="paragraph" w:styleId="Heading8">
    <w:name w:val="heading 8"/>
    <w:basedOn w:val="Normal"/>
    <w:next w:val="Normal"/>
    <w:qFormat/>
    <w:rsid w:val="001348A6"/>
    <w:pPr>
      <w:keepNext/>
      <w:keepLines/>
      <w:spacing w:before="200" w:line="276" w:lineRule="auto"/>
      <w:ind w:left="1440" w:hanging="1440"/>
      <w:outlineLvl w:val="7"/>
    </w:pPr>
    <w:rPr>
      <w:rFonts w:ascii="Cambria" w:eastAsia="Calibri" w:hAnsi="Cambria"/>
      <w:color w:val="404040"/>
      <w:sz w:val="20"/>
      <w:szCs w:val="20"/>
      <w:lang w:val="x-none" w:eastAsia="x-none"/>
    </w:rPr>
  </w:style>
  <w:style w:type="paragraph" w:styleId="Heading9">
    <w:name w:val="heading 9"/>
    <w:basedOn w:val="Normal"/>
    <w:next w:val="Normal"/>
    <w:qFormat/>
    <w:rsid w:val="001348A6"/>
    <w:pPr>
      <w:keepNext/>
      <w:keepLines/>
      <w:spacing w:before="200" w:line="276" w:lineRule="auto"/>
      <w:ind w:left="1584" w:hanging="1584"/>
      <w:outlineLvl w:val="8"/>
    </w:pPr>
    <w:rPr>
      <w:rFonts w:ascii="Cambria" w:eastAsia="Calibri" w:hAnsi="Cambria"/>
      <w:i/>
      <w:iCs/>
      <w:color w:val="404040"/>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rCar">
    <w:name w:val="Car Car"/>
    <w:basedOn w:val="Normal"/>
    <w:rsid w:val="0031228E"/>
    <w:pPr>
      <w:spacing w:after="160" w:line="240" w:lineRule="exact"/>
    </w:pPr>
    <w:rPr>
      <w:rFonts w:ascii="Verdana" w:hAnsi="Verdana"/>
      <w:i/>
      <w:sz w:val="20"/>
      <w:szCs w:val="20"/>
    </w:rPr>
  </w:style>
  <w:style w:type="paragraph" w:styleId="BalloonText">
    <w:name w:val="Balloon Text"/>
    <w:basedOn w:val="Normal"/>
    <w:semiHidden/>
    <w:rsid w:val="008973A1"/>
    <w:rPr>
      <w:rFonts w:ascii="Tahoma" w:hAnsi="Tahoma" w:cs="Tahoma"/>
      <w:sz w:val="16"/>
      <w:szCs w:val="16"/>
    </w:rPr>
  </w:style>
  <w:style w:type="character" w:customStyle="1" w:styleId="hps">
    <w:name w:val="hps"/>
    <w:basedOn w:val="DefaultParagraphFont"/>
    <w:rsid w:val="00A07D41"/>
  </w:style>
  <w:style w:type="character" w:customStyle="1" w:styleId="hpsatn">
    <w:name w:val="hps atn"/>
    <w:basedOn w:val="DefaultParagraphFont"/>
    <w:rsid w:val="00A07D41"/>
  </w:style>
  <w:style w:type="character" w:customStyle="1" w:styleId="atn">
    <w:name w:val="atn"/>
    <w:basedOn w:val="DefaultParagraphFont"/>
    <w:rsid w:val="00A07D41"/>
  </w:style>
  <w:style w:type="character" w:customStyle="1" w:styleId="Heading4Char">
    <w:name w:val="Heading 4 Char"/>
    <w:basedOn w:val="DefaultParagraphFont"/>
    <w:link w:val="Heading4"/>
    <w:semiHidden/>
    <w:locked/>
    <w:rsid w:val="005735C5"/>
    <w:rPr>
      <w:b/>
      <w:bCs/>
      <w:sz w:val="28"/>
      <w:szCs w:val="28"/>
      <w:lang w:val="en-US" w:eastAsia="en-US" w:bidi="ar-SA"/>
    </w:rPr>
  </w:style>
  <w:style w:type="paragraph" w:styleId="BodyTextIndent">
    <w:name w:val="Body Text Indent"/>
    <w:basedOn w:val="Normal"/>
    <w:link w:val="BodyTextIndentChar"/>
    <w:rsid w:val="00AA4DB4"/>
    <w:pPr>
      <w:ind w:left="120"/>
      <w:jc w:val="both"/>
    </w:pPr>
    <w:rPr>
      <w:b/>
      <w:bCs/>
      <w:u w:val="single"/>
      <w:lang w:val="sr-Cyrl-CS"/>
    </w:rPr>
  </w:style>
  <w:style w:type="character" w:customStyle="1" w:styleId="BodyTextIndentChar">
    <w:name w:val="Body Text Indent Char"/>
    <w:basedOn w:val="DefaultParagraphFont"/>
    <w:link w:val="BodyTextIndent"/>
    <w:rsid w:val="00AA4DB4"/>
    <w:rPr>
      <w:b/>
      <w:bCs/>
      <w:sz w:val="24"/>
      <w:szCs w:val="24"/>
      <w:u w:val="single"/>
      <w:lang w:val="sr-Cyrl-CS" w:eastAsia="en-US" w:bidi="ar-SA"/>
    </w:rPr>
  </w:style>
  <w:style w:type="character" w:styleId="FootnoteReference">
    <w:name w:val="footnote reference"/>
    <w:rsid w:val="00B158A2"/>
    <w:rPr>
      <w:vertAlign w:val="superscript"/>
    </w:rPr>
  </w:style>
  <w:style w:type="character" w:customStyle="1" w:styleId="Heading1Char">
    <w:name w:val="Heading 1 Char"/>
    <w:link w:val="Heading1"/>
    <w:locked/>
    <w:rsid w:val="001348A6"/>
    <w:rPr>
      <w:rFonts w:ascii="Cambria" w:eastAsia="Calibri" w:hAnsi="Cambria"/>
      <w:b/>
      <w:bCs/>
      <w:color w:val="365F91"/>
      <w:sz w:val="28"/>
      <w:szCs w:val="28"/>
      <w:lang w:val="x-none" w:eastAsia="x-none" w:bidi="ar-SA"/>
    </w:rPr>
  </w:style>
  <w:style w:type="paragraph" w:styleId="BodyText">
    <w:name w:val="Body Text"/>
    <w:basedOn w:val="Normal"/>
    <w:rsid w:val="001348A6"/>
    <w:pPr>
      <w:spacing w:after="120" w:line="276" w:lineRule="auto"/>
    </w:pPr>
    <w:rPr>
      <w:rFonts w:ascii="Calibri" w:hAnsi="Calibri"/>
      <w:sz w:val="22"/>
      <w:szCs w:val="22"/>
      <w:lang w:val="x-none" w:eastAsia="x-none"/>
    </w:rPr>
  </w:style>
  <w:style w:type="paragraph" w:customStyle="1" w:styleId="CM12">
    <w:name w:val="CM1+2"/>
    <w:basedOn w:val="Normal"/>
    <w:next w:val="Normal"/>
    <w:rsid w:val="009569AA"/>
    <w:pPr>
      <w:autoSpaceDE w:val="0"/>
      <w:autoSpaceDN w:val="0"/>
      <w:adjustRightInd w:val="0"/>
    </w:pPr>
    <w:rPr>
      <w:rFonts w:ascii="EUAlbertina" w:hAnsi="EUAlbertina"/>
    </w:rPr>
  </w:style>
  <w:style w:type="paragraph" w:customStyle="1" w:styleId="CM32">
    <w:name w:val="CM3+2"/>
    <w:basedOn w:val="Normal"/>
    <w:next w:val="Normal"/>
    <w:rsid w:val="009569AA"/>
    <w:pPr>
      <w:autoSpaceDE w:val="0"/>
      <w:autoSpaceDN w:val="0"/>
      <w:adjustRightInd w:val="0"/>
    </w:pPr>
    <w:rPr>
      <w:rFonts w:ascii="EUAlbertina" w:hAnsi="EUAlbertina"/>
    </w:rPr>
  </w:style>
  <w:style w:type="table" w:styleId="TableGrid">
    <w:name w:val="Table Grid"/>
    <w:basedOn w:val="TableNormal"/>
    <w:rsid w:val="0042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us">
    <w:name w:val="Pasus"/>
    <w:basedOn w:val="Normal"/>
    <w:link w:val="PasusChar"/>
    <w:rsid w:val="00B81B39"/>
    <w:pPr>
      <w:ind w:left="284" w:firstLine="567"/>
      <w:jc w:val="both"/>
    </w:pPr>
    <w:rPr>
      <w:rFonts w:ascii="Arial" w:hAnsi="Arial" w:cs="Arial"/>
      <w:sz w:val="20"/>
      <w:szCs w:val="20"/>
      <w:lang w:val="sr-Cyrl-CS"/>
    </w:rPr>
  </w:style>
  <w:style w:type="character" w:customStyle="1" w:styleId="PasusChar">
    <w:name w:val="Pasus Char"/>
    <w:basedOn w:val="DefaultParagraphFont"/>
    <w:link w:val="Pasus"/>
    <w:rsid w:val="00B81B39"/>
    <w:rPr>
      <w:rFonts w:ascii="Arial" w:hAnsi="Arial" w:cs="Arial"/>
      <w:lang w:val="sr-Cyrl-C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81834">
      <w:bodyDiv w:val="1"/>
      <w:marLeft w:val="0"/>
      <w:marRight w:val="0"/>
      <w:marTop w:val="0"/>
      <w:marBottom w:val="0"/>
      <w:divBdr>
        <w:top w:val="none" w:sz="0" w:space="0" w:color="auto"/>
        <w:left w:val="none" w:sz="0" w:space="0" w:color="auto"/>
        <w:bottom w:val="none" w:sz="0" w:space="0" w:color="auto"/>
        <w:right w:val="none" w:sz="0" w:space="0" w:color="auto"/>
      </w:divBdr>
      <w:divsChild>
        <w:div w:id="122115159">
          <w:marLeft w:val="0"/>
          <w:marRight w:val="0"/>
          <w:marTop w:val="0"/>
          <w:marBottom w:val="0"/>
          <w:divBdr>
            <w:top w:val="none" w:sz="0" w:space="0" w:color="auto"/>
            <w:left w:val="none" w:sz="0" w:space="0" w:color="auto"/>
            <w:bottom w:val="none" w:sz="0" w:space="0" w:color="auto"/>
            <w:right w:val="none" w:sz="0" w:space="0" w:color="auto"/>
          </w:divBdr>
        </w:div>
        <w:div w:id="677078975">
          <w:marLeft w:val="0"/>
          <w:marRight w:val="0"/>
          <w:marTop w:val="0"/>
          <w:marBottom w:val="0"/>
          <w:divBdr>
            <w:top w:val="none" w:sz="0" w:space="0" w:color="auto"/>
            <w:left w:val="none" w:sz="0" w:space="0" w:color="auto"/>
            <w:bottom w:val="none" w:sz="0" w:space="0" w:color="auto"/>
            <w:right w:val="none" w:sz="0" w:space="0" w:color="auto"/>
          </w:divBdr>
        </w:div>
        <w:div w:id="1031029363">
          <w:marLeft w:val="0"/>
          <w:marRight w:val="0"/>
          <w:marTop w:val="0"/>
          <w:marBottom w:val="0"/>
          <w:divBdr>
            <w:top w:val="none" w:sz="0" w:space="0" w:color="auto"/>
            <w:left w:val="none" w:sz="0" w:space="0" w:color="auto"/>
            <w:bottom w:val="none" w:sz="0" w:space="0" w:color="auto"/>
            <w:right w:val="none" w:sz="0" w:space="0" w:color="auto"/>
          </w:divBdr>
        </w:div>
        <w:div w:id="1547402046">
          <w:marLeft w:val="0"/>
          <w:marRight w:val="0"/>
          <w:marTop w:val="0"/>
          <w:marBottom w:val="0"/>
          <w:divBdr>
            <w:top w:val="none" w:sz="0" w:space="0" w:color="auto"/>
            <w:left w:val="none" w:sz="0" w:space="0" w:color="auto"/>
            <w:bottom w:val="none" w:sz="0" w:space="0" w:color="auto"/>
            <w:right w:val="none" w:sz="0" w:space="0" w:color="auto"/>
          </w:divBdr>
        </w:div>
      </w:divsChild>
    </w:div>
    <w:div w:id="736172953">
      <w:bodyDiv w:val="1"/>
      <w:marLeft w:val="0"/>
      <w:marRight w:val="0"/>
      <w:marTop w:val="0"/>
      <w:marBottom w:val="0"/>
      <w:divBdr>
        <w:top w:val="none" w:sz="0" w:space="0" w:color="auto"/>
        <w:left w:val="none" w:sz="0" w:space="0" w:color="auto"/>
        <w:bottom w:val="none" w:sz="0" w:space="0" w:color="auto"/>
        <w:right w:val="none" w:sz="0" w:space="0" w:color="auto"/>
      </w:divBdr>
    </w:div>
    <w:div w:id="1092975356">
      <w:bodyDiv w:val="1"/>
      <w:marLeft w:val="0"/>
      <w:marRight w:val="0"/>
      <w:marTop w:val="0"/>
      <w:marBottom w:val="0"/>
      <w:divBdr>
        <w:top w:val="none" w:sz="0" w:space="0" w:color="auto"/>
        <w:left w:val="none" w:sz="0" w:space="0" w:color="auto"/>
        <w:bottom w:val="none" w:sz="0" w:space="0" w:color="auto"/>
        <w:right w:val="none" w:sz="0" w:space="0" w:color="auto"/>
      </w:divBdr>
      <w:divsChild>
        <w:div w:id="28842538">
          <w:marLeft w:val="0"/>
          <w:marRight w:val="0"/>
          <w:marTop w:val="0"/>
          <w:marBottom w:val="0"/>
          <w:divBdr>
            <w:top w:val="none" w:sz="0" w:space="0" w:color="auto"/>
            <w:left w:val="none" w:sz="0" w:space="0" w:color="auto"/>
            <w:bottom w:val="none" w:sz="0" w:space="0" w:color="auto"/>
            <w:right w:val="none" w:sz="0" w:space="0" w:color="auto"/>
          </w:divBdr>
        </w:div>
        <w:div w:id="778112169">
          <w:marLeft w:val="0"/>
          <w:marRight w:val="0"/>
          <w:marTop w:val="0"/>
          <w:marBottom w:val="0"/>
          <w:divBdr>
            <w:top w:val="none" w:sz="0" w:space="0" w:color="auto"/>
            <w:left w:val="none" w:sz="0" w:space="0" w:color="auto"/>
            <w:bottom w:val="none" w:sz="0" w:space="0" w:color="auto"/>
            <w:right w:val="none" w:sz="0" w:space="0" w:color="auto"/>
          </w:divBdr>
        </w:div>
        <w:div w:id="1287082568">
          <w:marLeft w:val="0"/>
          <w:marRight w:val="0"/>
          <w:marTop w:val="0"/>
          <w:marBottom w:val="0"/>
          <w:divBdr>
            <w:top w:val="none" w:sz="0" w:space="0" w:color="auto"/>
            <w:left w:val="none" w:sz="0" w:space="0" w:color="auto"/>
            <w:bottom w:val="none" w:sz="0" w:space="0" w:color="auto"/>
            <w:right w:val="none" w:sz="0" w:space="0" w:color="auto"/>
          </w:divBdr>
        </w:div>
        <w:div w:id="1300070309">
          <w:marLeft w:val="0"/>
          <w:marRight w:val="0"/>
          <w:marTop w:val="0"/>
          <w:marBottom w:val="0"/>
          <w:divBdr>
            <w:top w:val="none" w:sz="0" w:space="0" w:color="auto"/>
            <w:left w:val="none" w:sz="0" w:space="0" w:color="auto"/>
            <w:bottom w:val="none" w:sz="0" w:space="0" w:color="auto"/>
            <w:right w:val="none" w:sz="0" w:space="0" w:color="auto"/>
          </w:divBdr>
        </w:div>
        <w:div w:id="1314525017">
          <w:marLeft w:val="0"/>
          <w:marRight w:val="0"/>
          <w:marTop w:val="0"/>
          <w:marBottom w:val="0"/>
          <w:divBdr>
            <w:top w:val="none" w:sz="0" w:space="0" w:color="auto"/>
            <w:left w:val="none" w:sz="0" w:space="0" w:color="auto"/>
            <w:bottom w:val="none" w:sz="0" w:space="0" w:color="auto"/>
            <w:right w:val="none" w:sz="0" w:space="0" w:color="auto"/>
          </w:divBdr>
        </w:div>
        <w:div w:id="1540821597">
          <w:marLeft w:val="0"/>
          <w:marRight w:val="0"/>
          <w:marTop w:val="0"/>
          <w:marBottom w:val="0"/>
          <w:divBdr>
            <w:top w:val="none" w:sz="0" w:space="0" w:color="auto"/>
            <w:left w:val="none" w:sz="0" w:space="0" w:color="auto"/>
            <w:bottom w:val="none" w:sz="0" w:space="0" w:color="auto"/>
            <w:right w:val="none" w:sz="0" w:space="0" w:color="auto"/>
          </w:divBdr>
        </w:div>
        <w:div w:id="2001882419">
          <w:marLeft w:val="0"/>
          <w:marRight w:val="0"/>
          <w:marTop w:val="0"/>
          <w:marBottom w:val="0"/>
          <w:divBdr>
            <w:top w:val="none" w:sz="0" w:space="0" w:color="auto"/>
            <w:left w:val="none" w:sz="0" w:space="0" w:color="auto"/>
            <w:bottom w:val="none" w:sz="0" w:space="0" w:color="auto"/>
            <w:right w:val="none" w:sz="0" w:space="0" w:color="auto"/>
          </w:divBdr>
        </w:div>
      </w:divsChild>
    </w:div>
    <w:div w:id="1459880709">
      <w:bodyDiv w:val="1"/>
      <w:marLeft w:val="0"/>
      <w:marRight w:val="0"/>
      <w:marTop w:val="0"/>
      <w:marBottom w:val="0"/>
      <w:divBdr>
        <w:top w:val="none" w:sz="0" w:space="0" w:color="auto"/>
        <w:left w:val="none" w:sz="0" w:space="0" w:color="auto"/>
        <w:bottom w:val="none" w:sz="0" w:space="0" w:color="auto"/>
        <w:right w:val="none" w:sz="0" w:space="0" w:color="auto"/>
      </w:divBdr>
      <w:divsChild>
        <w:div w:id="613053823">
          <w:marLeft w:val="0"/>
          <w:marRight w:val="0"/>
          <w:marTop w:val="0"/>
          <w:marBottom w:val="0"/>
          <w:divBdr>
            <w:top w:val="none" w:sz="0" w:space="0" w:color="auto"/>
            <w:left w:val="none" w:sz="0" w:space="0" w:color="auto"/>
            <w:bottom w:val="none" w:sz="0" w:space="0" w:color="auto"/>
            <w:right w:val="none" w:sz="0" w:space="0" w:color="auto"/>
          </w:divBdr>
        </w:div>
        <w:div w:id="724642564">
          <w:marLeft w:val="0"/>
          <w:marRight w:val="0"/>
          <w:marTop w:val="0"/>
          <w:marBottom w:val="0"/>
          <w:divBdr>
            <w:top w:val="none" w:sz="0" w:space="0" w:color="auto"/>
            <w:left w:val="none" w:sz="0" w:space="0" w:color="auto"/>
            <w:bottom w:val="none" w:sz="0" w:space="0" w:color="auto"/>
            <w:right w:val="none" w:sz="0" w:space="0" w:color="auto"/>
          </w:divBdr>
        </w:div>
        <w:div w:id="1084838990">
          <w:marLeft w:val="0"/>
          <w:marRight w:val="0"/>
          <w:marTop w:val="0"/>
          <w:marBottom w:val="0"/>
          <w:divBdr>
            <w:top w:val="none" w:sz="0" w:space="0" w:color="auto"/>
            <w:left w:val="none" w:sz="0" w:space="0" w:color="auto"/>
            <w:bottom w:val="none" w:sz="0" w:space="0" w:color="auto"/>
            <w:right w:val="none" w:sz="0" w:space="0" w:color="auto"/>
          </w:divBdr>
        </w:div>
        <w:div w:id="1146357978">
          <w:marLeft w:val="0"/>
          <w:marRight w:val="0"/>
          <w:marTop w:val="0"/>
          <w:marBottom w:val="0"/>
          <w:divBdr>
            <w:top w:val="none" w:sz="0" w:space="0" w:color="auto"/>
            <w:left w:val="none" w:sz="0" w:space="0" w:color="auto"/>
            <w:bottom w:val="none" w:sz="0" w:space="0" w:color="auto"/>
            <w:right w:val="none" w:sz="0" w:space="0" w:color="auto"/>
          </w:divBdr>
        </w:div>
        <w:div w:id="1207638813">
          <w:marLeft w:val="0"/>
          <w:marRight w:val="0"/>
          <w:marTop w:val="0"/>
          <w:marBottom w:val="0"/>
          <w:divBdr>
            <w:top w:val="none" w:sz="0" w:space="0" w:color="auto"/>
            <w:left w:val="none" w:sz="0" w:space="0" w:color="auto"/>
            <w:bottom w:val="none" w:sz="0" w:space="0" w:color="auto"/>
            <w:right w:val="none" w:sz="0" w:space="0" w:color="auto"/>
          </w:divBdr>
        </w:div>
        <w:div w:id="1334842018">
          <w:marLeft w:val="0"/>
          <w:marRight w:val="0"/>
          <w:marTop w:val="0"/>
          <w:marBottom w:val="0"/>
          <w:divBdr>
            <w:top w:val="none" w:sz="0" w:space="0" w:color="auto"/>
            <w:left w:val="none" w:sz="0" w:space="0" w:color="auto"/>
            <w:bottom w:val="none" w:sz="0" w:space="0" w:color="auto"/>
            <w:right w:val="none" w:sz="0" w:space="0" w:color="auto"/>
          </w:divBdr>
        </w:div>
        <w:div w:id="1421832078">
          <w:marLeft w:val="0"/>
          <w:marRight w:val="0"/>
          <w:marTop w:val="0"/>
          <w:marBottom w:val="0"/>
          <w:divBdr>
            <w:top w:val="none" w:sz="0" w:space="0" w:color="auto"/>
            <w:left w:val="none" w:sz="0" w:space="0" w:color="auto"/>
            <w:bottom w:val="none" w:sz="0" w:space="0" w:color="auto"/>
            <w:right w:val="none" w:sz="0" w:space="0" w:color="auto"/>
          </w:divBdr>
        </w:div>
      </w:divsChild>
    </w:div>
    <w:div w:id="1569221797">
      <w:bodyDiv w:val="1"/>
      <w:marLeft w:val="0"/>
      <w:marRight w:val="0"/>
      <w:marTop w:val="0"/>
      <w:marBottom w:val="0"/>
      <w:divBdr>
        <w:top w:val="none" w:sz="0" w:space="0" w:color="auto"/>
        <w:left w:val="none" w:sz="0" w:space="0" w:color="auto"/>
        <w:bottom w:val="none" w:sz="0" w:space="0" w:color="auto"/>
        <w:right w:val="none" w:sz="0" w:space="0" w:color="auto"/>
      </w:divBdr>
    </w:div>
    <w:div w:id="18335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ИНВЕСТИЦИЈЕ У ОСНОВНА СРЕДСТВА</vt:lpstr>
    </vt:vector>
  </TitlesOfParts>
  <Company>.</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ИНВЕСТИЦИЈЕ У ОСНОВНА СРЕДСТВА</dc:title>
  <dc:subject/>
  <dc:creator>f65mi06</dc:creator>
  <cp:keywords/>
  <dc:description/>
  <cp:lastModifiedBy>Irena Dimic</cp:lastModifiedBy>
  <cp:revision>2</cp:revision>
  <cp:lastPrinted>2015-02-11T10:32:00Z</cp:lastPrinted>
  <dcterms:created xsi:type="dcterms:W3CDTF">2018-06-15T06:12:00Z</dcterms:created>
  <dcterms:modified xsi:type="dcterms:W3CDTF">2018-06-15T06:12:00Z</dcterms:modified>
</cp:coreProperties>
</file>