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8FC13AA" Type="http://schemas.openxmlformats.org/officeDocument/2006/relationships/officeDocument" Target="/word/document.xml" /><Relationship Id="coreR68FC13A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10296" w:type="dxa"/>
          </w:tcPr>
          <w:p>
            <w:pPr>
              <w:jc w:val="right"/>
              <w:rPr>
                <w:rFonts w:ascii="Arial" w:hAnsi="Arial"/>
                <w:sz w:val="22"/>
              </w:rPr>
            </w:pPr>
            <w:r>
              <w:rPr>
                <w:rFonts w:ascii="Arial" w:hAnsi="Arial"/>
                <w:sz w:val="22"/>
              </w:rPr>
              <w:t>December 28, 2018</w:t>
            </w:r>
          </w:p>
          <w:tbl>
            <w:tblPr>
              <w:tblStyle w:val="T2"/>
              <w:tblW w:w="2013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spacing w:before="1080"/>
                    <w:jc w:val="center"/>
                    <w:rPr>
                      <w:rFonts w:ascii="Arial" w:hAnsi="Arial"/>
                      <w:sz w:val="22"/>
                    </w:rPr>
                  </w:pPr>
                  <w:r>
                    <w:rPr>
                      <w:rFonts w:ascii="Arial" w:hAnsi="Arial"/>
                      <w:sz w:val="22"/>
                    </w:rPr>
                    <w:t xml:space="preserve">ECONOMIC TRENDS IN THE REPUBLIC OF SERBIA IN 2018 </w:t>
                  </w:r>
                </w:p>
                <w:p>
                  <w:pPr>
                    <w:spacing w:after="480"/>
                    <w:jc w:val="center"/>
                    <w:rPr>
                      <w:rFonts w:ascii="Arial" w:hAnsi="Arial"/>
                      <w:sz w:val="22"/>
                    </w:rPr>
                  </w:pPr>
                  <w:r>
                    <w:rPr>
                      <w:rFonts w:ascii="Arial" w:hAnsi="Arial"/>
                      <w:sz w:val="22"/>
                    </w:rPr>
                    <w:t xml:space="preserve">- Estimates – </w:t>
                  </w:r>
                </w:p>
                <w:p>
                  <w:pPr>
                    <w:spacing w:lineRule="auto" w:line="288" w:before="120" w:after="120"/>
                    <w:jc w:val="both"/>
                    <w:rPr>
                      <w:rFonts w:ascii="Arial" w:hAnsi="Arial"/>
                      <w:sz w:val="22"/>
                    </w:rPr>
                  </w:pPr>
                  <w:r>
                    <w:rPr>
                      <w:rFonts w:ascii="Arial" w:hAnsi="Arial"/>
                      <w:sz w:val="22"/>
                    </w:rPr>
                    <w:t xml:space="preserve">The overall economic activity in 2018, measured by gross domestic product (GDP) and expressed at constant prices, was estimated to reach a real growth of 4.4% when compared to 2017. </w:t>
                  </w:r>
                </w:p>
                <w:p>
                  <w:pPr>
                    <w:spacing w:lineRule="auto" w:line="288" w:before="120" w:after="120"/>
                    <w:jc w:val="both"/>
                    <w:rPr>
                      <w:rFonts w:ascii="Arial" w:hAnsi="Arial"/>
                      <w:sz w:val="22"/>
                    </w:rPr>
                  </w:pPr>
                  <w:r>
                    <w:rPr>
                      <w:rFonts w:ascii="Arial" w:hAnsi="Arial"/>
                      <w:sz w:val="22"/>
                    </w:rPr>
                    <w:t>According to estimations, gross fixed capital formation in 2018, related to 2017, expressed a real growth that equals 9.1%.</w:t>
                  </w:r>
                </w:p>
                <w:p>
                  <w:pPr>
                    <w:spacing w:lineRule="auto" w:line="288" w:before="120" w:after="120"/>
                    <w:jc w:val="both"/>
                    <w:rPr>
                      <w:rFonts w:ascii="Arial" w:hAnsi="Arial"/>
                      <w:sz w:val="22"/>
                    </w:rPr>
                  </w:pPr>
                  <w:r>
                    <w:rPr>
                      <w:rFonts w:ascii="Arial" w:hAnsi="Arial"/>
                      <w:sz w:val="22"/>
                    </w:rPr>
                    <w:t>In 2018 industrial production expressed physical volume growth of 2.0% in comparison to the previous year. For agricultural production in 2018 related to 2017 a physical volume growth of 16.3% was recorded.</w:t>
                  </w:r>
                </w:p>
                <w:p>
                  <w:pPr>
                    <w:spacing w:lineRule="auto" w:line="288" w:before="120" w:after="120"/>
                    <w:jc w:val="both"/>
                    <w:rPr>
                      <w:rFonts w:ascii="Arial" w:hAnsi="Arial"/>
                      <w:sz w:val="22"/>
                    </w:rPr>
                  </w:pPr>
                  <w:r>
                    <w:rPr>
                      <w:rFonts w:ascii="Arial" w:hAnsi="Arial"/>
                      <w:sz w:val="22"/>
                    </w:rPr>
                    <w:t xml:space="preserve">The value of construction works carried out in 2018 noted a real growth of 10.9% in comparison to 2017. The retail trade turnover expressed real growth of 4.5%, while the wholesale trade turnover expressed nominal growth of 9.1%. In 2018 the section of accommodation and food service activities expressed real growth of 10.1%, while the number of tourist overnight stays increased by 12.3% when related to 2017. For the section of transportation and storage estimated is physical volume growth of 4.9%, and for the division of telecommunications growth of 1.0%. The estimated external trade in goods in 2018 related to 2017 and given in EUR value expressed growth of exports by 9.0% and growth of imports by 13.5%.  </w:t>
                  </w:r>
                </w:p>
                <w:p>
                  <w:pPr>
                    <w:spacing w:lineRule="auto" w:line="288" w:before="120" w:after="120"/>
                    <w:jc w:val="both"/>
                    <w:rPr>
                      <w:rFonts w:ascii="Arial" w:hAnsi="Arial"/>
                      <w:sz w:val="22"/>
                    </w:rPr>
                  </w:pPr>
                  <w:r>
                    <w:rPr>
                      <w:rFonts w:ascii="Arial" w:hAnsi="Arial"/>
                      <w:sz w:val="22"/>
                    </w:rPr>
                    <w:t>Based on the results of the Labour Force Survey, expressive is increased employment and decreased unemployment rate. In the third quarter 2018 the rate of employment reached 49.2% and unemployment rate equalled 11.3%.</w:t>
                  </w:r>
                </w:p>
                <w:p>
                  <w:pPr>
                    <w:spacing w:lineRule="auto" w:line="288" w:before="120" w:after="120"/>
                    <w:jc w:val="both"/>
                    <w:rPr>
                      <w:rFonts w:ascii="Arial" w:hAnsi="Arial"/>
                      <w:sz w:val="22"/>
                    </w:rPr>
                  </w:pPr>
                  <w:r>
                    <w:rPr>
                      <w:rFonts w:ascii="Arial" w:hAnsi="Arial"/>
                      <w:sz w:val="22"/>
                    </w:rPr>
                    <w:t xml:space="preserve">Net salaries and wages in 2018 related to 2017, increased by 5.9% in nominal terms and by 3.8% in real terms. </w:t>
                  </w:r>
                </w:p>
                <w:p>
                  <w:pPr>
                    <w:spacing w:lineRule="auto" w:line="288" w:before="120" w:after="120"/>
                    <w:jc w:val="both"/>
                    <w:rPr>
                      <w:rFonts w:ascii="Arial" w:hAnsi="Arial"/>
                      <w:sz w:val="22"/>
                    </w:rPr>
                  </w:pPr>
                  <w:r>
                    <w:rPr>
                      <w:rFonts w:ascii="Arial" w:hAnsi="Arial"/>
                      <w:sz w:val="22"/>
                    </w:rPr>
                    <w:t xml:space="preserve">Annual inflation rate was estimated to equal 2.1%. </w:t>
                  </w:r>
                </w:p>
              </w:tc>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Arial" w:hAnsi="Arial"/>
                      <w:sz w:val="22"/>
                    </w:rPr>
                  </w:pPr>
                </w:p>
                <w:p>
                  <w:pPr>
                    <w:jc w:val="center"/>
                    <w:rPr>
                      <w:rFonts w:ascii="Arial" w:hAnsi="Arial"/>
                      <w:sz w:val="22"/>
                    </w:rPr>
                  </w:pPr>
                  <w:r>
                    <w:rPr>
                      <w:rFonts w:ascii="Arial" w:hAnsi="Arial"/>
                      <w:sz w:val="22"/>
                    </w:rPr>
                    <w:t>Republic of Serbia</w:t>
                  </w:r>
                  <w:r>
                    <w:rPr>
                      <w:rFonts w:ascii="Arial" w:hAnsi="Arial"/>
                      <w:sz w:val="22"/>
                      <w:vertAlign w:val="superscript"/>
                    </w:rPr>
                    <w:t>1)</w:t>
                  </w:r>
                  <w:r>
                    <w:rPr>
                      <w:rFonts w:ascii="Arial" w:hAnsi="Arial"/>
                      <w:sz w:val="22"/>
                    </w:rPr>
                    <w:t xml:space="preserve">   –  INDUSTRIAL PRODUCTION IN APRIL 2011</w:t>
                  </w:r>
                </w:p>
                <w:p>
                  <w:pPr>
                    <w:jc w:val="center"/>
                    <w:rPr>
                      <w:rFonts w:ascii="Arial" w:hAnsi="Arial"/>
                      <w:color w:val="333333"/>
                      <w:sz w:val="22"/>
                    </w:rPr>
                  </w:pPr>
                </w:p>
              </w:tc>
            </w:tr>
          </w:tbl>
          <w:p>
            <w:pPr>
              <w:jc w:val="both"/>
              <w:rPr>
                <w:rFonts w:ascii="Arial" w:hAnsi="Arial"/>
                <w:sz w:val="22"/>
              </w:rPr>
            </w:pPr>
            <w:r>
              <w:rPr>
                <w:rFonts w:ascii="Arial" w:hAnsi="Arial"/>
                <w:sz w:val="22"/>
              </w:rPr>
              <w:t xml:space="preserve"> </w:t>
            </w:r>
          </w:p>
        </w:tc>
      </w:tr>
    </w:tbl>
    <w:p>
      <w:pPr>
        <w:rPr>
          <w:sz w:val="18"/>
        </w:rPr>
      </w:pPr>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1080" w:right="1080" w:top="360" w:bottom="18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Layout w:type="autofit"/>
    </w:tblPr>
    <w:tblGrid/>
    <w:tr>
      <w:tc>
        <w:tcPr>
          <w:tcW w:w="5868" w:type="dxa"/>
        </w:tcPr>
        <w:p>
          <w:pPr>
            <w:pStyle w:val="P1"/>
            <w:rPr>
              <w:rFonts w:ascii="Tahoma" w:hAnsi="Tahoma"/>
              <w:sz w:val="20"/>
            </w:rPr>
          </w:pPr>
          <w:r>
            <w:rPr>
              <w:rFonts w:ascii="Tahoma" w:hAnsi="Tahoma"/>
              <w:sz w:val="20"/>
            </w:rPr>
            <w:t>Contact person</w:t>
          </w:r>
        </w:p>
        <w:p>
          <w:pPr>
            <w:rPr>
              <w:rFonts w:ascii="Tahoma" w:hAnsi="Tahoma"/>
              <w:sz w:val="20"/>
            </w:rPr>
          </w:pPr>
          <w:r>
            <w:rPr>
              <w:rFonts w:ascii="Tahoma" w:hAnsi="Tahoma"/>
              <w:sz w:val="20"/>
            </w:rPr>
            <w:t>Nada Jevtic, statistician, methodologist</w:t>
          </w:r>
        </w:p>
        <w:p>
          <w:pPr>
            <w:rPr>
              <w:rFonts w:ascii="Tahoma" w:hAnsi="Tahoma"/>
              <w:sz w:val="20"/>
            </w:rPr>
          </w:pPr>
          <w:r>
            <w:rPr>
              <w:rFonts w:ascii="Tahoma" w:hAnsi="Tahoma"/>
              <w:sz w:val="20"/>
            </w:rPr>
            <w:t xml:space="preserve">Annual National Accounts Division </w:t>
          </w:r>
        </w:p>
        <w:p>
          <w:pPr>
            <w:rPr>
              <w:rFonts w:ascii="Tahoma" w:hAnsi="Tahoma"/>
              <w:sz w:val="20"/>
            </w:rPr>
          </w:pPr>
          <w:r>
            <w:rPr>
              <w:rFonts w:ascii="Tahoma" w:hAnsi="Tahoma"/>
              <w:sz w:val="20"/>
            </w:rPr>
            <w:t>Phone: +381 11 2412-922, Ext. 312</w:t>
          </w:r>
        </w:p>
        <w:p>
          <w:pPr>
            <w:jc w:val="both"/>
            <w:rPr>
              <w:rFonts w:ascii="Tahoma" w:hAnsi="Tahoma"/>
              <w:color w:val="808080"/>
              <w:sz w:val="20"/>
            </w:rPr>
          </w:pPr>
        </w:p>
        <w:p>
          <w:pPr>
            <w:jc w:val="both"/>
            <w:rPr>
              <w:rFonts w:ascii="Tahoma" w:hAnsi="Tahoma"/>
              <w:sz w:val="20"/>
            </w:rPr>
          </w:pPr>
          <w:r>
            <w:rPr>
              <w:rFonts w:ascii="Tahoma" w:hAnsi="Tahoma"/>
              <w:sz w:val="20"/>
            </w:rPr>
            <w:t>Information and Dissemination Unit</w:t>
          </w:r>
        </w:p>
        <w:p>
          <w:pPr>
            <w:jc w:val="both"/>
            <w:rPr>
              <w:rFonts w:ascii="Tahoma" w:hAnsi="Tahoma"/>
              <w:sz w:val="20"/>
            </w:rPr>
          </w:pPr>
          <w:r>
            <w:rPr>
              <w:rFonts w:ascii="Tahoma" w:hAnsi="Tahoma"/>
              <w:sz w:val="20"/>
            </w:rPr>
            <w:t>Phone: +381 11 2401-284</w:t>
          </w:r>
        </w:p>
        <w:p>
          <w:pPr>
            <w:jc w:val="both"/>
            <w:rPr>
              <w:rFonts w:ascii="Tahoma" w:hAnsi="Tahoma"/>
              <w:sz w:val="20"/>
            </w:rPr>
          </w:pPr>
          <w:r>
            <w:rPr>
              <w:rFonts w:ascii="Tahoma" w:hAnsi="Tahoma"/>
              <w:sz w:val="20"/>
            </w:rPr>
            <w:t>stat@stat.gov.rs</w:t>
          </w:r>
        </w:p>
        <w:p>
          <w:pPr>
            <w:jc w:val="both"/>
            <w:rPr>
              <w:rFonts w:ascii="Tahoma" w:hAnsi="Tahoma"/>
              <w:sz w:val="22"/>
            </w:rPr>
          </w:pPr>
        </w:p>
      </w:tc>
      <w:tc>
        <w:tcPr>
          <w:tcW w:w="5400" w:type="dxa"/>
        </w:tcPr>
        <w:p>
          <w:pPr>
            <w:jc w:val="center"/>
            <w:rPr>
              <w:rFonts w:ascii="Tahoma" w:hAnsi="Tahoma"/>
              <w:sz w:val="20"/>
            </w:rPr>
          </w:pPr>
        </w:p>
        <w:p>
          <w:pPr>
            <w:jc w:val="center"/>
            <w:rPr>
              <w:rFonts w:ascii="Tahoma" w:hAnsi="Tahoma"/>
              <w:sz w:val="20"/>
            </w:rPr>
          </w:pPr>
        </w:p>
        <w:p>
          <w:pPr>
            <w:jc w:val="center"/>
            <w:rPr>
              <w:rFonts w:ascii="Tahoma" w:hAnsi="Tahoma"/>
              <w:sz w:val="20"/>
            </w:rPr>
          </w:pPr>
          <w:r>
            <w:rPr>
              <w:rFonts w:ascii="Tahoma" w:hAnsi="Tahoma"/>
              <w:sz w:val="20"/>
            </w:rPr>
            <w:t>Director,</w:t>
          </w:r>
        </w:p>
        <w:p>
          <w:pPr>
            <w:jc w:val="center"/>
            <w:rPr>
              <w:rFonts w:ascii="Tahoma" w:hAnsi="Tahoma"/>
              <w:sz w:val="20"/>
            </w:rPr>
          </w:pPr>
          <w:r>
            <w:rPr>
              <w:rFonts w:ascii="Tahoma" w:hAnsi="Tahoma"/>
              <w:sz w:val="20"/>
            </w:rPr>
            <w:t>Dr Miladin Kovačević</w:t>
          </w:r>
        </w:p>
      </w:tc>
    </w:tr>
    <w:tr>
      <w:tc>
        <w:tcPr>
          <w:tcW w:w="5868" w:type="dxa"/>
        </w:tcPr>
        <w:p>
          <w:pPr>
            <w:jc w:val="both"/>
            <w:rPr>
              <w:rFonts w:ascii="Tahoma" w:hAnsi="Tahoma"/>
              <w:color w:val="808080"/>
              <w:sz w:val="20"/>
            </w:rPr>
          </w:pPr>
        </w:p>
      </w:tc>
      <w:tc>
        <w:tcPr>
          <w:tcW w:w="5400" w:type="dxa"/>
        </w:tcPr>
        <w:p>
          <w:pPr>
            <w:rPr>
              <w:rFonts w:ascii="Tahoma" w:hAnsi="Tahoma"/>
              <w:sz w:val="20"/>
            </w:rPr>
          </w:pPr>
        </w:p>
      </w:tc>
    </w:tr>
  </w:tbl>
  <w:p>
    <w:pPr>
      <w:rPr>
        <w:rFonts w:ascii="Arial" w:hAnsi="Arial"/>
        <w:sz w:val="16"/>
      </w:rPr>
    </w:pPr>
    <w:r>
      <w:rPr>
        <w:rFonts w:ascii="Arial" w:hAnsi="Arial"/>
        <w:sz w:val="16"/>
        <w:vertAlign w:val="superscript"/>
      </w:rPr>
      <w:t xml:space="preserve">1) </w:t>
    </w:r>
    <w:r>
      <w:rPr>
        <w:rFonts w:ascii="Arial" w:hAnsi="Arial"/>
        <w:sz w:val="16"/>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p>
        <w:p>
          <w:pPr>
            <w:pStyle w:val="P2"/>
            <w:rPr>
              <w:rFonts w:ascii="Tahoma" w:hAnsi="Tahoma"/>
              <w:sz w:val="20"/>
            </w:rPr>
          </w:pPr>
          <w:r>
            <w:rPr>
              <w:rFonts w:ascii="Tahoma" w:hAnsi="Tahoma"/>
              <w:sz w:val="20"/>
            </w:rPr>
            <w:t xml:space="preserve">Statistical Office of the Republic of Serbia </w:t>
          </w:r>
        </w:p>
      </w:tc>
      <w:tc>
        <w:tcPr>
          <w:tcW w:w="6588"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rPr>
              <w:rFonts w:ascii="Tahoma" w:hAnsi="Tahoma"/>
              <w:sz w:val="20"/>
            </w:rPr>
          </w:pPr>
        </w:p>
      </w:tc>
      <w:tc>
        <w:tcPr>
          <w:tcW w:w="6588" w:type="dxa"/>
        </w:tcPr>
        <w:p>
          <w:pPr>
            <w:pStyle w:val="P2"/>
            <w:jc w:val="right"/>
            <w:rPr>
              <w:rFonts w:ascii="Tahoma" w:hAnsi="Tahoma"/>
              <w:sz w:val="22"/>
            </w:rPr>
          </w:pPr>
          <w:r>
            <w:rPr>
              <w:rFonts w:ascii="Tahoma" w:hAnsi="Tahoma"/>
              <w:sz w:val="22"/>
            </w:rPr>
            <w:t xml:space="preserve">Саопштење за јавност страна </w:t>
          </w:r>
          <w:r>
            <w:rPr>
              <w:rFonts w:ascii="Tahoma" w:hAnsi="Tahoma"/>
              <w:sz w:val="22"/>
            </w:rPr>
            <w:fldChar w:fldCharType="begin"/>
          </w:r>
          <w:r>
            <w:rPr>
              <w:rStyle w:val="C4"/>
              <w:rFonts w:ascii="Tahoma" w:hAnsi="Tahoma"/>
              <w:sz w:val="22"/>
            </w:rPr>
            <w:instrText xml:space="preserve"> NUMPAGES </w:instrText>
          </w:r>
          <w:r>
            <w:rPr>
              <w:rStyle w:val="C4"/>
              <w:rFonts w:ascii="Tahoma" w:hAnsi="Tahoma"/>
              <w:sz w:val="22"/>
            </w:rPr>
            <w:fldChar w:fldCharType="separate"/>
          </w:r>
          <w:r>
            <w:rPr>
              <w:rStyle w:val="C4"/>
              <w:rFonts w:ascii="Tahoma" w:hAnsi="Tahoma"/>
              <w:sz w:val="22"/>
            </w:rPr>
            <w:t>#</w:t>
          </w:r>
          <w:r>
            <w:rPr>
              <w:rStyle w:val="C4"/>
              <w:rFonts w:ascii="Tahoma" w:hAnsi="Tahoma"/>
              <w:sz w:val="22"/>
            </w:rPr>
            <w:fldChar w:fldCharType="end"/>
          </w:r>
        </w:p>
        <w:p>
          <w:pPr>
            <w:pStyle w:val="P2"/>
            <w:jc w:val="right"/>
            <w:rPr>
              <w:rFonts w:ascii="Tahoma" w:hAnsi="Tahoma"/>
            </w:rPr>
          </w:pPr>
        </w:p>
        <w:p>
          <w:pPr>
            <w:pStyle w:val="P2"/>
            <w:jc w:val="right"/>
            <w:rPr>
              <w:rFonts w:ascii="Tahoma" w:hAnsi="Tahoma"/>
              <w:sz w:val="20"/>
            </w:rPr>
          </w:pPr>
        </w:p>
      </w:tc>
    </w:tr>
  </w:tbl>
  <w:p>
    <w:pPr>
      <w:pStyle w:val="P2"/>
    </w:pPr>
  </w:p>
</w:hdr>
</file>

<file path=word/numbering.xml><?xml version="1.0" encoding="utf-8"?>
<w:numbering xmlns:w="http://schemas.openxmlformats.org/wordprocessingml/2006/main">
  <w:abstractNum w:abstractNumId="0">
    <w:nsid w:val="44ED7A56"/>
    <w:multiLevelType w:val="hybridMultilevel"/>
    <w:lvl w:ilvl="0" w:tplc="2A9D81CB">
      <w:start w:val="1"/>
      <w:numFmt w:val="bullet"/>
      <w:suff w:val="tab"/>
      <w:lvlText w:val=""/>
      <w:lvlJc w:val="left"/>
      <w:pPr>
        <w:ind w:hanging="360" w:left="720"/>
        <w:tabs>
          <w:tab w:val="left" w:pos="720" w:leader="none"/>
        </w:tabs>
      </w:pPr>
      <w:rPr>
        <w:rFonts w:ascii="Symbol" w:hAnsi="Symbol"/>
      </w:rPr>
    </w:lvl>
    <w:lvl w:ilvl="1" w:tplc="02C1C3DA">
      <w:start w:val="1"/>
      <w:numFmt w:val="bullet"/>
      <w:suff w:val="tab"/>
      <w:lvlText w:val="o"/>
      <w:lvlJc w:val="left"/>
      <w:pPr>
        <w:ind w:hanging="360" w:left="1440"/>
        <w:tabs>
          <w:tab w:val="left" w:pos="1440" w:leader="none"/>
        </w:tabs>
      </w:pPr>
      <w:rPr>
        <w:rFonts w:ascii="Courier New" w:hAnsi="Courier New"/>
      </w:rPr>
    </w:lvl>
    <w:lvl w:ilvl="2" w:tplc="014D08D6">
      <w:start w:val="1"/>
      <w:numFmt w:val="bullet"/>
      <w:suff w:val="tab"/>
      <w:lvlText w:val=""/>
      <w:lvlJc w:val="left"/>
      <w:pPr>
        <w:ind w:hanging="360" w:left="2160"/>
        <w:tabs>
          <w:tab w:val="left" w:pos="2160" w:leader="none"/>
        </w:tabs>
      </w:pPr>
      <w:rPr>
        <w:rFonts w:ascii="Wingdings" w:hAnsi="Wingdings"/>
      </w:rPr>
    </w:lvl>
    <w:lvl w:ilvl="3" w:tplc="7A9EFDB5">
      <w:start w:val="1"/>
      <w:numFmt w:val="bullet"/>
      <w:suff w:val="tab"/>
      <w:lvlText w:val=""/>
      <w:lvlJc w:val="left"/>
      <w:pPr>
        <w:ind w:hanging="360" w:left="2880"/>
        <w:tabs>
          <w:tab w:val="left" w:pos="2880" w:leader="none"/>
        </w:tabs>
      </w:pPr>
      <w:rPr>
        <w:rFonts w:ascii="Symbol" w:hAnsi="Symbol"/>
      </w:rPr>
    </w:lvl>
    <w:lvl w:ilvl="4" w:tplc="7868A52A">
      <w:start w:val="1"/>
      <w:numFmt w:val="bullet"/>
      <w:suff w:val="tab"/>
      <w:lvlText w:val="o"/>
      <w:lvlJc w:val="left"/>
      <w:pPr>
        <w:ind w:hanging="360" w:left="3600"/>
        <w:tabs>
          <w:tab w:val="left" w:pos="3600" w:leader="none"/>
        </w:tabs>
      </w:pPr>
      <w:rPr>
        <w:rFonts w:ascii="Courier New" w:hAnsi="Courier New"/>
      </w:rPr>
    </w:lvl>
    <w:lvl w:ilvl="5" w:tplc="5BC08F9F">
      <w:start w:val="1"/>
      <w:numFmt w:val="bullet"/>
      <w:suff w:val="tab"/>
      <w:lvlText w:val=""/>
      <w:lvlJc w:val="left"/>
      <w:pPr>
        <w:ind w:hanging="360" w:left="4320"/>
        <w:tabs>
          <w:tab w:val="left" w:pos="4320" w:leader="none"/>
        </w:tabs>
      </w:pPr>
      <w:rPr>
        <w:rFonts w:ascii="Wingdings" w:hAnsi="Wingdings"/>
      </w:rPr>
    </w:lvl>
    <w:lvl w:ilvl="6" w:tplc="020BBB56">
      <w:start w:val="1"/>
      <w:numFmt w:val="bullet"/>
      <w:suff w:val="tab"/>
      <w:lvlText w:val=""/>
      <w:lvlJc w:val="left"/>
      <w:pPr>
        <w:ind w:hanging="360" w:left="5040"/>
        <w:tabs>
          <w:tab w:val="left" w:pos="5040" w:leader="none"/>
        </w:tabs>
      </w:pPr>
      <w:rPr>
        <w:rFonts w:ascii="Symbol" w:hAnsi="Symbol"/>
      </w:rPr>
    </w:lvl>
    <w:lvl w:ilvl="7" w:tplc="26F37788">
      <w:start w:val="1"/>
      <w:numFmt w:val="bullet"/>
      <w:suff w:val="tab"/>
      <w:lvlText w:val="o"/>
      <w:lvlJc w:val="left"/>
      <w:pPr>
        <w:ind w:hanging="360" w:left="5760"/>
        <w:tabs>
          <w:tab w:val="left" w:pos="5760" w:leader="none"/>
        </w:tabs>
      </w:pPr>
      <w:rPr>
        <w:rFonts w:ascii="Courier New" w:hAnsi="Courier New"/>
      </w:rPr>
    </w:lvl>
    <w:lvl w:ilvl="8" w:tplc="4A4ADFEA">
      <w:start w:val="1"/>
      <w:numFmt w:val="bullet"/>
      <w:suff w:val="tab"/>
      <w:lvlText w:val=""/>
      <w:lvlJc w:val="left"/>
      <w:pPr>
        <w:ind w:hanging="360" w:left="6480"/>
        <w:tabs>
          <w:tab w:val="left" w:pos="6480" w:leader="none"/>
        </w:tabs>
      </w:pPr>
      <w:rPr>
        <w:rFonts w:ascii="Wingdings" w:hAnsi="Wingdings"/>
      </w:rPr>
    </w:lvl>
  </w:abstractNum>
  <w:abstractNum w:abstractNumId="1">
    <w:nsid w:val="5EDB3A90"/>
    <w:multiLevelType w:val="hybridMultilevel"/>
    <w:lvl w:ilvl="0" w:tplc="1152C9F5">
      <w:start w:val="28"/>
      <w:numFmt w:val="bullet"/>
      <w:suff w:val="tab"/>
      <w:lvlText w:val=""/>
      <w:lvlJc w:val="left"/>
      <w:pPr>
        <w:ind w:hanging="360" w:left="720"/>
        <w:tabs>
          <w:tab w:val="left" w:pos="720" w:leader="none"/>
        </w:tabs>
      </w:pPr>
      <w:rPr>
        <w:rFonts w:ascii="Symbol" w:hAnsi="Symbol"/>
      </w:rPr>
    </w:lvl>
    <w:lvl w:ilvl="1" w:tplc="09AEDD4E">
      <w:start w:val="1"/>
      <w:numFmt w:val="bullet"/>
      <w:suff w:val="tab"/>
      <w:lvlText w:val=""/>
      <w:lvlJc w:val="left"/>
      <w:pPr>
        <w:ind w:hanging="360" w:left="1440"/>
        <w:tabs>
          <w:tab w:val="left" w:pos="1440" w:leader="none"/>
        </w:tabs>
      </w:pPr>
      <w:rPr>
        <w:rFonts w:ascii="Symbol" w:hAnsi="Symbol"/>
      </w:rPr>
    </w:lvl>
    <w:lvl w:ilvl="2" w:tplc="1887A839">
      <w:start w:val="1"/>
      <w:numFmt w:val="bullet"/>
      <w:suff w:val="tab"/>
      <w:lvlText w:val=""/>
      <w:lvlJc w:val="left"/>
      <w:pPr>
        <w:ind w:hanging="360" w:left="2160"/>
        <w:tabs>
          <w:tab w:val="left" w:pos="2160" w:leader="none"/>
        </w:tabs>
      </w:pPr>
      <w:rPr>
        <w:rFonts w:ascii="Wingdings" w:hAnsi="Wingdings"/>
      </w:rPr>
    </w:lvl>
    <w:lvl w:ilvl="3" w:tplc="6B42FBC5">
      <w:start w:val="1"/>
      <w:numFmt w:val="bullet"/>
      <w:suff w:val="tab"/>
      <w:lvlText w:val=""/>
      <w:lvlJc w:val="left"/>
      <w:pPr>
        <w:ind w:hanging="360" w:left="2880"/>
        <w:tabs>
          <w:tab w:val="left" w:pos="2880" w:leader="none"/>
        </w:tabs>
      </w:pPr>
      <w:rPr>
        <w:rFonts w:ascii="Symbol" w:hAnsi="Symbol"/>
      </w:rPr>
    </w:lvl>
    <w:lvl w:ilvl="4" w:tplc="23BC0DAC">
      <w:start w:val="1"/>
      <w:numFmt w:val="bullet"/>
      <w:suff w:val="tab"/>
      <w:lvlText w:val="o"/>
      <w:lvlJc w:val="left"/>
      <w:pPr>
        <w:ind w:hanging="360" w:left="3600"/>
        <w:tabs>
          <w:tab w:val="left" w:pos="3600" w:leader="none"/>
        </w:tabs>
      </w:pPr>
      <w:rPr>
        <w:rFonts w:ascii="Courier New" w:hAnsi="Courier New"/>
      </w:rPr>
    </w:lvl>
    <w:lvl w:ilvl="5" w:tplc="59CC97C7">
      <w:start w:val="1"/>
      <w:numFmt w:val="bullet"/>
      <w:suff w:val="tab"/>
      <w:lvlText w:val=""/>
      <w:lvlJc w:val="left"/>
      <w:pPr>
        <w:ind w:hanging="360" w:left="4320"/>
        <w:tabs>
          <w:tab w:val="left" w:pos="4320" w:leader="none"/>
        </w:tabs>
      </w:pPr>
      <w:rPr>
        <w:rFonts w:ascii="Wingdings" w:hAnsi="Wingdings"/>
      </w:rPr>
    </w:lvl>
    <w:lvl w:ilvl="6" w:tplc="7A92DB7A">
      <w:start w:val="1"/>
      <w:numFmt w:val="bullet"/>
      <w:suff w:val="tab"/>
      <w:lvlText w:val=""/>
      <w:lvlJc w:val="left"/>
      <w:pPr>
        <w:ind w:hanging="360" w:left="5040"/>
        <w:tabs>
          <w:tab w:val="left" w:pos="5040" w:leader="none"/>
        </w:tabs>
      </w:pPr>
      <w:rPr>
        <w:rFonts w:ascii="Symbol" w:hAnsi="Symbol"/>
      </w:rPr>
    </w:lvl>
    <w:lvl w:ilvl="7" w:tplc="7E23446E">
      <w:start w:val="1"/>
      <w:numFmt w:val="bullet"/>
      <w:suff w:val="tab"/>
      <w:lvlText w:val="o"/>
      <w:lvlJc w:val="left"/>
      <w:pPr>
        <w:ind w:hanging="360" w:left="5760"/>
        <w:tabs>
          <w:tab w:val="left" w:pos="5760" w:leader="none"/>
        </w:tabs>
      </w:pPr>
      <w:rPr>
        <w:rFonts w:ascii="Courier New" w:hAnsi="Courier New"/>
      </w:rPr>
    </w:lvl>
    <w:lvl w:ilvl="8" w:tplc="436A5BDD">
      <w:start w:val="1"/>
      <w:numFmt w:val="bullet"/>
      <w:suff w:val="tab"/>
      <w:lvlText w:val=""/>
      <w:lvlJc w:val="left"/>
      <w:pPr>
        <w:ind w:hanging="360" w:left="6480"/>
        <w:tabs>
          <w:tab w:val="left" w:pos="6480" w:leader="none"/>
        </w:tabs>
      </w:pPr>
      <w:rPr>
        <w:rFonts w:ascii="Wingdings" w:hAnsi="Wingdings"/>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4"/>
    <w:basedOn w:val="P0"/>
    <w:next w:val="P0"/>
    <w:qFormat/>
    <w:pPr>
      <w:keepNext w:val="1"/>
      <w:spacing w:before="240" w:after="60"/>
      <w:outlineLvl w:val="3"/>
    </w:pPr>
    <w:rPr>
      <w:b w:val="1"/>
      <w:sz w:val="28"/>
    </w:rPr>
  </w:style>
  <w:style w:type="paragraph" w:styleId="P2">
    <w:name w:val="Header"/>
    <w:basedOn w:val="P0"/>
    <w:next w:val="P2"/>
    <w:pPr>
      <w:tabs>
        <w:tab w:val="center" w:pos="4320" w:leader="none"/>
        <w:tab w:val="right" w:pos="8640" w:leader="none"/>
      </w:tabs>
    </w:pPr>
    <w:rPr/>
  </w:style>
  <w:style w:type="paragraph" w:styleId="P3">
    <w:name w:val="Footer"/>
    <w:basedOn w:val="P0"/>
    <w:next w:val="P3"/>
    <w:pPr>
      <w:tabs>
        <w:tab w:val="center" w:pos="4320" w:leader="none"/>
        <w:tab w:val="right" w:pos="8640" w:leader="none"/>
      </w:tabs>
    </w:pPr>
    <w:rPr/>
  </w:style>
  <w:style w:type="paragraph" w:styleId="P4">
    <w:name w:val="Body Text"/>
    <w:basedOn w:val="P0"/>
    <w:next w:val="P4"/>
    <w:pPr>
      <w:spacing w:after="120"/>
    </w:pPr>
    <w:rPr/>
  </w:style>
  <w:style w:type="paragraph" w:styleId="P5">
    <w:name w:val="Balloon Text"/>
    <w:basedOn w:val="P0"/>
    <w:next w:val="P5"/>
    <w:link w:val="C3"/>
    <w:pPr/>
    <w:rPr>
      <w:rFonts w:ascii="Segoe UI" w:hAnsi="Segoe UI"/>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link w:val="P5"/>
    <w:rPr>
      <w:rFonts w:ascii="Segoe UI" w:hAnsi="Segoe UI"/>
      <w:sz w:val="18"/>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2013-12-27T13:46:00Z</dcterms:created>
  <cp:lastModifiedBy>Nikola Kapetanovic</cp:lastModifiedBy>
  <cp:lastPrinted>2017-12-28T10:29:00Z</cp:lastPrinted>
  <dcterms:modified xsi:type="dcterms:W3CDTF">2020-01-10T11:38:05Z</dcterms:modified>
  <cp:revision>42</cp:revision>
  <dc:title>December 29, 2011</dc:title>
</cp:coreProperties>
</file>