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D3076C" Type="http://schemas.openxmlformats.org/officeDocument/2006/relationships/officeDocument" Target="/word/document.xml" /><Relationship Id="coreR3FD307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8908"/>
        </w:trPr>
        <w:tc>
          <w:tcPr>
            <w:tcW w:w="9865" w:type="dxa"/>
          </w:tcPr>
          <w:p>
            <w:pPr>
              <w:jc w:val="right"/>
              <w:rPr>
                <w:rFonts w:ascii="Tahoma" w:hAnsi="Tahoma"/>
                <w:sz w:val="23"/>
              </w:rPr>
            </w:pPr>
            <w:r>
              <w:rPr>
                <w:rFonts w:ascii="Tahoma" w:hAnsi="Tahoma"/>
                <w:sz w:val="23"/>
              </w:rPr>
              <w:t>30.11.2018</w:t>
            </w:r>
          </w:p>
          <w:tbl>
            <w:tblPr>
              <w:tblStyle w:val="T2"/>
              <w:tblW w:w="0" w:type="auto"/>
              <w:tblInd w:w="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1140"/>
              </w:trPr>
              <w:tc>
                <w:tcPr>
                  <w:tcW w:w="9371" w:type="dxa"/>
                  <w:tcBorders>
                    <w:top w:val="none" w:sz="0" w:space="0" w:shadow="0" w:frame="0"/>
                    <w:left w:val="none" w:sz="0" w:space="0" w:shadow="0" w:frame="0"/>
                    <w:bottom w:val="none" w:sz="0" w:space="0" w:shadow="0" w:frame="0"/>
                    <w:right w:val="none" w:sz="0" w:space="0" w:shadow="0" w:frame="0"/>
                  </w:tcBorders>
                </w:tcPr>
                <w:p>
                  <w:pPr>
                    <w:tabs>
                      <w:tab w:val="left" w:pos="684" w:leader="none"/>
                    </w:tabs>
                    <w:jc w:val="center"/>
                    <w:rPr>
                      <w:rFonts w:ascii="Tahoma" w:hAnsi="Tahoma"/>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r>
                    <w:rPr>
                      <w:rFonts w:ascii="Tahoma" w:hAnsi="Tahoma"/>
                      <w:b w:val="1"/>
                      <w:sz w:val="23"/>
                    </w:rPr>
                    <w:t>Quarterly Gross Domestic Product in the Republic of Serbia</w:t>
                  </w:r>
                </w:p>
                <w:p>
                  <w:pPr>
                    <w:tabs>
                      <w:tab w:val="left" w:pos="684" w:leader="none"/>
                    </w:tabs>
                    <w:jc w:val="center"/>
                    <w:rPr>
                      <w:rFonts w:ascii="Tahoma" w:hAnsi="Tahoma"/>
                      <w:b w:val="1"/>
                      <w:sz w:val="23"/>
                    </w:rPr>
                  </w:pPr>
                  <w:r>
                    <w:rPr>
                      <w:rFonts w:ascii="Tahoma" w:hAnsi="Tahoma"/>
                      <w:b w:val="1"/>
                      <w:sz w:val="23"/>
                    </w:rPr>
                    <w:t xml:space="preserve">– </w:t>
                  </w:r>
                  <w:r>
                    <w:rPr>
                      <w:rFonts w:ascii="Tahoma" w:hAnsi="Tahoma"/>
                      <w:b w:val="1"/>
                      <w:sz w:val="23"/>
                    </w:rPr>
                    <w:t>3</w:t>
                  </w:r>
                  <w:r>
                    <w:rPr>
                      <w:rFonts w:ascii="Tahoma" w:hAnsi="Tahoma"/>
                      <w:b w:val="1"/>
                      <w:sz w:val="23"/>
                      <w:vertAlign w:val="superscript"/>
                    </w:rPr>
                    <w:t>rd</w:t>
                  </w:r>
                  <w:r>
                    <w:rPr>
                      <w:rFonts w:ascii="Tahoma" w:hAnsi="Tahoma"/>
                      <w:b w:val="1"/>
                      <w:sz w:val="23"/>
                    </w:rPr>
                    <w:t xml:space="preserve"> Quarter 201</w:t>
                  </w:r>
                  <w:r>
                    <w:rPr>
                      <w:rFonts w:ascii="Tahoma" w:hAnsi="Tahoma"/>
                      <w:b w:val="1"/>
                      <w:sz w:val="23"/>
                    </w:rPr>
                    <w:t>8</w:t>
                  </w:r>
                  <w:r>
                    <w:rPr>
                      <w:rFonts w:ascii="Tahoma" w:hAnsi="Tahoma"/>
                      <w:b w:val="1"/>
                      <w:sz w:val="23"/>
                    </w:rPr>
                    <w:t xml:space="preserve"> –</w:t>
                  </w:r>
                </w:p>
                <w:p>
                  <w:pPr>
                    <w:jc w:val="center"/>
                    <w:rPr>
                      <w:rFonts w:ascii="Tahoma" w:hAnsi="Tahoma"/>
                      <w:sz w:val="16"/>
                    </w:rPr>
                  </w:pPr>
                </w:p>
              </w:tc>
            </w:tr>
          </w:tbl>
          <w:p>
            <w:pPr>
              <w:jc w:val="both"/>
              <w:rPr>
                <w:rFonts w:ascii="Tahoma" w:hAnsi="Tahoma"/>
                <w:sz w:val="16"/>
              </w:rPr>
            </w:pP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In this statistical release, Statistical Office of the Republic of Serbia communicates revised results of the quarterly gross domestic product calculations according to production and expenditure approach, at current and constant prices. The main reason for quarterly GDP revision was revision of annual data at current and constant prices for period 2005-2017.</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 xml:space="preserve">The real GDP growth in the third quarter of 2018, compared to the corresponding period of the previous year, amounted 3.8%. </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 xml:space="preserve">According to seasonally adjusted GDP data, gross domestic product increased by 0.5% in the third quarter of 2018, compared to the previous quarter. </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 xml:space="preserve">Observed by activities, in the third quarter of 2018, compared to the same quarter of the previous year, significant real growth in the gross value added was recorded in the section of agriculture, forestry and fishing – 15.9%, section of construction – 7.0%, and the section of wholesale and retail trade; repair of motor vehicles and motorcycles; transportation and storage and accommodation and food service activities – 6.1%. </w:t>
            </w:r>
          </w:p>
          <w:p>
            <w:pPr>
              <w:spacing w:lineRule="auto" w:line="276"/>
              <w:ind w:firstLine="397"/>
              <w:jc w:val="both"/>
              <w:rPr>
                <w:rFonts w:ascii="Tahoma" w:hAnsi="Tahoma"/>
                <w:sz w:val="22"/>
              </w:rPr>
            </w:pPr>
          </w:p>
          <w:p>
            <w:pPr>
              <w:spacing w:lineRule="auto" w:line="276"/>
              <w:ind w:firstLine="397"/>
              <w:jc w:val="both"/>
              <w:rPr>
                <w:rFonts w:ascii="Tahoma" w:hAnsi="Tahoma"/>
                <w:sz w:val="22"/>
              </w:rPr>
            </w:pPr>
            <w:r>
              <w:rPr>
                <w:rFonts w:ascii="Tahoma" w:hAnsi="Tahoma"/>
                <w:sz w:val="22"/>
              </w:rPr>
              <w:t xml:space="preserve">Observed by expenditure aggregates, in the third quarter of 2018, compared to the same quarter of the previous year, real growth was noted in all aggregates: the household final consumption expenditure – 3.3%, the non-profit institutions serving households (NPISH) final consumption expenditure – 3.6%, the general government final consumption expenditure – 4.0%, gross fixed capital formation – 7.0%, the exports of goods and services – 9.1% and the import of goods and services – 11.2%. </w:t>
            </w:r>
          </w:p>
          <w:p>
            <w:pPr>
              <w:spacing w:lineRule="auto" w:line="276"/>
              <w:ind w:firstLine="397"/>
              <w:jc w:val="both"/>
              <w:rPr>
                <w:rFonts w:ascii="Tahoma" w:hAnsi="Tahoma"/>
                <w:sz w:val="22"/>
              </w:rPr>
            </w:pPr>
          </w:p>
          <w:p>
            <w:pPr>
              <w:spacing w:lineRule="auto" w:line="288" w:before="120"/>
              <w:ind w:firstLine="403"/>
              <w:jc w:val="both"/>
              <w:rPr>
                <w:rFonts w:ascii="Tahoma" w:hAnsi="Tahoma"/>
                <w:sz w:val="23"/>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Mirjana Smolčić, Head</w:t>
          </w:r>
        </w:p>
        <w:p>
          <w:pPr>
            <w:rPr>
              <w:rFonts w:ascii="Tahoma" w:hAnsi="Tahoma"/>
              <w:color w:val="808080"/>
              <w:sz w:val="20"/>
            </w:rPr>
          </w:pPr>
          <w:r>
            <w:rPr>
              <w:rFonts w:ascii="Tahoma" w:hAnsi="Tahoma"/>
              <w:color w:val="808080"/>
              <w:sz w:val="20"/>
            </w:rPr>
            <w:t>Quarterly National Accounts Division</w:t>
          </w:r>
        </w:p>
        <w:p>
          <w:pPr>
            <w:jc w:val="both"/>
            <w:rPr>
              <w:rFonts w:ascii="Tahoma" w:hAnsi="Tahoma"/>
              <w:color w:val="808080"/>
              <w:sz w:val="20"/>
            </w:rPr>
          </w:pPr>
          <w:r>
            <w:rPr>
              <w:rFonts w:ascii="Tahoma" w:hAnsi="Tahoma"/>
              <w:color w:val="808080"/>
              <w:sz w:val="20"/>
            </w:rPr>
            <w:t>Phone: +381 11 2-412-922 ext. 256</w:t>
          </w:r>
        </w:p>
        <w:p>
          <w:pPr>
            <w:jc w:val="both"/>
            <w:rPr>
              <w:rFonts w:ascii="Tahoma" w:hAnsi="Tahoma"/>
              <w:color w:val="808080"/>
              <w:sz w:val="20"/>
            </w:rPr>
          </w:pPr>
          <w:r>
            <w:rPr>
              <w:rFonts w:ascii="Tahoma" w:hAnsi="Tahoma"/>
              <w:color w:val="808080"/>
              <w:sz w:val="20"/>
            </w:rPr>
            <w:t>e-mail: mirjana.smolcic@stat.gov.rs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Miladin Kovačević, PhD</w:t>
          </w:r>
        </w:p>
        <w:p>
          <w:pPr>
            <w:jc w:val="both"/>
            <w:rPr>
              <w:rFonts w:ascii="Tahoma" w:hAnsi="Tahoma"/>
              <w:color w:val="808080"/>
              <w:sz w:val="20"/>
            </w:rPr>
          </w:pPr>
        </w:p>
        <w:p>
          <w:pPr>
            <w:jc w:val="both"/>
            <w:rPr>
              <w:rFonts w:ascii="Tahoma" w:hAnsi="Tahoma"/>
              <w:sz w:val="20"/>
            </w:rPr>
          </w:pPr>
        </w:p>
      </w:tc>
    </w:tr>
  </w:tbl>
  <w:p>
    <w:pPr>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5"/>
              <w:rFonts w:ascii="Tahoma" w:hAnsi="Tahoma"/>
              <w:sz w:val="20"/>
            </w:rPr>
            <w:instrText xml:space="preserve"> NUMPAGES </w:instrText>
          </w:r>
          <w:r>
            <w:rPr>
              <w:rStyle w:val="C5"/>
              <w:rFonts w:ascii="Tahoma" w:hAnsi="Tahoma"/>
              <w:sz w:val="20"/>
            </w:rPr>
            <w:fldChar w:fldCharType="separate"/>
          </w:r>
          <w:r>
            <w:rPr>
              <w:rStyle w:val="C5"/>
              <w:rFonts w:ascii="Tahoma" w:hAnsi="Tahoma"/>
              <w:sz w:val="20"/>
            </w:rPr>
            <w:t>#</w:t>
          </w:r>
          <w:r>
            <w:rPr>
              <w:rStyle w:val="C5"/>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35D67E91"/>
    <w:multiLevelType w:val="hybridMultilevel"/>
    <w:lvl w:ilvl="0" w:tplc="39AA7CC6">
      <w:start w:val="30"/>
      <w:numFmt w:val="bullet"/>
      <w:suff w:val="tab"/>
      <w:lvlText w:val="-"/>
      <w:lvlJc w:val="left"/>
      <w:pPr>
        <w:ind w:hanging="360" w:left="720"/>
        <w:tabs>
          <w:tab w:val="left" w:pos="720" w:leader="none"/>
        </w:tabs>
      </w:pPr>
      <w:rPr>
        <w:rFonts w:ascii="Tahoma" w:hAnsi="Tahoma"/>
      </w:rPr>
    </w:lvl>
    <w:lvl w:ilvl="1" w:tplc="54FCA118">
      <w:start w:val="1"/>
      <w:numFmt w:val="bullet"/>
      <w:suff w:val="tab"/>
      <w:lvlText w:val="o"/>
      <w:lvlJc w:val="left"/>
      <w:pPr>
        <w:ind w:hanging="360" w:left="1440"/>
        <w:tabs>
          <w:tab w:val="left" w:pos="1440" w:leader="none"/>
        </w:tabs>
      </w:pPr>
      <w:rPr>
        <w:rFonts w:ascii="Courier New" w:hAnsi="Courier New"/>
      </w:rPr>
    </w:lvl>
    <w:lvl w:ilvl="2" w:tplc="38CD74FD">
      <w:start w:val="1"/>
      <w:numFmt w:val="bullet"/>
      <w:suff w:val="tab"/>
      <w:lvlText w:val=""/>
      <w:lvlJc w:val="left"/>
      <w:pPr>
        <w:ind w:hanging="360" w:left="2160"/>
        <w:tabs>
          <w:tab w:val="left" w:pos="2160" w:leader="none"/>
        </w:tabs>
      </w:pPr>
      <w:rPr>
        <w:rFonts w:ascii="Wingdings" w:hAnsi="Wingdings"/>
      </w:rPr>
    </w:lvl>
    <w:lvl w:ilvl="3" w:tplc="325832F5">
      <w:start w:val="1"/>
      <w:numFmt w:val="bullet"/>
      <w:suff w:val="tab"/>
      <w:lvlText w:val=""/>
      <w:lvlJc w:val="left"/>
      <w:pPr>
        <w:ind w:hanging="360" w:left="2880"/>
        <w:tabs>
          <w:tab w:val="left" w:pos="2880" w:leader="none"/>
        </w:tabs>
      </w:pPr>
      <w:rPr>
        <w:rFonts w:ascii="Symbol" w:hAnsi="Symbol"/>
      </w:rPr>
    </w:lvl>
    <w:lvl w:ilvl="4" w:tplc="493A9D59">
      <w:start w:val="1"/>
      <w:numFmt w:val="bullet"/>
      <w:suff w:val="tab"/>
      <w:lvlText w:val="o"/>
      <w:lvlJc w:val="left"/>
      <w:pPr>
        <w:ind w:hanging="360" w:left="3600"/>
        <w:tabs>
          <w:tab w:val="left" w:pos="3600" w:leader="none"/>
        </w:tabs>
      </w:pPr>
      <w:rPr>
        <w:rFonts w:ascii="Courier New" w:hAnsi="Courier New"/>
      </w:rPr>
    </w:lvl>
    <w:lvl w:ilvl="5" w:tplc="261306DE">
      <w:start w:val="1"/>
      <w:numFmt w:val="bullet"/>
      <w:suff w:val="tab"/>
      <w:lvlText w:val=""/>
      <w:lvlJc w:val="left"/>
      <w:pPr>
        <w:ind w:hanging="360" w:left="4320"/>
        <w:tabs>
          <w:tab w:val="left" w:pos="4320" w:leader="none"/>
        </w:tabs>
      </w:pPr>
      <w:rPr>
        <w:rFonts w:ascii="Wingdings" w:hAnsi="Wingdings"/>
      </w:rPr>
    </w:lvl>
    <w:lvl w:ilvl="6" w:tplc="3D6DC9C1">
      <w:start w:val="1"/>
      <w:numFmt w:val="bullet"/>
      <w:suff w:val="tab"/>
      <w:lvlText w:val=""/>
      <w:lvlJc w:val="left"/>
      <w:pPr>
        <w:ind w:hanging="360" w:left="5040"/>
        <w:tabs>
          <w:tab w:val="left" w:pos="5040" w:leader="none"/>
        </w:tabs>
      </w:pPr>
      <w:rPr>
        <w:rFonts w:ascii="Symbol" w:hAnsi="Symbol"/>
      </w:rPr>
    </w:lvl>
    <w:lvl w:ilvl="7" w:tplc="2A5B28F6">
      <w:start w:val="1"/>
      <w:numFmt w:val="bullet"/>
      <w:suff w:val="tab"/>
      <w:lvlText w:val="o"/>
      <w:lvlJc w:val="left"/>
      <w:pPr>
        <w:ind w:hanging="360" w:left="5760"/>
        <w:tabs>
          <w:tab w:val="left" w:pos="5760" w:leader="none"/>
        </w:tabs>
      </w:pPr>
      <w:rPr>
        <w:rFonts w:ascii="Courier New" w:hAnsi="Courier New"/>
      </w:rPr>
    </w:lvl>
    <w:lvl w:ilvl="8" w:tplc="69601CF0">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Car Car"/>
    <w:basedOn w:val="P0"/>
    <w:next w:val="P3"/>
    <w:pPr>
      <w:spacing w:lineRule="exact" w:line="240" w:after="160"/>
    </w:pPr>
    <w:rPr>
      <w:rFonts w:ascii="Verdana" w:hAnsi="Verdana"/>
      <w:i w:val="1"/>
      <w:sz w:val="20"/>
    </w:rPr>
  </w:style>
  <w:style w:type="paragraph" w:styleId="P4">
    <w:name w:val="Normal (Web)"/>
    <w:basedOn w:val="P0"/>
    <w:next w:val="P4"/>
    <w:pPr>
      <w:spacing w:before="100" w:after="100" w:beforeAutospacing="1" w:afterAutospacing="1"/>
    </w:pPr>
    <w:rPr/>
  </w:style>
  <w:style w:type="paragraph" w:styleId="P5">
    <w:name w:val="Balloon Text"/>
    <w:basedOn w:val="P0"/>
    <w:next w:val="P5"/>
    <w:link w:val="C4"/>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Balloon Text Char"/>
    <w:link w:val="P5"/>
    <w:rPr>
      <w:rFonts w:ascii="Segoe UI" w:hAnsi="Segoe UI"/>
      <w:sz w:val="18"/>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2018-11-29T15:06:00Z</dcterms:created>
  <cp:lastModifiedBy>Nikola Kapetanovic</cp:lastModifiedBy>
  <cp:lastPrinted>2018-05-31T07:45:00Z</cp:lastPrinted>
  <dcterms:modified xsi:type="dcterms:W3CDTF">2020-01-10T11:38:05Z</dcterms:modified>
  <cp:revision>7</cp:revision>
  <dc:title>29</dc:title>
</cp:coreProperties>
</file>