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107E82A4" Type="http://schemas.openxmlformats.org/officeDocument/2006/relationships/officeDocument" Target="/word/document.xml" /><Relationship Id="coreR107E82A4"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tbl>
      <w:tblPr>
        <w:tblStyle w:val="T2"/>
        <w:tblW w:w="10566" w:type="dxa"/>
        <w:tblBorders>
          <w:top w:val="none" w:sz="0" w:space="0" w:shadow="0" w:frame="0"/>
          <w:left w:val="none" w:sz="0" w:space="0" w:shadow="0" w:frame="0"/>
          <w:bottom w:val="none" w:sz="0" w:space="0" w:shadow="0" w:frame="0"/>
          <w:right w:val="none" w:sz="0" w:space="0" w:shadow="0" w:frame="0"/>
          <w:insideH w:val="single" w:sz="4" w:space="0" w:shadow="0" w:frame="0"/>
          <w:insideV w:val="none" w:sz="0" w:space="0" w:shadow="0" w:frame="0"/>
        </w:tblBorders>
        <w:tblLayout w:type="fixed"/>
      </w:tblPr>
      <w:tblGrid/>
      <w:tr>
        <w:trPr>
          <w:wAfter w:w="0" w:type="dxa"/>
        </w:trPr>
        <w:tc>
          <w:tcPr>
            <w:tcW w:w="3978" w:type="dxa"/>
          </w:tcPr>
          <w:p>
            <w:pPr>
              <w:pStyle w:val="P2"/>
            </w:pPr>
            <w:r>
              <w:drawing>
                <wp:inline xmlns:wp="http://schemas.openxmlformats.org/drawingml/2006/wordprocessingDrawing">
                  <wp:extent cx="1564005" cy="709930"/>
                  <wp:docPr id="1" name="Picture 1"/>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1564005" cy="709930"/>
                          </a:xfrm>
                          <a:prstGeom prst="rect"/>
                          <a:noFill/>
                        </pic:spPr>
                      </pic:pic>
                    </a:graphicData>
                  </a:graphic>
                </wp:inline>
              </w:drawing>
            </w:r>
          </w:p>
          <w:p>
            <w:pPr>
              <w:pStyle w:val="P2"/>
              <w:rPr>
                <w:rFonts w:ascii="Tahoma" w:hAnsi="Tahoma"/>
                <w:sz w:val="20"/>
              </w:rPr>
            </w:pPr>
            <w:r>
              <w:rPr>
                <w:rFonts w:ascii="Tahoma" w:hAnsi="Tahoma"/>
                <w:sz w:val="20"/>
              </w:rPr>
              <w:t xml:space="preserve">Statistical Office of the Republic of Serbia </w:t>
            </w:r>
          </w:p>
        </w:tc>
        <w:tc>
          <w:tcPr>
            <w:tcW w:w="6588" w:type="dxa"/>
          </w:tcPr>
          <w:p>
            <w:pPr>
              <w:pStyle w:val="P2"/>
              <w:jc w:val="right"/>
              <w:rPr>
                <w:rFonts w:ascii="Tahoma" w:hAnsi="Tahoma"/>
                <w:sz w:val="32"/>
              </w:rPr>
            </w:pPr>
            <w:r>
              <w:rPr>
                <w:rFonts w:ascii="Tahoma" w:hAnsi="Tahoma"/>
                <w:sz w:val="32"/>
              </w:rPr>
              <w:t>Press Release</w:t>
            </w:r>
          </w:p>
          <w:p>
            <w:pPr>
              <w:pStyle w:val="P2"/>
              <w:jc w:val="right"/>
              <w:rPr>
                <w:rFonts w:ascii="Tahoma" w:hAnsi="Tahoma"/>
              </w:rPr>
            </w:pPr>
          </w:p>
          <w:p>
            <w:pPr>
              <w:pStyle w:val="P2"/>
              <w:jc w:val="right"/>
              <w:rPr>
                <w:rFonts w:ascii="Tahoma" w:hAnsi="Tahoma"/>
                <w:sz w:val="20"/>
              </w:rPr>
            </w:pPr>
            <w:r>
              <w:rPr>
                <w:rFonts w:ascii="Tahoma" w:hAnsi="Tahoma"/>
                <w:sz w:val="20"/>
              </w:rPr>
              <w:t>Belgrade, Milana Rakica 5</w:t>
            </w:r>
          </w:p>
          <w:p>
            <w:pPr>
              <w:pStyle w:val="P2"/>
              <w:jc w:val="right"/>
              <w:rPr>
                <w:rFonts w:ascii="Tahoma" w:hAnsi="Tahoma"/>
                <w:sz w:val="20"/>
              </w:rPr>
            </w:pPr>
            <w:r>
              <w:rPr>
                <w:rFonts w:ascii="Tahoma" w:hAnsi="Tahoma"/>
                <w:sz w:val="20"/>
              </w:rPr>
              <w:t>Phone +381 11 2412-922</w:t>
            </w:r>
          </w:p>
          <w:p>
            <w:pPr>
              <w:pStyle w:val="P2"/>
              <w:jc w:val="right"/>
              <w:rPr>
                <w:rFonts w:ascii="Tahoma" w:hAnsi="Tahoma"/>
                <w:sz w:val="20"/>
              </w:rPr>
            </w:pPr>
            <w:r>
              <w:rPr>
                <w:rFonts w:ascii="Tahoma" w:hAnsi="Tahoma"/>
                <w:sz w:val="20"/>
              </w:rPr>
              <w:t>www.stat.gov.rs</w:t>
            </w:r>
          </w:p>
          <w:p>
            <w:pPr>
              <w:pStyle w:val="P2"/>
              <w:jc w:val="right"/>
              <w:rPr>
                <w:rFonts w:ascii="Tahoma" w:hAnsi="Tahoma"/>
                <w:sz w:val="20"/>
              </w:rPr>
            </w:pPr>
            <w:r>
              <w:rPr>
                <w:rFonts w:ascii="Tahoma" w:hAnsi="Tahoma"/>
                <w:sz w:val="20"/>
              </w:rPr>
              <w:t>stat@stat.gov.rs</w:t>
            </w:r>
          </w:p>
        </w:tc>
      </w:tr>
    </w:tbl>
    <w:p/>
    <w:p/>
    <w:p>
      <w:pPr>
        <w:ind w:left="7200"/>
        <w:rPr>
          <w:rFonts w:ascii="Arial" w:hAnsi="Arial"/>
          <w:b w:val="1"/>
          <w:sz w:val="20"/>
        </w:rPr>
      </w:pPr>
      <w:r>
        <w:rPr>
          <w:rFonts w:ascii="Arial" w:hAnsi="Arial"/>
          <w:b w:val="1"/>
          <w:sz w:val="20"/>
        </w:rPr>
        <w:t>Novem</w:t>
      </w:r>
      <w:r>
        <w:rPr>
          <w:rFonts w:ascii="Arial" w:hAnsi="Arial"/>
          <w:b w:val="1"/>
          <w:sz w:val="20"/>
        </w:rPr>
        <w:t>ber</w:t>
      </w:r>
      <w:r>
        <w:rPr>
          <w:rFonts w:ascii="Arial" w:hAnsi="Arial"/>
          <w:b w:val="1"/>
          <w:sz w:val="20"/>
        </w:rPr>
        <w:t xml:space="preserve"> </w:t>
      </w:r>
      <w:r>
        <w:rPr>
          <w:rFonts w:ascii="Arial" w:hAnsi="Arial"/>
          <w:b w:val="1"/>
          <w:sz w:val="20"/>
        </w:rPr>
        <w:t>3</w:t>
      </w:r>
      <w:r>
        <w:rPr>
          <w:rFonts w:ascii="Arial" w:hAnsi="Arial"/>
          <w:b w:val="1"/>
          <w:sz w:val="20"/>
        </w:rPr>
        <w:t>0</w:t>
      </w:r>
      <w:r>
        <w:rPr>
          <w:rFonts w:ascii="Arial" w:hAnsi="Arial"/>
          <w:b w:val="1"/>
          <w:sz w:val="20"/>
        </w:rPr>
        <w:t>, 201</w:t>
      </w:r>
      <w:r>
        <w:rPr>
          <w:rFonts w:ascii="Arial" w:hAnsi="Arial"/>
          <w:b w:val="1"/>
          <w:sz w:val="20"/>
        </w:rPr>
        <w:t>8</w:t>
      </w:r>
    </w:p>
    <w:p>
      <w:pPr>
        <w:rPr>
          <w:rFonts w:ascii="Arial" w:hAnsi="Arial"/>
          <w:b w:val="1"/>
        </w:rPr>
      </w:pPr>
    </w:p>
    <w:p>
      <w:pPr>
        <w:pStyle w:val="P1"/>
        <w:jc w:val="left"/>
        <w:rPr>
          <w:sz w:val="22"/>
        </w:rPr>
      </w:pPr>
      <w:r>
        <w:rPr>
          <w:sz w:val="22"/>
        </w:rPr>
        <w:t>RETAIL TRADE TURNOVER, October 2018</w:t>
      </w:r>
    </w:p>
    <w:p/>
    <w:p>
      <w:pPr>
        <w:spacing w:after="120"/>
        <w:jc w:val="both"/>
        <w:rPr>
          <w:rFonts w:ascii="Arial" w:hAnsi="Arial"/>
          <w:b w:val="1"/>
          <w:sz w:val="22"/>
        </w:rPr>
      </w:pPr>
      <w:r>
        <w:rPr>
          <w:rFonts w:ascii="Arial" w:hAnsi="Arial"/>
          <w:b w:val="1"/>
          <w:sz w:val="22"/>
        </w:rPr>
        <w:t>Octo</w:t>
      </w:r>
      <w:r>
        <w:rPr>
          <w:rFonts w:ascii="Arial" w:hAnsi="Arial"/>
          <w:b w:val="1"/>
          <w:sz w:val="22"/>
        </w:rPr>
        <w:t>ber</w:t>
      </w:r>
      <w:r>
        <w:rPr>
          <w:rFonts w:ascii="Arial" w:hAnsi="Arial"/>
          <w:b w:val="1"/>
          <w:sz w:val="22"/>
        </w:rPr>
        <w:t xml:space="preserve"> 201</w:t>
      </w:r>
      <w:r>
        <w:rPr>
          <w:rFonts w:ascii="Arial" w:hAnsi="Arial"/>
          <w:b w:val="1"/>
          <w:sz w:val="22"/>
        </w:rPr>
        <w:t>8</w:t>
      </w:r>
    </w:p>
    <w:p>
      <w:pPr>
        <w:spacing w:after="120"/>
        <w:jc w:val="both"/>
        <w:rPr>
          <w:rFonts w:ascii="Arial" w:hAnsi="Arial"/>
          <w:sz w:val="22"/>
        </w:rPr>
      </w:pPr>
    </w:p>
    <w:p>
      <w:pPr>
        <w:spacing w:after="120"/>
        <w:jc w:val="both"/>
        <w:rPr>
          <w:rFonts w:ascii="Arial" w:hAnsi="Arial"/>
          <w:sz w:val="20"/>
        </w:rPr>
      </w:pPr>
      <w:r>
        <w:rPr>
          <w:rFonts w:ascii="Arial" w:hAnsi="Arial"/>
          <w:sz w:val="22"/>
        </w:rPr>
        <w:t xml:space="preserve">The retail trade turnover in the Republic of Serbia in October 2018 compared with October 2017, increased by 9.2% at current prices and by 5.3% at constant prices. </w:t>
      </w:r>
    </w:p>
    <w:p>
      <w:pPr>
        <w:jc w:val="both"/>
        <w:rPr>
          <w:rFonts w:ascii="Arial" w:hAnsi="Arial"/>
          <w:sz w:val="10"/>
        </w:rPr>
      </w:pPr>
    </w:p>
    <w:p>
      <w:pPr>
        <w:pStyle w:val="P3"/>
        <w:spacing w:after="0"/>
        <w:ind w:left="0"/>
        <w:jc w:val="both"/>
        <w:rPr>
          <w:rFonts w:ascii="Tahoma" w:hAnsi="Tahoma"/>
          <w:b w:val="1"/>
          <w:sz w:val="20"/>
        </w:rPr>
      </w:pPr>
    </w:p>
    <w:p>
      <w:pPr>
        <w:spacing w:after="120"/>
        <w:jc w:val="both"/>
        <w:rPr>
          <w:rFonts w:ascii="Arial" w:hAnsi="Arial"/>
          <w:b w:val="1"/>
          <w:sz w:val="22"/>
        </w:rPr>
      </w:pPr>
      <w:r>
        <w:rPr>
          <w:rFonts w:ascii="Arial" w:hAnsi="Arial"/>
          <w:b w:val="1"/>
          <w:sz w:val="22"/>
        </w:rPr>
        <w:t xml:space="preserve">January - </w:t>
      </w:r>
      <w:r>
        <w:rPr>
          <w:rFonts w:ascii="Arial" w:hAnsi="Arial"/>
          <w:b w:val="1"/>
          <w:sz w:val="22"/>
        </w:rPr>
        <w:t>Octo</w:t>
      </w:r>
      <w:r>
        <w:rPr>
          <w:rFonts w:ascii="Arial" w:hAnsi="Arial"/>
          <w:b w:val="1"/>
          <w:sz w:val="22"/>
        </w:rPr>
        <w:t>ber</w:t>
      </w:r>
      <w:r>
        <w:rPr>
          <w:rFonts w:ascii="Arial" w:hAnsi="Arial"/>
          <w:b w:val="1"/>
          <w:sz w:val="22"/>
        </w:rPr>
        <w:t xml:space="preserve"> 201</w:t>
      </w:r>
      <w:r>
        <w:rPr>
          <w:rFonts w:ascii="Arial" w:hAnsi="Arial"/>
          <w:b w:val="1"/>
          <w:sz w:val="22"/>
        </w:rPr>
        <w:t>8</w:t>
      </w:r>
    </w:p>
    <w:p>
      <w:pPr>
        <w:spacing w:after="120"/>
        <w:jc w:val="both"/>
        <w:rPr>
          <w:rFonts w:ascii="Tahoma" w:hAnsi="Tahoma"/>
          <w:b w:val="1"/>
          <w:sz w:val="20"/>
        </w:rPr>
      </w:pPr>
    </w:p>
    <w:p>
      <w:pPr>
        <w:jc w:val="both"/>
        <w:rPr>
          <w:rFonts w:ascii="Arial" w:hAnsi="Arial"/>
          <w:sz w:val="22"/>
        </w:rPr>
      </w:pPr>
      <w:r>
        <w:rPr>
          <w:rFonts w:ascii="Arial" w:hAnsi="Arial"/>
          <w:sz w:val="22"/>
        </w:rPr>
        <w:t>Retail trade turnover in the period January – October 2018, compared with the same period of 2017, increased by 6.8% at current prices and by 4.1% at constant prices.</w:t>
      </w:r>
    </w:p>
    <w:p>
      <w:pPr>
        <w:jc w:val="both"/>
        <w:rPr>
          <w:rFonts w:ascii="Arial" w:hAnsi="Arial"/>
          <w:sz w:val="22"/>
        </w:rPr>
      </w:pPr>
    </w:p>
    <w:p>
      <w:pPr>
        <w:jc w:val="both"/>
        <w:rPr>
          <w:rFonts w:ascii="Arial" w:hAnsi="Arial"/>
          <w:sz w:val="22"/>
        </w:rPr>
      </w:pPr>
      <w:r>
        <w:rPr>
          <w:rFonts w:ascii="Arial" w:hAnsi="Arial"/>
          <w:sz w:val="22"/>
        </w:rPr>
        <w:t xml:space="preserve">Retail trade turnover (division 47 of CA) is obtained from monthly statistical survey “Monthly report on retail trade”, based on the sample and on VAT reports received from Tax administration. </w:t>
      </w:r>
    </w:p>
    <w:p>
      <w:pPr>
        <w:jc w:val="both"/>
        <w:rPr>
          <w:rFonts w:ascii="Arial" w:hAnsi="Arial"/>
          <w:sz w:val="22"/>
        </w:rPr>
      </w:pPr>
    </w:p>
    <w:p>
      <w:pPr>
        <w:jc w:val="both"/>
        <w:rPr>
          <w:rFonts w:ascii="Arial" w:hAnsi="Arial"/>
          <w:color w:val="FF0000"/>
          <w:sz w:val="20"/>
        </w:rPr>
      </w:pPr>
      <w:r>
        <w:rPr>
          <w:rFonts w:ascii="Arial" w:hAnsi="Arial"/>
          <w:sz w:val="22"/>
        </w:rPr>
        <w:t>All published indices ought to be regarded as preliminary, meaning that certain corrections can appear on the basis of the estimated results, obtained from the regular statistical surveys that are conducted on the increased number of sample units.</w:t>
      </w:r>
    </w:p>
    <w:p>
      <w:pPr>
        <w:spacing w:after="120"/>
        <w:jc w:val="both"/>
        <w:rPr>
          <w:rFonts w:ascii="Tahoma" w:hAnsi="Tahoma"/>
          <w:sz w:val="20"/>
        </w:rPr>
      </w:pPr>
    </w:p>
    <w:p>
      <w:pPr>
        <w:jc w:val="both"/>
        <w:rPr>
          <w:rFonts w:ascii="Arial" w:hAnsi="Arial"/>
          <w:sz w:val="22"/>
        </w:rPr>
      </w:pPr>
      <w:r>
        <w:rPr>
          <w:rFonts w:ascii="Arial" w:hAnsi="Arial"/>
          <w:sz w:val="22"/>
        </w:rPr>
        <w:t>The turnover indices at constant prices are obtained by deflating the indices at current prices by the corresponding indices of consumer prices, excluding: water (from public utility systems), electricity and motor vehicles, motorcycles and parts.</w:t>
      </w:r>
    </w:p>
    <w:p>
      <w:pPr>
        <w:jc w:val="both"/>
        <w:rPr>
          <w:rFonts w:ascii="Arial" w:hAnsi="Arial"/>
          <w:sz w:val="22"/>
        </w:rPr>
      </w:pPr>
    </w:p>
    <w:p>
      <w:pPr>
        <w:rPr>
          <w:rFonts w:ascii="Arial" w:hAnsi="Arial"/>
          <w:sz w:val="22"/>
        </w:rPr>
      </w:pPr>
      <w:r>
        <w:rPr>
          <w:rFonts w:ascii="Arial" w:hAnsi="Arial"/>
          <w:sz w:val="22"/>
        </w:rPr>
        <w:t xml:space="preserve">Starting from 1999 the Statistical Office of the Republic of Serbia has not at disposal and may not provide available certain data relative to AP Kosovo and Metohia and therefore these data are not included in the coverage for the Republic of Serbia (total). </w:t>
      </w:r>
    </w:p>
    <w:p>
      <w:pPr>
        <w:jc w:val="both"/>
        <w:rPr>
          <w:rFonts w:ascii="Arial" w:hAnsi="Arial"/>
          <w:sz w:val="22"/>
        </w:rPr>
      </w:pPr>
    </w:p>
    <w:p>
      <w:pPr>
        <w:jc w:val="both"/>
        <w:rPr>
          <w:rFonts w:ascii="Arial" w:hAnsi="Arial"/>
          <w:sz w:val="22"/>
        </w:rPr>
      </w:pPr>
    </w:p>
    <w:p>
      <w:pPr>
        <w:jc w:val="both"/>
        <w:rPr>
          <w:rFonts w:ascii="Arial" w:hAnsi="Arial"/>
          <w:sz w:val="22"/>
        </w:rPr>
      </w:pPr>
    </w:p>
    <w:tbl>
      <w:tblPr>
        <w:tblStyle w:val="T2"/>
        <w:tblW w:w="11268" w:type="dxa"/>
        <w:tblLayout w:type="autofit"/>
      </w:tblPr>
      <w:tblGrid/>
      <w:tr>
        <w:trPr>
          <w:wAfter w:w="0" w:type="dxa"/>
        </w:trPr>
        <w:tc>
          <w:tcPr>
            <w:tcW w:w="5868" w:type="dxa"/>
          </w:tcPr>
          <w:p>
            <w:pPr>
              <w:jc w:val="both"/>
              <w:rPr>
                <w:rFonts w:ascii="Tahoma" w:hAnsi="Tahoma"/>
                <w:color w:val="808080"/>
                <w:sz w:val="20"/>
              </w:rPr>
            </w:pPr>
            <w:r>
              <w:rPr>
                <w:rFonts w:ascii="Tahoma" w:hAnsi="Tahoma"/>
                <w:color w:val="808080"/>
                <w:sz w:val="20"/>
              </w:rPr>
              <w:t>Contact:</w:t>
            </w:r>
          </w:p>
          <w:p>
            <w:pPr>
              <w:jc w:val="both"/>
              <w:rPr>
                <w:rFonts w:ascii="Tahoma" w:hAnsi="Tahoma"/>
                <w:color w:val="808080"/>
                <w:sz w:val="20"/>
              </w:rPr>
            </w:pPr>
            <w:r>
              <w:rPr>
                <w:rFonts w:ascii="Tahoma" w:hAnsi="Tahoma"/>
                <w:color w:val="808080"/>
                <w:sz w:val="20"/>
              </w:rPr>
              <w:t>Sonja Radoicic, Head</w:t>
            </w:r>
          </w:p>
          <w:p>
            <w:pPr>
              <w:rPr>
                <w:rFonts w:ascii="Tahoma" w:hAnsi="Tahoma"/>
                <w:sz w:val="20"/>
              </w:rPr>
            </w:pPr>
            <w:r>
              <w:rPr>
                <w:rFonts w:ascii="Tahoma" w:hAnsi="Tahoma"/>
                <w:sz w:val="20"/>
              </w:rPr>
              <w:t xml:space="preserve">Group for Domestic trade statistics </w:t>
            </w:r>
          </w:p>
          <w:p>
            <w:pPr>
              <w:jc w:val="both"/>
              <w:rPr>
                <w:rFonts w:ascii="Tahoma" w:hAnsi="Tahoma"/>
                <w:color w:val="808080"/>
                <w:sz w:val="20"/>
              </w:rPr>
            </w:pPr>
            <w:r>
              <w:rPr>
                <w:rFonts w:ascii="Tahoma" w:hAnsi="Tahoma"/>
                <w:color w:val="808080"/>
                <w:sz w:val="20"/>
              </w:rPr>
              <w:t>Phone: +381 11 2412-922/216</w:t>
            </w:r>
          </w:p>
          <w:p>
            <w:pPr>
              <w:jc w:val="both"/>
              <w:rPr>
                <w:rFonts w:ascii="Tahoma" w:hAnsi="Tahoma"/>
                <w:color w:val="808080"/>
                <w:sz w:val="20"/>
              </w:rPr>
            </w:pPr>
          </w:p>
          <w:p>
            <w:pPr>
              <w:jc w:val="both"/>
              <w:rPr>
                <w:rFonts w:ascii="Tahoma" w:hAnsi="Tahoma"/>
                <w:color w:val="808080"/>
                <w:sz w:val="20"/>
              </w:rPr>
            </w:pPr>
            <w:r>
              <w:rPr>
                <w:rFonts w:ascii="Tahoma" w:hAnsi="Tahoma"/>
                <w:color w:val="808080"/>
                <w:sz w:val="20"/>
              </w:rPr>
              <w:t>Information and Dissemination Unit</w:t>
            </w:r>
          </w:p>
          <w:p>
            <w:pPr>
              <w:jc w:val="both"/>
              <w:rPr>
                <w:rFonts w:ascii="Tahoma" w:hAnsi="Tahoma"/>
                <w:color w:val="808080"/>
                <w:sz w:val="20"/>
              </w:rPr>
            </w:pPr>
            <w:r>
              <w:rPr>
                <w:rFonts w:ascii="Tahoma" w:hAnsi="Tahoma"/>
                <w:color w:val="808080"/>
                <w:sz w:val="20"/>
              </w:rPr>
              <w:t>Phone: +381 11 2401-284</w:t>
            </w:r>
          </w:p>
          <w:p>
            <w:pPr>
              <w:jc w:val="both"/>
              <w:rPr>
                <w:rFonts w:ascii="Tahoma" w:hAnsi="Tahoma"/>
                <w:sz w:val="20"/>
              </w:rPr>
            </w:pPr>
            <w:r>
              <w:rPr>
                <w:rFonts w:ascii="Tahoma" w:hAnsi="Tahoma"/>
                <w:color w:val="808080"/>
                <w:sz w:val="20"/>
              </w:rPr>
              <w:t>stat@stat.gov.rs</w:t>
            </w:r>
          </w:p>
          <w:p>
            <w:pPr>
              <w:jc w:val="both"/>
              <w:rPr>
                <w:rFonts w:ascii="Tahoma" w:hAnsi="Tahoma"/>
                <w:sz w:val="22"/>
              </w:rPr>
            </w:pPr>
          </w:p>
        </w:tc>
        <w:tc>
          <w:tcPr>
            <w:tcW w:w="5400" w:type="dxa"/>
          </w:tcPr>
          <w:p>
            <w:pPr>
              <w:rPr>
                <w:rFonts w:ascii="Tahoma" w:hAnsi="Tahoma"/>
                <w:sz w:val="20"/>
              </w:rPr>
            </w:pPr>
            <w:r>
              <w:rPr>
                <w:rFonts w:ascii="Tahoma" w:hAnsi="Tahoma"/>
                <w:sz w:val="20"/>
              </w:rPr>
              <w:t>Director,</w:t>
            </w:r>
          </w:p>
          <w:p>
            <w:pPr>
              <w:jc w:val="both"/>
              <w:rPr>
                <w:rFonts w:ascii="Tahoma" w:hAnsi="Tahoma"/>
                <w:sz w:val="20"/>
              </w:rPr>
            </w:pPr>
            <w:r>
              <w:rPr>
                <w:rFonts w:ascii="Tahoma" w:hAnsi="Tahoma"/>
                <w:sz w:val="20"/>
              </w:rPr>
              <w:t xml:space="preserve">Dr Miladin Kovačević </w:t>
            </w:r>
          </w:p>
        </w:tc>
      </w:tr>
    </w:tbl>
    <w:p>
      <w:pPr>
        <w:rPr>
          <w:rFonts w:ascii="Tahoma" w:hAnsi="Tahoma"/>
          <w:sz w:val="16"/>
        </w:rPr>
      </w:pPr>
    </w:p>
    <w:sectPr>
      <w:type w:val="nextPage"/>
      <w:pgMar w:left="1260" w:right="1260" w:top="630" w:bottom="1440" w:header="720" w:footer="720" w:gutter="0"/>
      <w:cols w:equalWidth="1" w:space="72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rPr>
      <w:sz w:val="24"/>
    </w:rPr>
  </w:style>
  <w:style w:type="paragraph" w:styleId="P1">
    <w:name w:val="Heading 2"/>
    <w:basedOn w:val="P0"/>
    <w:next w:val="P0"/>
    <w:qFormat/>
    <w:pPr>
      <w:keepNext w:val="1"/>
      <w:jc w:val="center"/>
      <w:outlineLvl w:val="1"/>
    </w:pPr>
    <w:rPr>
      <w:rFonts w:ascii="Arial" w:hAnsi="Arial"/>
      <w:b w:val="1"/>
      <w:sz w:val="20"/>
    </w:rPr>
  </w:style>
  <w:style w:type="paragraph" w:styleId="P2">
    <w:name w:val="Header"/>
    <w:basedOn w:val="P0"/>
    <w:next w:val="P2"/>
    <w:pPr>
      <w:tabs>
        <w:tab w:val="center" w:pos="4320" w:leader="none"/>
        <w:tab w:val="right" w:pos="8640" w:leader="none"/>
      </w:tabs>
    </w:pPr>
    <w:rPr/>
  </w:style>
  <w:style w:type="paragraph" w:styleId="P3">
    <w:name w:val="Body Text Indent 3"/>
    <w:basedOn w:val="P0"/>
    <w:next w:val="P3"/>
    <w:pPr>
      <w:spacing w:after="120"/>
      <w:ind w:left="360"/>
    </w:pPr>
    <w:rPr>
      <w:sz w:val="16"/>
    </w:rPr>
  </w:style>
  <w:style w:type="paragraph" w:styleId="P4">
    <w:name w:val="Footer"/>
    <w:basedOn w:val="P0"/>
    <w:next w:val="P4"/>
    <w:pPr>
      <w:tabs>
        <w:tab w:val="center" w:pos="4320" w:leader="none"/>
        <w:tab w:val="right" w:pos="8640" w:leader="none"/>
      </w:tabs>
    </w:pPr>
    <w:rPr/>
  </w:style>
  <w:style w:type="paragraph" w:styleId="P5">
    <w:name w:val="Car Car"/>
    <w:basedOn w:val="P0"/>
    <w:next w:val="P5"/>
    <w:link w:val="C0"/>
    <w:pPr>
      <w:spacing w:lineRule="exact" w:line="240" w:after="160"/>
    </w:pPr>
    <w:rPr>
      <w:rFonts w:ascii="Verdana" w:hAnsi="Verdana"/>
      <w:i w:val="1"/>
      <w:sz w:val="20"/>
    </w:rPr>
  </w:style>
  <w:style w:type="paragraph" w:styleId="P6">
    <w:name w:val=" Char Char"/>
    <w:basedOn w:val="P0"/>
    <w:next w:val="P6"/>
    <w:pPr>
      <w:spacing w:lineRule="exact" w:line="240" w:after="160"/>
    </w:pPr>
    <w:rPr>
      <w:rFonts w:ascii="Verdana" w:hAnsi="Verdana"/>
      <w:i w:val="1"/>
      <w:sz w:val="20"/>
    </w:rPr>
  </w:style>
  <w:style w:type="character" w:styleId="C0" w:default="1">
    <w:name w:val="Default Paragraph Font"/>
    <w:link w:val="P5"/>
    <w:semiHidden/>
    <w:rPr>
      <w:rFonts w:ascii="Verdana" w:hAnsi="Verdana"/>
      <w:i w:val="1"/>
      <w:sz w:val="20"/>
    </w:rPr>
  </w:style>
  <w:style w:type="character" w:styleId="C1">
    <w:name w:val="Line Number"/>
    <w:basedOn w:val="C0"/>
    <w:semiHidden/>
    <w:rPr/>
  </w:style>
  <w:style w:type="character" w:styleId="C2">
    <w:name w:val="Hyperlink"/>
    <w:rPr>
      <w:color w:val="0000FF"/>
      <w:u w:val="single"/>
    </w:rPr>
  </w:style>
  <w:style w:type="character" w:styleId="C3">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 w:type="table" w:styleId="T3">
    <w:name w:val="Table Grid"/>
    <w:basedOn w:val="T2"/>
    <w:tblPr>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png"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Катарина  Каличаниин</dc:creator>
  <dcterms:created xsi:type="dcterms:W3CDTF">2018-11-30T08:07:00Z</dcterms:created>
  <cp:lastModifiedBy>Nikola Kapetanovic</cp:lastModifiedBy>
  <dcterms:modified xsi:type="dcterms:W3CDTF">2020-01-10T11:38:05Z</dcterms:modified>
  <cp:revision>3</cp:revision>
  <dc:title> </dc:title>
</cp:coreProperties>
</file>