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ADA67D7" Type="http://schemas.openxmlformats.org/officeDocument/2006/relationships/officeDocument" Target="/word/document.xml" /><Relationship Id="coreR5ADA67D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Borders>
              <w:bottom w:val="none" w:sz="0" w:space="0" w:shadow="0" w:frame="0"/>
            </w:tcBorders>
          </w:tcPr>
          <w:p>
            <w:pPr>
              <w:jc w:val="right"/>
              <w:rPr>
                <w:rFonts w:ascii="Tahoma" w:hAnsi="Tahoma"/>
                <w:sz w:val="20"/>
              </w:rPr>
            </w:pPr>
            <w:r>
              <w:rPr>
                <w:rFonts w:ascii="Tahoma" w:hAnsi="Tahoma"/>
                <w:sz w:val="20"/>
              </w:rPr>
              <w:t>30.11.2018</w:t>
            </w:r>
          </w:p>
          <w:p>
            <w:pPr>
              <w:jc w:val="right"/>
              <w:rPr>
                <w:rFonts w:ascii="Tahoma" w:hAnsi="Tahoma"/>
                <w:sz w:val="20"/>
              </w:rPr>
            </w:pPr>
          </w:p>
          <w:p>
            <w:pPr>
              <w:jc w:val="center"/>
              <w:rPr>
                <w:rFonts w:ascii="Tahoma" w:hAnsi="Tahoma"/>
                <w:sz w:val="20"/>
              </w:rPr>
            </w:pPr>
          </w:p>
          <w:p>
            <w:pPr>
              <w:jc w:val="center"/>
              <w:rPr>
                <w:rFonts w:ascii="Tahoma" w:hAnsi="Tahoma"/>
                <w:sz w:val="20"/>
              </w:rPr>
            </w:pPr>
          </w:p>
          <w:p>
            <w:pPr>
              <w:jc w:val="center"/>
              <w:rPr>
                <w:rFonts w:ascii="Tahoma" w:hAnsi="Tahoma"/>
                <w:sz w:val="28"/>
              </w:rPr>
            </w:pPr>
          </w:p>
          <w:p>
            <w:pPr>
              <w:jc w:val="center"/>
              <w:rPr>
                <w:rFonts w:ascii="Tahoma" w:hAnsi="Tahoma"/>
                <w:sz w:val="28"/>
              </w:rPr>
            </w:pPr>
          </w:p>
          <w:p>
            <w:pPr>
              <w:jc w:val="center"/>
              <w:rPr>
                <w:rFonts w:ascii="Tahoma" w:hAnsi="Tahoma"/>
                <w:sz w:val="28"/>
              </w:rPr>
            </w:pPr>
          </w:p>
          <w:p>
            <w:pPr>
              <w:jc w:val="center"/>
              <w:rPr>
                <w:rFonts w:ascii="Tahoma" w:hAnsi="Tahoma"/>
                <w:sz w:val="28"/>
              </w:rPr>
            </w:pPr>
          </w:p>
          <w:p>
            <w:pPr>
              <w:jc w:val="center"/>
              <w:rPr>
                <w:rFonts w:ascii="Tahoma" w:hAnsi="Tahoma"/>
                <w:sz w:val="28"/>
              </w:rPr>
            </w:pPr>
            <w:r>
              <w:rPr>
                <w:rFonts w:ascii="Tahoma" w:hAnsi="Tahoma"/>
                <w:sz w:val="28"/>
              </w:rPr>
              <w:t>Gross domestic product, 2005</w:t>
            </w:r>
            <w:r>
              <w:rPr>
                <w:rFonts w:ascii="Symbol" w:hAnsi="Symbol"/>
                <w:sz w:val="28"/>
              </w:rPr>
              <w:t>-</w:t>
            </w:r>
            <w:r>
              <w:rPr>
                <w:rFonts w:ascii="Tahoma" w:hAnsi="Tahoma"/>
                <w:sz w:val="28"/>
              </w:rPr>
              <w:t>2014</w:t>
            </w:r>
          </w:p>
          <w:p>
            <w:pPr>
              <w:jc w:val="center"/>
              <w:rPr>
                <w:rFonts w:ascii="Tahoma" w:hAnsi="Tahoma"/>
              </w:rPr>
            </w:pPr>
            <w:r>
              <w:rPr>
                <w:rFonts w:ascii="Tahoma" w:hAnsi="Tahoma"/>
              </w:rPr>
              <w:t>- Continuation of the revision process –</w:t>
            </w:r>
          </w:p>
          <w:p>
            <w:pPr>
              <w:jc w:val="center"/>
              <w:rPr>
                <w:rFonts w:ascii="Tahoma" w:hAnsi="Tahoma"/>
              </w:rPr>
            </w:pPr>
          </w:p>
          <w:p>
            <w:pPr>
              <w:jc w:val="center"/>
              <w:rPr>
                <w:rFonts w:ascii="Tahoma" w:hAnsi="Tahoma"/>
                <w:sz w:val="20"/>
              </w:rPr>
            </w:pPr>
          </w:p>
          <w:p>
            <w:pPr>
              <w:jc w:val="center"/>
              <w:rPr>
                <w:rFonts w:ascii="Tahoma" w:hAnsi="Tahoma"/>
                <w:sz w:val="20"/>
              </w:rPr>
            </w:pPr>
          </w:p>
          <w:p>
            <w:pPr>
              <w:ind w:firstLine="360"/>
              <w:jc w:val="both"/>
              <w:rPr>
                <w:rFonts w:ascii="Tahoma" w:hAnsi="Tahoma"/>
                <w:sz w:val="20"/>
              </w:rPr>
            </w:pPr>
            <w:r>
              <w:rPr>
                <w:rFonts w:ascii="Tahoma" w:hAnsi="Tahoma"/>
                <w:sz w:val="20"/>
              </w:rPr>
              <w:t xml:space="preserve">Continuing the process of major revision that started this year and was carried out in the first phase, by publishing previous results for the period 2015-2017, the Statistical Office of the Republic of Serbia also conducted a revision of annual data on gross domestic product (GDP) for the period 2005-2014. These data (previous) will be available on the website of the Statistical Office of the Republic of Serbia, in the database: </w:t>
            </w:r>
            <w:r>
              <w:rPr>
                <w:rFonts w:ascii="Tahoma" w:hAnsi="Tahoma"/>
                <w:sz w:val="20"/>
              </w:rPr>
              <w:fldChar w:fldCharType="begin"/>
            </w:r>
            <w:r>
              <w:rPr>
                <w:rFonts w:ascii="Tahoma" w:hAnsi="Tahoma"/>
                <w:sz w:val="20"/>
              </w:rPr>
              <w:instrText xml:space="preserve"> HYPERLINK "http://data.stat.gov.rs/?caller=090201&amp;languageCode=sr-Cyrl" </w:instrText>
            </w:r>
            <w:r>
              <w:rPr>
                <w:rFonts w:ascii="Tahoma" w:hAnsi="Tahoma"/>
                <w:sz w:val="20"/>
              </w:rPr>
              <w:fldChar w:fldCharType="separate"/>
            </w:r>
            <w:r>
              <w:rPr>
                <w:rStyle w:val="C2"/>
                <w:rFonts w:ascii="Tahoma" w:hAnsi="Tahoma"/>
                <w:sz w:val="20"/>
              </w:rPr>
              <w:t>http://data.stat.gov.rs/?caller=090201&amp;languageCode=sr-Cyrl</w:t>
            </w:r>
            <w:r>
              <w:rPr>
                <w:rStyle w:val="C2"/>
                <w:rFonts w:ascii="Tahoma" w:hAnsi="Tahoma"/>
                <w:sz w:val="20"/>
              </w:rPr>
              <w:fldChar w:fldCharType="end"/>
            </w:r>
            <w:r>
              <w:rPr>
                <w:rFonts w:ascii="Tahoma" w:hAnsi="Tahoma"/>
                <w:sz w:val="20"/>
              </w:rPr>
              <w:t>.</w:t>
            </w:r>
          </w:p>
          <w:p>
            <w:pPr>
              <w:ind w:firstLine="360"/>
              <w:jc w:val="both"/>
              <w:rPr>
                <w:rFonts w:ascii="Tahoma" w:hAnsi="Tahoma"/>
                <w:sz w:val="20"/>
              </w:rPr>
            </w:pPr>
          </w:p>
          <w:p>
            <w:pPr>
              <w:ind w:firstLine="360"/>
              <w:jc w:val="both"/>
              <w:rPr>
                <w:rFonts w:ascii="Tahoma" w:hAnsi="Tahoma"/>
                <w:sz w:val="20"/>
              </w:rPr>
            </w:pPr>
            <w:r>
              <w:rPr>
                <w:rFonts w:ascii="Tahoma" w:hAnsi="Tahoma"/>
                <w:sz w:val="20"/>
              </w:rPr>
              <w:t>It should be noted that previous results of GDP calculation according to the new methodology for 2017, as well as the revised estimates for 2015 and 2016, have been already published and are available in the database of the Statistical Office of the Republic of Serbia, as of 01.10.2018. The revised data that are now being published are the GDP series covering the period from 2005 to 2017.</w:t>
            </w:r>
          </w:p>
          <w:p>
            <w:pPr>
              <w:ind w:firstLine="360"/>
              <w:jc w:val="both"/>
              <w:rPr>
                <w:rFonts w:ascii="Tahoma" w:hAnsi="Tahoma"/>
                <w:sz w:val="20"/>
              </w:rPr>
            </w:pPr>
          </w:p>
          <w:p>
            <w:pPr>
              <w:ind w:firstLine="360"/>
              <w:jc w:val="both"/>
              <w:rPr>
                <w:rFonts w:ascii="Tahoma" w:hAnsi="Tahoma"/>
                <w:sz w:val="20"/>
              </w:rPr>
            </w:pPr>
            <w:r>
              <w:rPr>
                <w:rFonts w:ascii="Tahoma" w:hAnsi="Tahoma"/>
                <w:sz w:val="20"/>
              </w:rPr>
              <w:t>Data on GDP before 2005 (period 1995-2004) will be revised, i.e. the whole series will be completed during 2019 (as is in the EU Member States).</w:t>
            </w:r>
          </w:p>
          <w:p>
            <w:pPr>
              <w:ind w:firstLine="360"/>
              <w:jc w:val="both"/>
              <w:rPr>
                <w:rFonts w:ascii="Tahoma" w:hAnsi="Tahoma"/>
                <w:sz w:val="20"/>
              </w:rPr>
            </w:pPr>
          </w:p>
          <w:p>
            <w:pPr>
              <w:ind w:firstLine="360"/>
              <w:jc w:val="both"/>
              <w:rPr>
                <w:rFonts w:ascii="Tahoma" w:hAnsi="Tahoma"/>
                <w:sz w:val="20"/>
              </w:rPr>
            </w:pPr>
          </w:p>
          <w:p>
            <w:pPr>
              <w:ind w:firstLine="360"/>
              <w:jc w:val="both"/>
              <w:rPr>
                <w:rFonts w:ascii="Tahoma" w:hAnsi="Tahoma"/>
                <w:color w:val="000000"/>
                <w:sz w:val="20"/>
              </w:rPr>
            </w:pPr>
          </w:p>
          <w:p>
            <w:pPr>
              <w:spacing w:before="120" w:after="120"/>
              <w:jc w:val="both"/>
              <w:rPr>
                <w:rFonts w:ascii="Tahoma" w:hAnsi="Tahoma"/>
                <w:sz w:val="20"/>
              </w:rPr>
            </w:pPr>
          </w:p>
        </w:tc>
      </w:tr>
      <w:tr>
        <w:tc>
          <w:tcPr>
            <w:tcW w:w="10296" w:type="dxa"/>
            <w:tcBorders>
              <w:top w:val="none" w:sz="0" w:space="0" w:shadow="0" w:frame="0"/>
              <w:bottom w:val="none" w:sz="0" w:space="0" w:shadow="0" w:frame="0"/>
            </w:tcBorders>
          </w:tcPr>
          <w:p>
            <w:pPr>
              <w:jc w:val="right"/>
              <w:rPr>
                <w:rFonts w:ascii="Tahoma" w:hAnsi="Tahoma"/>
                <w:sz w:val="22"/>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440" w:right="1440" w:top="1440" w:bottom="144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Dusan Gavrilovic, Assistant Director</w:t>
          </w:r>
        </w:p>
        <w:p>
          <w:pPr>
            <w:jc w:val="both"/>
            <w:rPr>
              <w:rFonts w:ascii="Tahoma" w:hAnsi="Tahoma"/>
              <w:color w:val="808080"/>
              <w:sz w:val="20"/>
            </w:rPr>
          </w:pPr>
          <w:r>
            <w:rPr>
              <w:rFonts w:ascii="Tahoma" w:hAnsi="Tahoma"/>
              <w:color w:val="808080"/>
              <w:sz w:val="20"/>
            </w:rPr>
            <w:t>Phone: +381 11 2412-922, ext. 381</w:t>
          </w:r>
        </w:p>
        <w:p>
          <w:pPr>
            <w:jc w:val="both"/>
            <w:rPr>
              <w:rFonts w:ascii="Tahoma" w:hAnsi="Tahoma"/>
              <w:color w:val="808080"/>
              <w:sz w:val="20"/>
            </w:rPr>
          </w:pPr>
          <w:r>
            <w:rPr>
              <w:rFonts w:ascii="Tahoma" w:hAnsi="Tahoma"/>
              <w:color w:val="808080"/>
              <w:sz w:val="20"/>
            </w:rPr>
            <w:t>dusan.gavrilovic@stat.gov.rs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 xml:space="preserve">                   Director,</w:t>
          </w:r>
        </w:p>
        <w:p>
          <w:pPr>
            <w:rPr>
              <w:rFonts w:ascii="Tahoma" w:hAnsi="Tahoma"/>
              <w:sz w:val="20"/>
            </w:rPr>
          </w:pPr>
          <w:r>
            <w:rPr>
              <w:rFonts w:ascii="Tahoma" w:hAnsi="Tahoma"/>
              <w:sz w:val="20"/>
            </w:rPr>
            <w:t xml:space="preserve">                   Dr Miladin Kovačević</w:t>
          </w:r>
        </w:p>
        <w:p>
          <w:pPr>
            <w:ind w:left="972"/>
            <w:jc w:val="both"/>
            <w:rPr>
              <w:rFonts w:ascii="Tahoma" w:hAnsi="Tahoma"/>
              <w:sz w:val="20"/>
            </w:rPr>
          </w:pPr>
        </w:p>
        <w:p>
          <w:pPr>
            <w:jc w:val="both"/>
            <w:rPr>
              <w:rFonts w:ascii="Tahoma" w:hAnsi="Tahoma"/>
              <w:color w:val="808080"/>
              <w:sz w:val="20"/>
            </w:rPr>
          </w:pPr>
        </w:p>
        <w:p>
          <w:pPr>
            <w:jc w:val="both"/>
            <w:rPr>
              <w:rFonts w:ascii="Tahoma" w:hAnsi="Tahoma"/>
              <w:sz w:val="20"/>
            </w:rPr>
          </w:pPr>
        </w:p>
      </w:tc>
    </w:tr>
    <w:tr>
      <w:tc>
        <w:tcPr>
          <w:tcW w:w="5868" w:type="dxa"/>
        </w:tcPr>
        <w:p>
          <w:pPr>
            <w:jc w:val="both"/>
            <w:rPr>
              <w:rFonts w:ascii="Tahoma" w:hAnsi="Tahoma"/>
              <w:color w:val="808080"/>
              <w:sz w:val="20"/>
            </w:rPr>
          </w:pPr>
        </w:p>
      </w:tc>
      <w:tc>
        <w:tcPr>
          <w:tcW w:w="5400" w:type="dxa"/>
        </w:tcPr>
        <w:p>
          <w:pPr>
            <w:rPr>
              <w:rFonts w:ascii="Tahoma" w:hAnsi="Tahoma"/>
              <w:sz w:val="20"/>
            </w:rPr>
          </w:pPr>
        </w:p>
      </w:tc>
    </w:tr>
  </w:tbl>
  <w:p>
    <w:pPr>
      <w:jc w:val="both"/>
      <w:rPr>
        <w:rFonts w:ascii="Tahoma" w:hAnsi="Tahoma"/>
        <w:sz w:val="18"/>
      </w:rPr>
    </w:pPr>
    <w:r>
      <w:rPr>
        <w:rFonts w:ascii="Tahoma" w:hAnsi="Tahoma"/>
        <w:color w:val="333333"/>
        <w:sz w:val="16"/>
        <w:vertAlign w:val="superscript"/>
      </w:rPr>
      <w:t xml:space="preserve">1) </w:t>
    </w:r>
    <w:r>
      <w:rPr>
        <w:rFonts w:ascii="Tahoma" w:hAnsi="Tahoma"/>
        <w:sz w:val="16"/>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Republic of Serbia</w:t>
          </w:r>
        </w:p>
        <w:p>
          <w:pPr>
            <w:pStyle w:val="P2"/>
            <w:rPr>
              <w:rFonts w:ascii="Tahoma" w:hAnsi="Tahoma"/>
              <w:sz w:val="20"/>
            </w:rPr>
          </w:pPr>
          <w:r>
            <w:rPr>
              <w:rFonts w:ascii="Tahoma" w:hAnsi="Tahoma"/>
              <w:sz w:val="20"/>
            </w:rPr>
            <w:t>Statistical office of the Republic of Serbia</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4"/>
              <w:rFonts w:ascii="Tahoma" w:hAnsi="Tahoma"/>
              <w:sz w:val="22"/>
            </w:rPr>
            <w:instrText xml:space="preserve"> NUMPAGES </w:instrText>
          </w:r>
          <w:r>
            <w:rPr>
              <w:rStyle w:val="C4"/>
              <w:rFonts w:ascii="Tahoma" w:hAnsi="Tahoma"/>
              <w:sz w:val="22"/>
            </w:rPr>
            <w:fldChar w:fldCharType="separate"/>
          </w:r>
          <w:r>
            <w:rPr>
              <w:rStyle w:val="C4"/>
              <w:rFonts w:ascii="Tahoma" w:hAnsi="Tahoma"/>
              <w:sz w:val="22"/>
            </w:rPr>
            <w:t>#</w:t>
          </w:r>
          <w:r>
            <w:rPr>
              <w:rStyle w:val="C4"/>
              <w:rFonts w:ascii="Tahoma" w:hAnsi="Tahoma"/>
              <w:sz w:val="22"/>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w:abstractNum w:abstractNumId="0">
    <w:nsid w:val="0D7C7C46"/>
    <w:multiLevelType w:val="hybridMultilevel"/>
    <w:lvl w:ilvl="0" w:tplc="1667FC8A">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166B4D0A"/>
    <w:multiLevelType w:val="hybridMultilevel"/>
    <w:lvl w:ilvl="0" w:tplc="0A6EAA27">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
    <w:nsid w:val="4EDA46E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709550BC"/>
    <w:multiLevelType w:val="hybridMultilevel"/>
    <w:lvl w:ilvl="0" w:tplc="1B88F86E">
      <w:start w:val="30"/>
      <w:numFmt w:val="bullet"/>
      <w:suff w:val="tab"/>
      <w:lvlText w:val="-"/>
      <w:lvlJc w:val="left"/>
      <w:pPr>
        <w:ind w:hanging="360" w:left="720"/>
        <w:tabs>
          <w:tab w:val="left" w:pos="720" w:leader="none"/>
        </w:tabs>
      </w:pPr>
      <w:rPr>
        <w:rFonts w:ascii="Tahoma" w:hAnsi="Tahoma"/>
      </w:rPr>
    </w:lvl>
    <w:lvl w:ilvl="1" w:tplc="5756CE4F">
      <w:start w:val="1"/>
      <w:numFmt w:val="bullet"/>
      <w:suff w:val="tab"/>
      <w:lvlText w:val="o"/>
      <w:lvlJc w:val="left"/>
      <w:pPr>
        <w:ind w:hanging="360" w:left="1440"/>
        <w:tabs>
          <w:tab w:val="left" w:pos="1440" w:leader="none"/>
        </w:tabs>
      </w:pPr>
      <w:rPr>
        <w:rFonts w:ascii="Courier New" w:hAnsi="Courier New"/>
      </w:rPr>
    </w:lvl>
    <w:lvl w:ilvl="2" w:tplc="6304D760">
      <w:start w:val="1"/>
      <w:numFmt w:val="bullet"/>
      <w:suff w:val="tab"/>
      <w:lvlText w:val=""/>
      <w:lvlJc w:val="left"/>
      <w:pPr>
        <w:ind w:hanging="360" w:left="2160"/>
        <w:tabs>
          <w:tab w:val="left" w:pos="2160" w:leader="none"/>
        </w:tabs>
      </w:pPr>
      <w:rPr>
        <w:rFonts w:ascii="Wingdings" w:hAnsi="Wingdings"/>
      </w:rPr>
    </w:lvl>
    <w:lvl w:ilvl="3" w:tplc="661DEC7C">
      <w:start w:val="1"/>
      <w:numFmt w:val="bullet"/>
      <w:suff w:val="tab"/>
      <w:lvlText w:val=""/>
      <w:lvlJc w:val="left"/>
      <w:pPr>
        <w:ind w:hanging="360" w:left="2880"/>
        <w:tabs>
          <w:tab w:val="left" w:pos="2880" w:leader="none"/>
        </w:tabs>
      </w:pPr>
      <w:rPr>
        <w:rFonts w:ascii="Symbol" w:hAnsi="Symbol"/>
      </w:rPr>
    </w:lvl>
    <w:lvl w:ilvl="4" w:tplc="4D6F8CBB">
      <w:start w:val="1"/>
      <w:numFmt w:val="bullet"/>
      <w:suff w:val="tab"/>
      <w:lvlText w:val="o"/>
      <w:lvlJc w:val="left"/>
      <w:pPr>
        <w:ind w:hanging="360" w:left="3600"/>
        <w:tabs>
          <w:tab w:val="left" w:pos="3600" w:leader="none"/>
        </w:tabs>
      </w:pPr>
      <w:rPr>
        <w:rFonts w:ascii="Courier New" w:hAnsi="Courier New"/>
      </w:rPr>
    </w:lvl>
    <w:lvl w:ilvl="5" w:tplc="2943DB5D">
      <w:start w:val="1"/>
      <w:numFmt w:val="bullet"/>
      <w:suff w:val="tab"/>
      <w:lvlText w:val=""/>
      <w:lvlJc w:val="left"/>
      <w:pPr>
        <w:ind w:hanging="360" w:left="4320"/>
        <w:tabs>
          <w:tab w:val="left" w:pos="4320" w:leader="none"/>
        </w:tabs>
      </w:pPr>
      <w:rPr>
        <w:rFonts w:ascii="Wingdings" w:hAnsi="Wingdings"/>
      </w:rPr>
    </w:lvl>
    <w:lvl w:ilvl="6" w:tplc="442380EE">
      <w:start w:val="1"/>
      <w:numFmt w:val="bullet"/>
      <w:suff w:val="tab"/>
      <w:lvlText w:val=""/>
      <w:lvlJc w:val="left"/>
      <w:pPr>
        <w:ind w:hanging="360" w:left="5040"/>
        <w:tabs>
          <w:tab w:val="left" w:pos="5040" w:leader="none"/>
        </w:tabs>
      </w:pPr>
      <w:rPr>
        <w:rFonts w:ascii="Symbol" w:hAnsi="Symbol"/>
      </w:rPr>
    </w:lvl>
    <w:lvl w:ilvl="7" w:tplc="52951DE6">
      <w:start w:val="1"/>
      <w:numFmt w:val="bullet"/>
      <w:suff w:val="tab"/>
      <w:lvlText w:val="o"/>
      <w:lvlJc w:val="left"/>
      <w:pPr>
        <w:ind w:hanging="360" w:left="5760"/>
        <w:tabs>
          <w:tab w:val="left" w:pos="5760" w:leader="none"/>
        </w:tabs>
      </w:pPr>
      <w:rPr>
        <w:rFonts w:ascii="Courier New" w:hAnsi="Courier New"/>
      </w:rPr>
    </w:lvl>
    <w:lvl w:ilvl="8" w:tplc="2808280A">
      <w:start w:val="1"/>
      <w:numFmt w:val="bullet"/>
      <w:suff w:val="tab"/>
      <w:lvlText w:val=""/>
      <w:lvlJc w:val="left"/>
      <w:pPr>
        <w:ind w:hanging="360" w:left="6480"/>
        <w:tabs>
          <w:tab w:val="left" w:pos="6480" w:leader="none"/>
        </w:tabs>
      </w:pPr>
      <w:rPr>
        <w:rFonts w:ascii="Wingdings" w:hAnsi="Wingdings"/>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1"/>
    <w:qFormat/>
    <w:pPr>
      <w:spacing w:before="100" w:after="100" w:beforeAutospacing="1" w:afterAutospacing="1"/>
      <w:outlineLvl w:val="1"/>
    </w:pPr>
    <w:rPr>
      <w:b w:val="1"/>
      <w:sz w:val="36"/>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paragraph" w:styleId="P4">
    <w:name w:val="Body Text"/>
    <w:basedOn w:val="P0"/>
    <w:next w:val="P4"/>
    <w:pPr>
      <w:spacing w:after="120"/>
    </w:pPr>
    <w:rPr/>
  </w:style>
  <w:style w:type="paragraph" w:styleId="P5">
    <w:name w:val="Car Car"/>
    <w:basedOn w:val="P0"/>
    <w:next w:val="P5"/>
    <w:pPr>
      <w:spacing w:lineRule="exact" w:line="240" w:after="160"/>
    </w:pPr>
    <w:rPr>
      <w:rFonts w:ascii="Verdana" w:hAnsi="Verdana"/>
      <w:i w:val="1"/>
      <w:sz w:val="20"/>
    </w:rPr>
  </w:style>
  <w:style w:type="paragraph" w:styleId="P6">
    <w:name w:val="Balloon Text"/>
    <w:basedOn w:val="P0"/>
    <w:next w:val="P6"/>
    <w:pPr/>
    <w:rPr>
      <w:rFonts w:ascii="Tahoma" w:hAnsi="Tahoma"/>
      <w:sz w:val="16"/>
    </w:rPr>
  </w:style>
  <w:style w:type="paragraph" w:styleId="P7">
    <w:name w:val="Normal (Web)"/>
    <w:basedOn w:val="P0"/>
    <w:next w:val="P7"/>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Page Number"/>
    <w:basedOn w:val="C0"/>
    <w:rPr/>
  </w:style>
  <w:style w:type="character" w:styleId="C5">
    <w:name w:val="apple-style-span"/>
    <w:basedOn w:val="C0"/>
    <w:rPr/>
  </w:style>
  <w:style w:type="character" w:styleId="C6">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2018-11-29T10:36:00Z</dcterms:created>
  <cp:lastModifiedBy>Nikola Kapetanovic</cp:lastModifiedBy>
  <cp:lastPrinted>2018-11-29T10:35:00Z</cp:lastPrinted>
  <dcterms:modified xsi:type="dcterms:W3CDTF">2020-01-10T11:38:05Z</dcterms:modified>
  <cp:revision>6</cp:revision>
  <dc:title>ДАТУМ</dc:title>
</cp:coreProperties>
</file>