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6E2EA" Type="http://schemas.openxmlformats.org/officeDocument/2006/relationships/officeDocument" Target="/word/document.xml" /><Relationship Id="coreR606E2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November 30,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Octo</w:t>
            </w:r>
            <w:r>
              <w:rPr>
                <w:rFonts w:ascii="Arial" w:hAnsi="Arial"/>
                <w:b w:val="1"/>
                <w:sz w:val="22"/>
              </w:rPr>
              <w:t>ber</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Octo</w:t>
            </w:r>
            <w:r>
              <w:rPr>
                <w:rFonts w:ascii="Arial" w:hAnsi="Arial"/>
                <w:b w:val="1"/>
                <w:sz w:val="18"/>
              </w:rPr>
              <w:t>ber</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37700</w:t>
            </w:r>
            <w:r>
              <w:rPr>
                <w:rFonts w:ascii="Arial" w:hAnsi="Arial"/>
                <w:b w:val="1"/>
                <w:sz w:val="18"/>
              </w:rPr>
              <w:t>.</w:t>
            </w:r>
            <w:r>
              <w:rPr>
                <w:rFonts w:ascii="Arial" w:hAnsi="Arial"/>
                <w:b w:val="1"/>
                <w:sz w:val="18"/>
              </w:rPr>
              <w:t>4</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18</w:t>
            </w:r>
            <w:r>
              <w:rPr>
                <w:rFonts w:ascii="Arial" w:hAnsi="Arial"/>
                <w:b w:val="1"/>
                <w:sz w:val="18"/>
              </w:rPr>
              <w:t>.</w:t>
            </w:r>
            <w:r>
              <w:rPr>
                <w:rFonts w:ascii="Arial" w:hAnsi="Arial"/>
                <w:b w:val="1"/>
                <w:sz w:val="18"/>
              </w:rPr>
              <w:t>3</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31682</w:t>
            </w:r>
            <w:r>
              <w:rPr>
                <w:rFonts w:ascii="Arial" w:hAnsi="Arial"/>
                <w:b w:val="1"/>
                <w:sz w:val="18"/>
              </w:rPr>
              <w:t>.</w:t>
            </w:r>
            <w:r>
              <w:rPr>
                <w:rFonts w:ascii="Arial" w:hAnsi="Arial"/>
                <w:b w:val="1"/>
                <w:sz w:val="18"/>
              </w:rPr>
              <w:t>8</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w:t>
            </w:r>
            <w:r>
              <w:rPr>
                <w:rFonts w:ascii="Arial" w:hAnsi="Arial"/>
                <w:b w:val="1"/>
                <w:sz w:val="18"/>
              </w:rPr>
              <w:t>1</w:t>
            </w:r>
            <w:r>
              <w:rPr>
                <w:rFonts w:ascii="Arial" w:hAnsi="Arial"/>
                <w:b w:val="1"/>
                <w:sz w:val="18"/>
              </w:rPr>
              <w:t>.</w:t>
            </w:r>
            <w:r>
              <w:rPr>
                <w:rFonts w:ascii="Arial" w:hAnsi="Arial"/>
                <w:b w:val="1"/>
                <w:sz w:val="18"/>
              </w:rPr>
              <w:t>3</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w:t>
            </w:r>
            <w:r>
              <w:rPr>
                <w:rFonts w:ascii="Tahoma" w:hAnsi="Tahoma"/>
                <w:b w:val="1"/>
                <w:sz w:val="18"/>
              </w:rPr>
              <w:t>6188</w:t>
            </w:r>
            <w:r>
              <w:rPr>
                <w:rFonts w:ascii="Tahoma" w:hAnsi="Tahoma"/>
                <w:b w:val="1"/>
                <w:sz w:val="18"/>
              </w:rPr>
              <w:t>.</w:t>
            </w:r>
            <w:r>
              <w:rPr>
                <w:rFonts w:ascii="Tahoma" w:hAnsi="Tahoma"/>
                <w:b w:val="1"/>
                <w:sz w:val="18"/>
              </w:rPr>
              <w:t>3</w:t>
            </w:r>
            <w:r>
              <w:rPr>
                <w:rFonts w:ascii="Tahoma" w:hAnsi="Tahoma"/>
                <w:b w:val="1"/>
                <w:sz w:val="18"/>
              </w:rPr>
              <w:t xml:space="preserve"> million</w:t>
            </w:r>
            <w:r>
              <w:rPr>
                <w:rFonts w:ascii="Tahoma" w:hAnsi="Tahoma"/>
                <w:sz w:val="18"/>
              </w:rPr>
              <w:t xml:space="preserve">, which was 15.1%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21512</w:t>
            </w:r>
            <w:r>
              <w:rPr>
                <w:rFonts w:ascii="Tahoma" w:hAnsi="Tahoma"/>
                <w:b w:val="1"/>
                <w:sz w:val="18"/>
              </w:rPr>
              <w:t>.</w:t>
            </w:r>
            <w:r>
              <w:rPr>
                <w:rFonts w:ascii="Tahoma" w:hAnsi="Tahoma"/>
                <w:b w:val="1"/>
                <w:sz w:val="18"/>
              </w:rPr>
              <w:t>1</w:t>
            </w:r>
            <w:r>
              <w:rPr>
                <w:rFonts w:ascii="Tahoma" w:hAnsi="Tahoma"/>
                <w:b w:val="1"/>
                <w:sz w:val="18"/>
              </w:rPr>
              <w:t xml:space="preserve"> </w:t>
            </w:r>
            <w:r>
              <w:rPr>
                <w:rFonts w:ascii="Tahoma" w:hAnsi="Tahoma"/>
                <w:b w:val="1"/>
                <w:sz w:val="18"/>
              </w:rPr>
              <w:t>million</w:t>
            </w:r>
            <w:r>
              <w:rPr>
                <w:rFonts w:ascii="Tahoma" w:hAnsi="Tahoma"/>
                <w:sz w:val="18"/>
              </w:rPr>
              <w:t xml:space="preserve">, which was 20.8%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3603</w:t>
            </w:r>
            <w:r>
              <w:rPr>
                <w:rFonts w:ascii="Tahoma" w:hAnsi="Tahoma"/>
                <w:b w:val="1"/>
                <w:sz w:val="18"/>
              </w:rPr>
              <w:t>.</w:t>
            </w:r>
            <w:r>
              <w:rPr>
                <w:rFonts w:ascii="Tahoma" w:hAnsi="Tahoma"/>
                <w:b w:val="1"/>
                <w:sz w:val="18"/>
              </w:rPr>
              <w:t>2</w:t>
            </w:r>
            <w:r>
              <w:rPr>
                <w:rFonts w:ascii="Tahoma" w:hAnsi="Tahoma"/>
                <w:b w:val="1"/>
                <w:sz w:val="18"/>
              </w:rPr>
              <w:t xml:space="preserve"> million</w:t>
            </w:r>
            <w:r>
              <w:rPr>
                <w:rFonts w:ascii="Tahoma" w:hAnsi="Tahoma"/>
                <w:sz w:val="18"/>
              </w:rPr>
              <w:t xml:space="preserve">, which was the increase of 8.3%,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8079</w:t>
            </w:r>
            <w:r>
              <w:rPr>
                <w:rFonts w:ascii="Tahoma" w:hAnsi="Tahoma"/>
                <w:b w:val="1"/>
                <w:sz w:val="18"/>
              </w:rPr>
              <w:t>.</w:t>
            </w:r>
            <w:r>
              <w:rPr>
                <w:rFonts w:ascii="Tahoma" w:hAnsi="Tahoma"/>
                <w:b w:val="1"/>
                <w:sz w:val="18"/>
              </w:rPr>
              <w:t>6</w:t>
            </w:r>
            <w:r>
              <w:rPr>
                <w:rFonts w:ascii="Tahoma" w:hAnsi="Tahoma"/>
                <w:b w:val="1"/>
                <w:sz w:val="18"/>
              </w:rPr>
              <w:t xml:space="preserve"> million</w:t>
            </w:r>
            <w:r>
              <w:rPr>
                <w:rFonts w:ascii="Tahoma" w:hAnsi="Tahoma"/>
                <w:sz w:val="18"/>
              </w:rPr>
              <w:t xml:space="preserve">, which was 13.7%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5323</w:t>
            </w:r>
            <w:r>
              <w:rPr>
                <w:rFonts w:ascii="Tahoma" w:hAnsi="Tahoma"/>
                <w:b w:val="1"/>
                <w:sz w:val="18"/>
              </w:rPr>
              <w:t>.</w:t>
            </w:r>
            <w:r>
              <w:rPr>
                <w:rFonts w:ascii="Tahoma" w:hAnsi="Tahoma"/>
                <w:b w:val="1"/>
                <w:sz w:val="18"/>
              </w:rPr>
              <w:t>8</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w:t>
            </w:r>
            <w:r>
              <w:rPr>
                <w:rFonts w:ascii="Tahoma" w:hAnsi="Tahoma"/>
                <w:b w:val="1"/>
                <w:sz w:val="18"/>
              </w:rPr>
              <w:t>2</w:t>
            </w:r>
            <w:r>
              <w:rPr>
                <w:rFonts w:ascii="Tahoma" w:hAnsi="Tahoma"/>
                <w:b w:val="1"/>
                <w:sz w:val="18"/>
              </w:rPr>
              <w:t>.</w:t>
            </w:r>
            <w:r>
              <w:rPr>
                <w:rFonts w:ascii="Tahoma" w:hAnsi="Tahoma"/>
                <w:b w:val="1"/>
                <w:sz w:val="18"/>
              </w:rPr>
              <w:t>2</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4476.4 million, which was an increase of 33.9%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5</w:t>
            </w:r>
            <w:r>
              <w:rPr>
                <w:rFonts w:ascii="Tahoma" w:hAnsi="Tahoma"/>
                <w:b w:val="1"/>
                <w:sz w:val="18"/>
              </w:rPr>
              <w:t>.</w:t>
            </w:r>
            <w:r>
              <w:rPr>
                <w:rFonts w:ascii="Tahoma" w:hAnsi="Tahoma"/>
                <w:b w:val="1"/>
                <w:sz w:val="18"/>
              </w:rPr>
              <w:t>3</w:t>
            </w:r>
            <w:r>
              <w:rPr>
                <w:rFonts w:ascii="Tahoma" w:hAnsi="Tahoma"/>
                <w:b w:val="1"/>
                <w:sz w:val="18"/>
              </w:rPr>
              <w:t>%</w:t>
            </w:r>
            <w:r>
              <w:rPr>
                <w:rFonts w:ascii="Tahoma" w:hAnsi="Tahoma"/>
                <w:sz w:val="18"/>
              </w:rPr>
              <w:t xml:space="preserve"> and was lower if compared to the same period last year when it was 79.0%.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(34.5%), followed by Beogradski region (26.5%), Region Šumadije i Zapadne Srbije (23.0%), Region Južne i Istočne Srbije (15.9%),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(46.1%), followed by </w:t>
            </w:r>
            <w:r>
              <w:rPr>
                <w:rFonts w:ascii="Tahoma" w:hAnsi="Tahoma"/>
                <w:sz w:val="18"/>
              </w:rPr>
              <w:t xml:space="preserve">Region Vojvodine </w:t>
            </w:r>
            <w:r>
              <w:rPr>
                <w:rFonts w:ascii="Tahoma" w:hAnsi="Tahoma"/>
                <w:color w:val="000000"/>
                <w:sz w:val="18"/>
              </w:rPr>
              <w:t xml:space="preserve">(29.1%),  </w:t>
            </w:r>
            <w:r>
              <w:rPr>
                <w:rFonts w:ascii="Tahoma" w:hAnsi="Tahoma"/>
                <w:sz w:val="18"/>
              </w:rPr>
              <w:t xml:space="preserve">Region Šumadije i Zapadne Srbije </w:t>
            </w:r>
            <w:r>
              <w:rPr>
                <w:rFonts w:ascii="Tahoma" w:hAnsi="Tahoma"/>
                <w:color w:val="000000"/>
                <w:sz w:val="18"/>
              </w:rPr>
              <w:t xml:space="preserve">(15.0%), </w:t>
            </w:r>
            <w:r>
              <w:rPr>
                <w:rFonts w:ascii="Tahoma" w:hAnsi="Tahoma"/>
                <w:sz w:val="18"/>
              </w:rPr>
              <w:t xml:space="preserve">Region Južne i Istočne Srbije </w:t>
            </w:r>
            <w:r>
              <w:rPr>
                <w:rFonts w:ascii="Tahoma" w:hAnsi="Tahoma"/>
                <w:color w:val="000000"/>
                <w:sz w:val="18"/>
              </w:rPr>
              <w:t xml:space="preserve">(9.3%),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58.4% (USD 9 447.7 million), then consumer goods 30.7% (USD 4 977.2 million) and equipment 10.9% (USD 1 762.5 million). Unclassified goods according to destination amounted to 0.0% (USD 0.9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57.2% (USD 12 300.6 million), then consumer goods 18.4% (USD 3 954.5 million) and equipment 12.6% (USD 2 703.0 million). Unclassified goods according to destination amounted to 11.9% (USD 2 554.1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63.6% of total external trade.</w:t>
            </w:r>
          </w:p>
          <w:p>
            <w:pPr>
              <w:jc w:val="both"/>
              <w:rPr>
                <w:rFonts w:ascii="Arial" w:hAnsi="Arial"/>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2052.1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1719.2</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2899.3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2437.0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1958.8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1645.3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2047.3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1718.2</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1290.1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1084.7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1793.6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1508.1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Romania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955.4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806.3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1643.3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1380.0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866.8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727.3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1043.1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874.9</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1928.0 million, resulting mainly from the exports of agricultural products (cereals and produces thereof and various sorts of drinks), iron and steel, oil and oil derivatives and metal products. Our exports in the referent period amounted to USD 2 821.4 million, while the imports were USD 893.4 million. The export– import ratio equalled 315.8 %. Expressed in </w:t>
            </w:r>
            <w:r>
              <w:rPr>
                <w:rFonts w:ascii="Tahoma" w:hAnsi="Tahoma"/>
                <w:b w:val="1"/>
                <w:sz w:val="18"/>
              </w:rPr>
              <w:t>EUR</w:t>
            </w:r>
            <w:r>
              <w:rPr>
                <w:rFonts w:ascii="Tahoma" w:hAnsi="Tahoma"/>
                <w:sz w:val="18"/>
              </w:rPr>
              <w:t xml:space="preserve">, exports amounted to </w:t>
            </w:r>
            <w:r>
              <w:rPr>
                <w:rFonts w:ascii="Tahoma" w:hAnsi="Tahoma"/>
                <w:b w:val="1"/>
                <w:sz w:val="18"/>
              </w:rPr>
              <w:t>2</w:t>
            </w:r>
            <w:r>
              <w:rPr>
                <w:rFonts w:ascii="Tahoma" w:hAnsi="Tahoma"/>
                <w:b w:val="1"/>
                <w:sz w:val="18"/>
              </w:rPr>
              <w:t xml:space="preserve"> </w:t>
            </w:r>
            <w:r>
              <w:rPr>
                <w:rFonts w:ascii="Tahoma" w:hAnsi="Tahoma"/>
                <w:b w:val="1"/>
                <w:sz w:val="18"/>
              </w:rPr>
              <w:t>374</w:t>
            </w:r>
            <w:r>
              <w:rPr>
                <w:rFonts w:ascii="Tahoma" w:hAnsi="Tahoma"/>
                <w:b w:val="1"/>
                <w:sz w:val="18"/>
              </w:rPr>
              <w:t>.</w:t>
            </w:r>
            <w:r>
              <w:rPr>
                <w:rFonts w:ascii="Tahoma" w:hAnsi="Tahoma"/>
                <w:b w:val="1"/>
                <w:sz w:val="18"/>
              </w:rPr>
              <w:t>0</w:t>
            </w:r>
            <w:r>
              <w:rPr>
                <w:rFonts w:ascii="Tahoma" w:hAnsi="Tahoma"/>
                <w:sz w:val="18"/>
              </w:rPr>
              <w:t xml:space="preserve"> and imports to </w:t>
            </w:r>
            <w:r>
              <w:rPr>
                <w:rFonts w:ascii="Tahoma" w:hAnsi="Tahoma"/>
                <w:b w:val="1"/>
                <w:sz w:val="18"/>
              </w:rPr>
              <w:t>752</w:t>
            </w:r>
            <w:r>
              <w:rPr>
                <w:rFonts w:ascii="Tahoma" w:hAnsi="Tahoma"/>
                <w:b w:val="1"/>
                <w:sz w:val="18"/>
              </w:rPr>
              <w:t>.</w:t>
            </w:r>
            <w:r>
              <w:rPr>
                <w:rFonts w:ascii="Tahoma" w:hAnsi="Tahoma"/>
                <w:b w:val="1"/>
                <w:sz w:val="18"/>
              </w:rPr>
              <w:t>1</w:t>
            </w:r>
            <w:r>
              <w:rPr>
                <w:rFonts w:ascii="Tahoma" w:hAnsi="Tahoma"/>
                <w:sz w:val="18"/>
              </w:rPr>
              <w:t xml:space="preserve"> million (surplus amounted to EUR 1 621.9 million and export – import ratio equalled 315.6%).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wheat,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lignite) and Macedonia (exports of hot rolled sheets in coils, and electricity; imports of retail trade medicaments and rolled products, plastics coated). Regarding other countries, surplus was also noted in trade with Romania, Bulgaria, Slovakia, Croatia, Great Britain, Sweden, Slovenia and Italy. The greatest deficit marked the trade with China (due to imports of phones for network stations and laptops) and with Germany, followed by trade with the Russian Federation (due to imports of energy commodities, mainly oil and gas), Iraq, Turkey, Hungary, Poland (imports of motor vehicles’ parts), Belgium, Ukraine (imports of iron ore and concentrates), Korea, Austria, USA, France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32.6% of the overall exports. Imports of the first five sections accounted for 27.8% of total imports. </w:t>
            </w:r>
            <w:r>
              <w:rPr>
                <w:rFonts w:ascii="Tahoma" w:hAnsi="Tahoma"/>
                <w:sz w:val="18"/>
              </w:rPr>
              <w:t xml:space="preserve">Section of </w:t>
            </w:r>
            <w:r>
              <w:rPr>
                <w:rFonts w:ascii="Tahoma" w:hAnsi="Tahoma"/>
                <w:i w:val="1"/>
                <w:sz w:val="18"/>
              </w:rPr>
              <w:t>unclassified goods</w:t>
            </w:r>
            <w:r>
              <w:rPr>
                <w:rFonts w:ascii="Tahoma" w:hAnsi="Tahoma"/>
                <w:sz w:val="18"/>
              </w:rPr>
              <w:t>, now also involving customs storage goods and goods in free zone, has share of 11.8% in total imports.</w:t>
            </w: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1705.0</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1432.5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1603.4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1355.5</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1139.2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953.0</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1533.5</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1286.1</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905.5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759.4</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1263.0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1060.7</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Rubber products, n.e.c.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769.6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646.2</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846.5</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711.0</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752.5</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632.0</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726.7</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610.9</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Octo</w:t>
            </w:r>
            <w:r>
              <w:rPr>
                <w:rFonts w:ascii="Tahoma" w:hAnsi="Tahoma"/>
                <w:b w:val="1"/>
                <w:color w:val="242424"/>
                <w:sz w:val="18"/>
              </w:rPr>
              <w:t>ber</w:t>
            </w:r>
            <w:r>
              <w:rPr>
                <w:rFonts w:ascii="Tahoma" w:hAnsi="Tahoma"/>
                <w:color w:val="242424"/>
                <w:sz w:val="18"/>
              </w:rPr>
              <w:t xml:space="preserve"> 2018, value of exports amounted to </w:t>
            </w:r>
            <w:r>
              <w:rPr>
                <w:rFonts w:ascii="Tahoma" w:hAnsi="Tahoma"/>
                <w:b w:val="1"/>
                <w:color w:val="242424"/>
                <w:sz w:val="18"/>
              </w:rPr>
              <w:t>USD 1</w:t>
            </w:r>
            <w:r>
              <w:rPr>
                <w:rFonts w:ascii="Tahoma" w:hAnsi="Tahoma"/>
                <w:b w:val="1"/>
                <w:color w:val="242424"/>
                <w:sz w:val="18"/>
              </w:rPr>
              <w:t xml:space="preserve"> </w:t>
            </w:r>
            <w:r>
              <w:rPr>
                <w:rFonts w:ascii="Tahoma" w:hAnsi="Tahoma"/>
                <w:b w:val="1"/>
                <w:color w:val="242424"/>
                <w:sz w:val="18"/>
              </w:rPr>
              <w:t>6</w:t>
            </w:r>
            <w:r>
              <w:rPr>
                <w:rFonts w:ascii="Tahoma" w:hAnsi="Tahoma"/>
                <w:b w:val="1"/>
                <w:color w:val="242424"/>
                <w:sz w:val="18"/>
              </w:rPr>
              <w:t>98</w:t>
            </w:r>
            <w:r>
              <w:rPr>
                <w:rFonts w:ascii="Tahoma" w:hAnsi="Tahoma"/>
                <w:b w:val="1"/>
                <w:color w:val="242424"/>
                <w:sz w:val="18"/>
              </w:rPr>
              <w:t>.</w:t>
            </w:r>
            <w:r>
              <w:rPr>
                <w:rFonts w:ascii="Tahoma" w:hAnsi="Tahoma"/>
                <w:b w:val="1"/>
                <w:color w:val="242424"/>
                <w:sz w:val="18"/>
              </w:rPr>
              <w:t>4</w:t>
            </w:r>
            <w:r>
              <w:rPr>
                <w:rFonts w:ascii="Tahoma" w:hAnsi="Tahoma"/>
                <w:b w:val="1"/>
                <w:color w:val="242424"/>
                <w:sz w:val="18"/>
              </w:rPr>
              <w:t xml:space="preserve"> million</w:t>
            </w:r>
            <w:r>
              <w:rPr>
                <w:rFonts w:ascii="Tahoma" w:hAnsi="Tahoma"/>
                <w:color w:val="242424"/>
                <w:sz w:val="18"/>
              </w:rPr>
              <w:t xml:space="preserve">, presenting the increase of 10.2% relative to the same month last year. Value of imports amounted to </w:t>
            </w:r>
            <w:r>
              <w:rPr>
                <w:rFonts w:ascii="Tahoma" w:hAnsi="Tahoma"/>
                <w:b w:val="1"/>
                <w:color w:val="242424"/>
                <w:sz w:val="18"/>
              </w:rPr>
              <w:t>USD 2</w:t>
            </w:r>
            <w:r>
              <w:rPr>
                <w:rFonts w:ascii="Tahoma" w:hAnsi="Tahoma"/>
                <w:b w:val="1"/>
                <w:color w:val="242424"/>
                <w:sz w:val="18"/>
              </w:rPr>
              <w:t xml:space="preserve"> </w:t>
            </w:r>
            <w:r>
              <w:rPr>
                <w:rFonts w:ascii="Tahoma" w:hAnsi="Tahoma"/>
                <w:b w:val="1"/>
                <w:color w:val="242424"/>
                <w:sz w:val="18"/>
              </w:rPr>
              <w:t>455</w:t>
            </w:r>
            <w:r>
              <w:rPr>
                <w:rFonts w:ascii="Tahoma" w:hAnsi="Tahoma"/>
                <w:b w:val="1"/>
                <w:color w:val="242424"/>
                <w:sz w:val="18"/>
              </w:rPr>
              <w:t>.</w:t>
            </w:r>
            <w:r>
              <w:rPr>
                <w:rFonts w:ascii="Tahoma" w:hAnsi="Tahoma"/>
                <w:b w:val="1"/>
                <w:color w:val="242424"/>
                <w:sz w:val="18"/>
              </w:rPr>
              <w:t>4</w:t>
            </w:r>
            <w:r>
              <w:rPr>
                <w:rFonts w:ascii="Tahoma" w:hAnsi="Tahoma"/>
                <w:b w:val="1"/>
                <w:color w:val="242424"/>
                <w:sz w:val="18"/>
              </w:rPr>
              <w:t xml:space="preserve"> million</w:t>
            </w:r>
            <w:r>
              <w:rPr>
                <w:rFonts w:ascii="Tahoma" w:hAnsi="Tahoma"/>
                <w:color w:val="242424"/>
                <w:sz w:val="18"/>
              </w:rPr>
              <w:t xml:space="preserve">, being the increase of 17.8%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w:t>
            </w:r>
            <w:r>
              <w:rPr>
                <w:rFonts w:ascii="Arial" w:hAnsi="Arial"/>
                <w:b w:val="1"/>
                <w:sz w:val="18"/>
              </w:rPr>
              <w:t>47</w:t>
            </w:r>
            <w:r>
              <w:rPr>
                <w:rFonts w:ascii="Arial" w:hAnsi="Arial"/>
                <w:b w:val="1"/>
                <w:sz w:val="18"/>
              </w:rPr>
              <w:t>2</w:t>
            </w:r>
            <w:r>
              <w:rPr>
                <w:rFonts w:ascii="Arial" w:hAnsi="Arial"/>
                <w:b w:val="1"/>
                <w:sz w:val="18"/>
              </w:rPr>
              <w:t>.</w:t>
            </w:r>
            <w:r>
              <w:rPr>
                <w:rFonts w:ascii="Arial" w:hAnsi="Arial"/>
                <w:b w:val="1"/>
                <w:sz w:val="18"/>
              </w:rPr>
              <w:t>5</w:t>
            </w:r>
            <w:r>
              <w:rPr>
                <w:rFonts w:ascii="Arial" w:hAnsi="Arial"/>
                <w:b w:val="1"/>
                <w:sz w:val="18"/>
              </w:rPr>
              <w:t xml:space="preserve"> million</w:t>
            </w:r>
            <w:r>
              <w:rPr>
                <w:rFonts w:ascii="Arial" w:hAnsi="Arial"/>
                <w:sz w:val="18"/>
              </w:rPr>
              <w:t xml:space="preserve">, i.e. the increase of 12.5% relative to October 2017 and value of </w:t>
            </w:r>
            <w:r>
              <w:rPr>
                <w:rFonts w:ascii="Arial" w:hAnsi="Arial"/>
                <w:b w:val="1"/>
                <w:sz w:val="18"/>
              </w:rPr>
              <w:t>imports</w:t>
            </w:r>
            <w:r>
              <w:rPr>
                <w:rFonts w:ascii="Arial" w:hAnsi="Arial"/>
                <w:sz w:val="18"/>
              </w:rPr>
              <w:t xml:space="preserve"> was </w:t>
            </w:r>
            <w:r>
              <w:rPr>
                <w:rFonts w:ascii="Arial" w:hAnsi="Arial"/>
                <w:b w:val="1"/>
                <w:sz w:val="18"/>
              </w:rPr>
              <w:t xml:space="preserve">EUR </w:t>
            </w:r>
            <w:r>
              <w:rPr>
                <w:rFonts w:ascii="Arial" w:hAnsi="Arial"/>
                <w:b w:val="1"/>
                <w:sz w:val="18"/>
              </w:rPr>
              <w:t>2129</w:t>
            </w:r>
            <w:r>
              <w:rPr>
                <w:rFonts w:ascii="Arial" w:hAnsi="Arial"/>
                <w:b w:val="1"/>
                <w:sz w:val="18"/>
              </w:rPr>
              <w:t>.</w:t>
            </w:r>
            <w:r>
              <w:rPr>
                <w:rFonts w:ascii="Arial" w:hAnsi="Arial"/>
                <w:b w:val="1"/>
                <w:sz w:val="18"/>
              </w:rPr>
              <w:t>5</w:t>
            </w:r>
            <w:r>
              <w:rPr>
                <w:rFonts w:ascii="Arial" w:hAnsi="Arial"/>
                <w:b w:val="1"/>
                <w:sz w:val="18"/>
              </w:rPr>
              <w:t xml:space="preserve"> million</w:t>
            </w:r>
            <w:r>
              <w:rPr>
                <w:rFonts w:ascii="Arial" w:hAnsi="Arial"/>
                <w:sz w:val="18"/>
              </w:rPr>
              <w:t xml:space="preserve">, being the increase of 20.3%, relative the same month last year.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October 2018/ September 2018 shows that exports increase by 3.5% and imports increase by 3.5%, calculated/ expressed in USD. Seasonally adjusted index October 2018/ September 2018, expressed in EUR, shows that exports increase by 3.1% and imports increase by 4.4 %.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Octo</w:t>
            </w:r>
            <w:r>
              <w:rPr>
                <w:rFonts w:ascii="Tahoma" w:hAnsi="Tahoma"/>
                <w:b w:val="1"/>
                <w:sz w:val="18"/>
              </w:rPr>
              <w:t>ber</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99 million), followed by </w:t>
            </w:r>
            <w:r>
              <w:rPr>
                <w:rFonts w:ascii="Tahoma" w:hAnsi="Tahoma"/>
                <w:i w:val="1"/>
                <w:sz w:val="18"/>
              </w:rPr>
              <w:t xml:space="preserve">new tyres for passengers’ car </w:t>
            </w:r>
            <w:r>
              <w:rPr>
                <w:rFonts w:ascii="Tahoma" w:hAnsi="Tahoma"/>
                <w:sz w:val="18"/>
              </w:rPr>
              <w:t xml:space="preserve">(USD 51 million); export of </w:t>
            </w:r>
            <w:r>
              <w:rPr>
                <w:rFonts w:ascii="Tahoma" w:hAnsi="Tahoma"/>
                <w:i w:val="1"/>
                <w:sz w:val="18"/>
              </w:rPr>
              <w:t>copper refined</w:t>
            </w:r>
            <w:r>
              <w:rPr>
                <w:rFonts w:ascii="Tahoma" w:hAnsi="Tahoma"/>
                <w:sz w:val="18"/>
              </w:rPr>
              <w:t xml:space="preserve"> was USD 34 million, of </w:t>
            </w:r>
            <w:r>
              <w:rPr>
                <w:rFonts w:ascii="Tahoma" w:hAnsi="Tahoma"/>
                <w:i w:val="1"/>
                <w:sz w:val="18"/>
              </w:rPr>
              <w:t>hot rolled products (iron and non-alloyed steel) in coils</w:t>
            </w:r>
            <w:r>
              <w:rPr>
                <w:rFonts w:ascii="Tahoma" w:hAnsi="Tahoma"/>
                <w:sz w:val="18"/>
              </w:rPr>
              <w:t xml:space="preserve"> USD 32 million, and the last item on the list related to </w:t>
            </w:r>
            <w:r>
              <w:rPr>
                <w:rFonts w:ascii="Tahoma" w:hAnsi="Tahoma"/>
                <w:i w:val="1"/>
                <w:sz w:val="18"/>
              </w:rPr>
              <w:t xml:space="preserve">cars, candle burning over 1000 </w:t>
            </w:r>
            <w:r>
              <w:rPr>
                <w:rFonts w:ascii="Tahoma" w:hAnsi="Tahoma"/>
                <w:i w:val="1"/>
                <w:sz w:val="18"/>
              </w:rPr>
              <w:t>but</w:t>
            </w:r>
            <w:r>
              <w:rPr>
                <w:rFonts w:ascii="Tahoma" w:hAnsi="Tahoma"/>
                <w:i w:val="1"/>
                <w:sz w:val="18"/>
              </w:rPr>
              <w:t xml:space="preserve"> below 1500 cm </w:t>
            </w:r>
            <w:r>
              <w:rPr>
                <w:rFonts w:ascii="Tahoma" w:hAnsi="Tahoma"/>
                <w:i w:val="1"/>
                <w:sz w:val="18"/>
                <w:vertAlign w:val="superscript"/>
              </w:rPr>
              <w:t>3</w:t>
            </w:r>
            <w:r>
              <w:rPr>
                <w:rFonts w:ascii="Tahoma" w:hAnsi="Tahoma"/>
                <w:sz w:val="18"/>
              </w:rPr>
              <w:t xml:space="preserve">  with the value of USD 30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b w:val="1"/>
                <w:sz w:val="18"/>
              </w:rPr>
              <w:t>Octo</w:t>
            </w:r>
            <w:r>
              <w:rPr>
                <w:rFonts w:ascii="Tahoma" w:hAnsi="Tahoma"/>
                <w:b w:val="1"/>
                <w:sz w:val="18"/>
              </w:rPr>
              <w:t>ber</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208 million) was the first imported product, followed by </w:t>
            </w:r>
            <w:r>
              <w:rPr>
                <w:rFonts w:ascii="Tahoma" w:hAnsi="Tahoma"/>
                <w:i w:val="1"/>
                <w:sz w:val="18"/>
              </w:rPr>
              <w:t>retail trade medicaments</w:t>
            </w:r>
            <w:r>
              <w:rPr>
                <w:rFonts w:ascii="Tahoma" w:hAnsi="Tahoma"/>
                <w:sz w:val="18"/>
              </w:rPr>
              <w:t xml:space="preserve"> (USD 60 million); </w:t>
            </w:r>
            <w:r>
              <w:rPr>
                <w:rFonts w:ascii="Tahoma" w:hAnsi="Tahoma"/>
                <w:i w:val="1"/>
                <w:sz w:val="18"/>
              </w:rPr>
              <w:t xml:space="preserve">parts and accessories for motor vehicles </w:t>
            </w:r>
            <w:r>
              <w:rPr>
                <w:rFonts w:ascii="Tahoma" w:hAnsi="Tahoma"/>
                <w:sz w:val="18"/>
              </w:rPr>
              <w:t xml:space="preserve">(USD 48 million) were on the third place; </w:t>
            </w:r>
            <w:r>
              <w:rPr>
                <w:rFonts w:ascii="Tahoma" w:hAnsi="Tahoma"/>
                <w:i w:val="1"/>
                <w:sz w:val="18"/>
              </w:rPr>
              <w:t xml:space="preserve">natural gas </w:t>
            </w:r>
            <w:r>
              <w:rPr>
                <w:rFonts w:ascii="Tahoma" w:hAnsi="Tahoma"/>
                <w:sz w:val="18"/>
              </w:rPr>
              <w:t>was imported for USD 41 million; the last item on the related to import of</w:t>
            </w:r>
            <w:r>
              <w:rPr>
                <w:rFonts w:ascii="Tahoma" w:hAnsi="Tahoma"/>
                <w:i w:val="1"/>
                <w:sz w:val="18"/>
              </w:rPr>
              <w:t xml:space="preserve"> </w:t>
            </w:r>
            <w:r>
              <w:rPr>
                <w:rFonts w:ascii="Tahoma" w:hAnsi="Tahoma"/>
                <w:i w:val="1"/>
                <w:sz w:val="18"/>
              </w:rPr>
              <w:t>phones for network stations</w:t>
            </w:r>
            <w:r>
              <w:rPr>
                <w:rFonts w:ascii="Tahoma" w:hAnsi="Tahoma"/>
                <w:i w:val="1"/>
                <w:sz w:val="18"/>
              </w:rPr>
              <w:t>,</w:t>
            </w:r>
            <w:r>
              <w:rPr>
                <w:rFonts w:ascii="Tahoma" w:hAnsi="Tahoma"/>
                <w:i w:val="1"/>
                <w:sz w:val="18"/>
              </w:rPr>
              <w:t xml:space="preserve"> </w:t>
            </w:r>
            <w:r>
              <w:rPr>
                <w:rFonts w:ascii="Tahoma" w:hAnsi="Tahoma"/>
                <w:sz w:val="18"/>
              </w:rPr>
              <w:t>with the value of USD 35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2020-01-10T11:38:05Z</dcterms:modified>
  <cp:revision>568</cp:revision>
  <dc:title>December 29, 2011</dc:title>
</cp:coreProperties>
</file>