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615DD5B" Type="http://schemas.openxmlformats.org/officeDocument/2006/relationships/officeDocument" Target="/word/document.xml" /><Relationship Id="coreR6615DD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72"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8640"/>
        </w:trPr>
        <w:tc>
          <w:tcPr>
            <w:tcW w:w="0" w:type="auto"/>
            <w:tcBorders>
              <w:bottom w:val="none" w:sz="0" w:space="0" w:shadow="0" w:frame="0"/>
            </w:tcBorders>
          </w:tcPr>
          <w:p>
            <w:pPr>
              <w:jc w:val="right"/>
              <w:rPr>
                <w:rFonts w:ascii="Tahoma" w:hAnsi="Tahoma"/>
              </w:rPr>
            </w:pPr>
            <w:r>
              <w:rPr>
                <w:rFonts w:ascii="Tahoma" w:hAnsi="Tahoma"/>
              </w:rPr>
              <w:t>20.11.2018</w:t>
            </w:r>
          </w:p>
          <w:tbl>
            <w:tblPr>
              <w:tblStyle w:val="T2"/>
              <w:tblW w:w="952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901"/>
              </w:trPr>
              <w:tc>
                <w:tcPr>
                  <w:tcW w:w="9004" w:type="dxa"/>
                  <w:tcBorders>
                    <w:top w:val="none" w:sz="0" w:space="0" w:shadow="0" w:frame="0"/>
                    <w:left w:val="none" w:sz="0" w:space="0" w:shadow="0" w:frame="0"/>
                    <w:bottom w:val="none" w:sz="0" w:space="0" w:shadow="0" w:frame="0"/>
                    <w:right w:val="none" w:sz="0" w:space="0" w:shadow="0" w:frame="0"/>
                  </w:tcBorders>
                </w:tcPr>
                <w:p>
                  <w:pPr>
                    <w:pStyle w:val="P1"/>
                    <w:spacing w:before="360" w:after="240"/>
                    <w:jc w:val="center"/>
                    <w:rPr>
                      <w:sz w:val="28"/>
                    </w:rPr>
                  </w:pPr>
                  <w:r>
                    <w:rPr>
                      <w:sz w:val="28"/>
                    </w:rPr>
                    <w:t>Investments in fixed assets,</w:t>
                  </w:r>
                  <w:r>
                    <w:rPr>
                      <w:sz w:val="24"/>
                    </w:rPr>
                    <w:t xml:space="preserve"> </w:t>
                  </w:r>
                  <w:r>
                    <w:rPr>
                      <w:sz w:val="28"/>
                    </w:rPr>
                    <w:t>2017</w:t>
                  </w:r>
                </w:p>
                <w:p>
                  <w:pPr>
                    <w:jc w:val="center"/>
                  </w:pPr>
                  <w:r>
                    <w:t>- results of the survey “Annual survey on investments in fixed assets” -</w:t>
                  </w:r>
                </w:p>
                <w:p>
                  <w:pPr>
                    <w:spacing w:before="120" w:after="120"/>
                    <w:jc w:val="both"/>
                  </w:pPr>
                  <w:r>
                    <w:t>The data presented in this statistical release are the result of “Annual survey on investments in fixed assets” (INV-01). The reporting units exclusively refer to legal entities that are direct investors (excluded are investments of unincorporated enterprises and physical persons).</w:t>
                  </w:r>
                </w:p>
                <w:p>
                  <w:pPr>
                    <w:spacing w:before="120" w:after="120"/>
                    <w:jc w:val="both"/>
                  </w:pPr>
                  <w:r>
                    <w:t>The main aim of the survey is informing on investments activity, i.e. purchase and construction of fixed assets in the country. The survey also presents one of data sources for GDP calculation by expenditure approach. For the needs of investments’ calculation as aggregate of GDP expenditure (i.e. gross investments in fixed assets), as well as for creation of capital account, additional calculations are performed (intellectual property, production for household final consumption, military systems and other categories of fixed assets not covered by this survey).</w:t>
                  </w:r>
                </w:p>
                <w:p>
                  <w:pPr>
                    <w:spacing w:before="120" w:after="120"/>
                    <w:jc w:val="both"/>
                  </w:pPr>
                  <w:r>
                    <w:t>Total fixed assets can be new and used (second-hand)*. Realized investments in total fixed assets in the Republic of Serbia in 2017 increased by 13.7% relative to the previous year, while realized investments in new fixed assets increased by 13.7% in 2017, compared to the previous year.</w:t>
                  </w:r>
                </w:p>
                <w:p>
                  <w:pPr>
                    <w:spacing w:before="120" w:after="120"/>
                    <w:jc w:val="both"/>
                  </w:pPr>
                  <w:r>
                    <w:t xml:space="preserve">Observed by regions, 51.4% of total investments were realized in Beogradski region, 26.9% in Region Vojvodine, 13.4% in Region Šumadije i Zapadne Srbije and 8.3% in Region Južne i Istočne Srbije. </w:t>
                  </w:r>
                </w:p>
                <w:p>
                  <w:pPr>
                    <w:spacing w:before="120" w:after="120"/>
                    <w:jc w:val="both"/>
                  </w:pPr>
                  <w:r>
                    <w:t>Observed by activities, the greatest share of total realized investments in fixed assets in the Republic of Serbia was noted as follows: section of manufacturing (23.2%), section of public administration and defence; compulsory social security (15.3%), section of electricity, gas, steam and air conditioning supply (10%), section of wholesale and retail trade; repair of motor vehicles and motorcycles (9.4%), and section of transportation and storage (7.6%).</w:t>
                  </w:r>
                </w:p>
                <w:p>
                  <w:pPr>
                    <w:pStyle w:val="P4"/>
                    <w:spacing w:before="120"/>
                    <w:jc w:val="both"/>
                  </w:pPr>
                  <w:r>
                    <w:t xml:space="preserve">The greatest share in total payments for investments in fixed assets related to payments from own resources – 77.2%. </w:t>
                  </w:r>
                </w:p>
                <w:p>
                  <w:pPr>
                    <w:jc w:val="center"/>
                    <w:rPr>
                      <w:rFonts w:ascii="Arial" w:hAnsi="Arial"/>
                      <w:sz w:val="16"/>
                    </w:rPr>
                  </w:pPr>
                </w:p>
              </w:tc>
            </w:tr>
          </w:tbl>
          <w:p>
            <w:pPr>
              <w:pStyle w:val="P7"/>
              <w:ind w:hanging="142" w:left="142"/>
              <w:jc w:val="both"/>
              <w:rPr>
                <w:rFonts w:ascii="Tahoma" w:hAnsi="Tahoma"/>
                <w:sz w:val="16"/>
              </w:rPr>
            </w:pPr>
          </w:p>
          <w:p>
            <w:pPr>
              <w:pStyle w:val="P7"/>
              <w:ind w:hanging="142" w:left="142"/>
              <w:jc w:val="both"/>
              <w:rPr>
                <w:sz w:val="16"/>
              </w:rPr>
            </w:pPr>
            <w:r>
              <w:rPr>
                <w:rFonts w:ascii="Tahoma" w:hAnsi="Tahoma"/>
                <w:sz w:val="16"/>
              </w:rPr>
              <w:t xml:space="preserve">* </w:t>
            </w:r>
            <w:r>
              <w:rPr>
                <w:sz w:val="16"/>
              </w:rPr>
              <w:t xml:space="preserve">Investments that are the aggregate of GDP usage, besides the new fixed assets, involve also second- hand fixed assets purchased from abroad as they contribute to increased total capital goods in the country. Transactions within the country (purchase and sale of second - hand fixed assets) are mutually annulled except in the section referring to ownership transfer costs. </w:t>
            </w:r>
          </w:p>
          <w:p>
            <w:pPr>
              <w:spacing w:lineRule="auto" w:line="276" w:before="120"/>
              <w:ind w:firstLine="90" w:left="-105"/>
              <w:jc w:val="both"/>
              <w:rPr>
                <w:rFonts w:ascii="Tahoma" w:hAnsi="Tahoma"/>
                <w:sz w:val="16"/>
              </w:rPr>
            </w:pPr>
          </w:p>
        </w:tc>
      </w:tr>
    </w:tbl>
    <w:p>
      <w:pPr>
        <w:rPr>
          <w:sz w:val="2"/>
        </w:rPr>
      </w:pPr>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440" w:right="1440" w:top="1440" w:bottom="144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Jelena Jakovljevic</w:t>
          </w:r>
        </w:p>
        <w:p>
          <w:pPr>
            <w:jc w:val="both"/>
            <w:rPr>
              <w:rFonts w:ascii="Tahoma" w:hAnsi="Tahoma"/>
              <w:color w:val="808080"/>
              <w:sz w:val="20"/>
            </w:rPr>
          </w:pPr>
          <w:r>
            <w:rPr>
              <w:rFonts w:ascii="Tahoma" w:hAnsi="Tahoma"/>
              <w:color w:val="808080"/>
              <w:sz w:val="20"/>
            </w:rPr>
            <w:t>Unit for national accounts base creation</w:t>
          </w:r>
        </w:p>
        <w:p>
          <w:pPr>
            <w:jc w:val="both"/>
            <w:rPr>
              <w:rFonts w:ascii="Tahoma" w:hAnsi="Tahoma"/>
              <w:color w:val="808080"/>
              <w:sz w:val="20"/>
            </w:rPr>
          </w:pPr>
          <w:r>
            <w:rPr>
              <w:rFonts w:ascii="Tahoma" w:hAnsi="Tahoma"/>
              <w:color w:val="808080"/>
              <w:sz w:val="20"/>
            </w:rPr>
            <w:t>Phone: +381 11 2412-922, ext. 239</w:t>
          </w:r>
        </w:p>
        <w:p>
          <w:pPr>
            <w:jc w:val="both"/>
            <w:rPr>
              <w:rFonts w:ascii="Tahoma" w:hAnsi="Tahoma"/>
              <w:color w:val="808080"/>
              <w:sz w:val="20"/>
            </w:rPr>
          </w:pPr>
          <w:r>
            <w:rPr>
              <w:rFonts w:ascii="Tahoma" w:hAnsi="Tahoma"/>
              <w:color w:val="808080"/>
              <w:sz w:val="20"/>
            </w:rPr>
            <w:t>јеlena.jakovljevic@stat.gov.rs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color w:val="808080"/>
              <w:sz w:val="20"/>
            </w:rPr>
          </w:pPr>
          <w:r>
            <w:rPr>
              <w:rFonts w:ascii="Tahoma" w:hAnsi="Tahoma"/>
              <w:color w:val="808080"/>
              <w:sz w:val="20"/>
            </w:rPr>
            <w:fldChar w:fldCharType="begin"/>
          </w:r>
          <w:r>
            <w:rPr>
              <w:rFonts w:ascii="Tahoma" w:hAnsi="Tahoma"/>
              <w:color w:val="808080"/>
              <w:sz w:val="20"/>
            </w:rPr>
            <w:instrText xml:space="preserve"> HYPERLINK "mailto:stat@stat.gov.rs" </w:instrText>
          </w:r>
          <w:r>
            <w:rPr>
              <w:rFonts w:ascii="Tahoma" w:hAnsi="Tahoma"/>
              <w:color w:val="808080"/>
              <w:sz w:val="20"/>
            </w:rPr>
            <w:fldChar w:fldCharType="separate"/>
          </w:r>
          <w:r>
            <w:rPr>
              <w:rStyle w:val="C2"/>
              <w:rFonts w:ascii="Tahoma" w:hAnsi="Tahoma"/>
              <w:sz w:val="20"/>
            </w:rPr>
            <w:t>stat@stat.gov.rs</w:t>
          </w:r>
          <w:r>
            <w:rPr>
              <w:rStyle w:val="C2"/>
              <w:rFonts w:ascii="Tahoma" w:hAnsi="Tahoma"/>
              <w:sz w:val="20"/>
            </w:rPr>
            <w:fldChar w:fldCharType="end"/>
          </w:r>
        </w:p>
        <w:p>
          <w:pPr>
            <w:jc w:val="both"/>
            <w:rPr>
              <w:rFonts w:ascii="Tahoma" w:hAnsi="Tahoma"/>
              <w:color w:val="808080"/>
              <w:sz w:val="20"/>
            </w:rPr>
          </w:pPr>
        </w:p>
        <w:p>
          <w:pPr>
            <w:jc w:val="both"/>
            <w:rPr>
              <w:rFonts w:ascii="Tahoma" w:hAnsi="Tahoma"/>
              <w:sz w:val="22"/>
            </w:rPr>
          </w:pPr>
        </w:p>
      </w:tc>
      <w:tc>
        <w:tcPr>
          <w:tcW w:w="5400" w:type="dxa"/>
        </w:tcPr>
        <w:p>
          <w:pPr>
            <w:jc w:val="center"/>
            <w:rPr>
              <w:rFonts w:ascii="Tahoma" w:hAnsi="Tahoma"/>
              <w:sz w:val="20"/>
            </w:rPr>
          </w:pPr>
          <w:r>
            <w:rPr>
              <w:rFonts w:ascii="Tahoma" w:hAnsi="Tahoma"/>
              <w:sz w:val="20"/>
            </w:rPr>
            <w:t xml:space="preserve">   Director</w:t>
          </w:r>
        </w:p>
        <w:p>
          <w:pPr>
            <w:jc w:val="both"/>
            <w:rPr>
              <w:rFonts w:ascii="Tahoma" w:hAnsi="Tahoma"/>
              <w:color w:val="808080"/>
              <w:sz w:val="20"/>
            </w:rPr>
          </w:pPr>
          <w:r>
            <w:rPr>
              <w:rFonts w:ascii="Tahoma" w:hAnsi="Tahoma"/>
              <w:sz w:val="20"/>
            </w:rPr>
            <w:t xml:space="preserve">                         Dr Miladin Kovacevic</w:t>
          </w:r>
          <w:r>
            <w:rPr>
              <w:rFonts w:ascii="Tahoma" w:hAnsi="Tahoma"/>
              <w:color w:val="808080"/>
              <w:sz w:val="20"/>
            </w:rPr>
            <w:t xml:space="preserve"> </w:t>
          </w:r>
        </w:p>
        <w:p>
          <w:pPr>
            <w:jc w:val="both"/>
            <w:rPr>
              <w:rFonts w:ascii="Tahoma" w:hAnsi="Tahoma"/>
              <w:sz w:val="20"/>
            </w:rPr>
          </w:pPr>
        </w:p>
      </w:tc>
    </w:tr>
  </w:tbl>
  <w:p>
    <w:pPr>
      <w:ind w:hanging="142" w:left="142"/>
      <w:jc w:val="both"/>
      <w:rPr>
        <w:rFonts w:ascii="Tahoma" w:hAnsi="Tahoma"/>
        <w:sz w:val="16"/>
      </w:rPr>
    </w:pPr>
    <w:r>
      <w:rPr>
        <w:rFonts w:ascii="Tahoma" w:hAnsi="Tahoma"/>
        <w:color w:val="333333"/>
        <w:sz w:val="16"/>
        <w:vertAlign w:val="superscript"/>
      </w:rPr>
      <w:t xml:space="preserve">1) </w:t>
    </w:r>
    <w:r>
      <w:rPr>
        <w:rFonts w:ascii="Tahoma" w:hAnsi="Tahoma"/>
        <w:sz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Tahoma" w:hAnsi="Tahoma"/>
        <w:sz w:val="18"/>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7"/>
              <w:rFonts w:ascii="Tahoma" w:hAnsi="Tahoma"/>
              <w:sz w:val="22"/>
            </w:rPr>
            <w:instrText xml:space="preserve"> NUMPAGES </w:instrText>
          </w:r>
          <w:r>
            <w:rPr>
              <w:rStyle w:val="C7"/>
              <w:rFonts w:ascii="Tahoma" w:hAnsi="Tahoma"/>
              <w:sz w:val="22"/>
            </w:rPr>
            <w:fldChar w:fldCharType="separate"/>
          </w:r>
          <w:r>
            <w:rPr>
              <w:rStyle w:val="C7"/>
              <w:rFonts w:ascii="Tahoma" w:hAnsi="Tahoma"/>
              <w:sz w:val="22"/>
            </w:rPr>
            <w:t>#</w:t>
          </w:r>
          <w:r>
            <w:rPr>
              <w:rStyle w:val="C7"/>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w:abstractNum w:abstractNumId="0">
    <w:nsid w:val="0D7C7C46"/>
    <w:multiLevelType w:val="hybridMultilevel"/>
    <w:lvl w:ilvl="0" w:tplc="6FE93B5C">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66B4D0A"/>
    <w:multiLevelType w:val="hybridMultilevel"/>
    <w:lvl w:ilvl="0" w:tplc="0760CF2C">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17706194"/>
    <w:multiLevelType w:val="multilevel"/>
    <w:lvl w:ilvl="0">
      <w:start w:val="1"/>
      <w:numFmt w:val="decimal"/>
      <w:suff w:val="tab"/>
      <w:lvlText w:val="%1."/>
      <w:lvlJc w:val="left"/>
      <w:pPr>
        <w:ind w:hanging="360" w:left="720"/>
      </w:pPr>
      <w:rPr>
        <w:sz w:val="16"/>
        <w:vertAlign w:val="superscript"/>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
    <w:nsid w:val="709550BC"/>
    <w:multiLevelType w:val="hybridMultilevel"/>
    <w:lvl w:ilvl="0" w:tplc="7E3947D7">
      <w:start w:val="30"/>
      <w:numFmt w:val="bullet"/>
      <w:suff w:val="tab"/>
      <w:lvlText w:val="-"/>
      <w:lvlJc w:val="left"/>
      <w:pPr>
        <w:ind w:hanging="360" w:left="720"/>
        <w:tabs>
          <w:tab w:val="left" w:pos="720" w:leader="none"/>
        </w:tabs>
      </w:pPr>
      <w:rPr>
        <w:rFonts w:ascii="Tahoma" w:hAnsi="Tahoma"/>
      </w:rPr>
    </w:lvl>
    <w:lvl w:ilvl="1" w:tplc="6894A80C">
      <w:start w:val="1"/>
      <w:numFmt w:val="bullet"/>
      <w:suff w:val="tab"/>
      <w:lvlText w:val="o"/>
      <w:lvlJc w:val="left"/>
      <w:pPr>
        <w:ind w:hanging="360" w:left="1440"/>
        <w:tabs>
          <w:tab w:val="left" w:pos="1440" w:leader="none"/>
        </w:tabs>
      </w:pPr>
      <w:rPr>
        <w:rFonts w:ascii="Courier New" w:hAnsi="Courier New"/>
      </w:rPr>
    </w:lvl>
    <w:lvl w:ilvl="2" w:tplc="78151E89">
      <w:start w:val="1"/>
      <w:numFmt w:val="bullet"/>
      <w:suff w:val="tab"/>
      <w:lvlText w:val=""/>
      <w:lvlJc w:val="left"/>
      <w:pPr>
        <w:ind w:hanging="360" w:left="2160"/>
        <w:tabs>
          <w:tab w:val="left" w:pos="2160" w:leader="none"/>
        </w:tabs>
      </w:pPr>
      <w:rPr>
        <w:rFonts w:ascii="Wingdings" w:hAnsi="Wingdings"/>
      </w:rPr>
    </w:lvl>
    <w:lvl w:ilvl="3" w:tplc="7DB11FD2">
      <w:start w:val="1"/>
      <w:numFmt w:val="bullet"/>
      <w:suff w:val="tab"/>
      <w:lvlText w:val=""/>
      <w:lvlJc w:val="left"/>
      <w:pPr>
        <w:ind w:hanging="360" w:left="2880"/>
        <w:tabs>
          <w:tab w:val="left" w:pos="2880" w:leader="none"/>
        </w:tabs>
      </w:pPr>
      <w:rPr>
        <w:rFonts w:ascii="Symbol" w:hAnsi="Symbol"/>
      </w:rPr>
    </w:lvl>
    <w:lvl w:ilvl="4" w:tplc="743798D6">
      <w:start w:val="1"/>
      <w:numFmt w:val="bullet"/>
      <w:suff w:val="tab"/>
      <w:lvlText w:val="o"/>
      <w:lvlJc w:val="left"/>
      <w:pPr>
        <w:ind w:hanging="360" w:left="3600"/>
        <w:tabs>
          <w:tab w:val="left" w:pos="3600" w:leader="none"/>
        </w:tabs>
      </w:pPr>
      <w:rPr>
        <w:rFonts w:ascii="Courier New" w:hAnsi="Courier New"/>
      </w:rPr>
    </w:lvl>
    <w:lvl w:ilvl="5" w:tplc="22729B80">
      <w:start w:val="1"/>
      <w:numFmt w:val="bullet"/>
      <w:suff w:val="tab"/>
      <w:lvlText w:val=""/>
      <w:lvlJc w:val="left"/>
      <w:pPr>
        <w:ind w:hanging="360" w:left="4320"/>
        <w:tabs>
          <w:tab w:val="left" w:pos="4320" w:leader="none"/>
        </w:tabs>
      </w:pPr>
      <w:rPr>
        <w:rFonts w:ascii="Wingdings" w:hAnsi="Wingdings"/>
      </w:rPr>
    </w:lvl>
    <w:lvl w:ilvl="6" w:tplc="3417A1D6">
      <w:start w:val="1"/>
      <w:numFmt w:val="bullet"/>
      <w:suff w:val="tab"/>
      <w:lvlText w:val=""/>
      <w:lvlJc w:val="left"/>
      <w:pPr>
        <w:ind w:hanging="360" w:left="5040"/>
        <w:tabs>
          <w:tab w:val="left" w:pos="5040" w:leader="none"/>
        </w:tabs>
      </w:pPr>
      <w:rPr>
        <w:rFonts w:ascii="Symbol" w:hAnsi="Symbol"/>
      </w:rPr>
    </w:lvl>
    <w:lvl w:ilvl="7" w:tplc="3FF56943">
      <w:start w:val="1"/>
      <w:numFmt w:val="bullet"/>
      <w:suff w:val="tab"/>
      <w:lvlText w:val="o"/>
      <w:lvlJc w:val="left"/>
      <w:pPr>
        <w:ind w:hanging="360" w:left="5760"/>
        <w:tabs>
          <w:tab w:val="left" w:pos="5760" w:leader="none"/>
        </w:tabs>
      </w:pPr>
      <w:rPr>
        <w:rFonts w:ascii="Courier New" w:hAnsi="Courier New"/>
      </w:rPr>
    </w:lvl>
    <w:lvl w:ilvl="8" w:tplc="2DC24A34">
      <w:start w:val="1"/>
      <w:numFmt w:val="bullet"/>
      <w:suff w:val="tab"/>
      <w:lvlText w:val=""/>
      <w:lvlJc w:val="left"/>
      <w:pPr>
        <w:ind w:hanging="360" w:left="6480"/>
        <w:tabs>
          <w:tab w:val="left" w:pos="6480" w:leader="none"/>
        </w:tabs>
      </w:pPr>
      <w:rPr>
        <w:rFonts w:ascii="Wingdings" w:hAnsi="Wingdings"/>
      </w:rPr>
    </w:lvl>
  </w:abstractNum>
  <w:abstractNum w:abstractNumId="4">
    <w:nsid w:val="75BE40E8"/>
    <w:multiLevelType w:val="multilevel"/>
    <w:lvl w:ilvl="0">
      <w:start w:val="1"/>
      <w:numFmt w:val="decimal"/>
      <w:suff w:val="tab"/>
      <w:lvlText w:val="%1."/>
      <w:lvlJc w:val="left"/>
      <w:pPr>
        <w:ind w:hanging="360" w:left="615"/>
      </w:pPr>
      <w:rPr/>
    </w:lvl>
    <w:lvl w:ilvl="1">
      <w:start w:val="1"/>
      <w:numFmt w:val="lowerLetter"/>
      <w:suff w:val="tab"/>
      <w:lvlText w:val="%2."/>
      <w:lvlJc w:val="left"/>
      <w:pPr>
        <w:ind w:hanging="360" w:left="1335"/>
      </w:pPr>
      <w:rPr/>
    </w:lvl>
    <w:lvl w:ilvl="2">
      <w:start w:val="1"/>
      <w:numFmt w:val="lowerRoman"/>
      <w:suff w:val="tab"/>
      <w:lvlText w:val="%3."/>
      <w:lvlJc w:val="right"/>
      <w:pPr>
        <w:ind w:hanging="180" w:left="2055"/>
      </w:pPr>
      <w:rPr/>
    </w:lvl>
    <w:lvl w:ilvl="3">
      <w:start w:val="1"/>
      <w:numFmt w:val="decimal"/>
      <w:suff w:val="tab"/>
      <w:lvlText w:val="%4."/>
      <w:lvlJc w:val="left"/>
      <w:pPr>
        <w:ind w:hanging="360" w:left="2775"/>
      </w:pPr>
      <w:rPr/>
    </w:lvl>
    <w:lvl w:ilvl="4">
      <w:start w:val="1"/>
      <w:numFmt w:val="lowerLetter"/>
      <w:suff w:val="tab"/>
      <w:lvlText w:val="%5."/>
      <w:lvlJc w:val="left"/>
      <w:pPr>
        <w:ind w:hanging="360" w:left="3495"/>
      </w:pPr>
      <w:rPr/>
    </w:lvl>
    <w:lvl w:ilvl="5">
      <w:start w:val="1"/>
      <w:numFmt w:val="lowerRoman"/>
      <w:suff w:val="tab"/>
      <w:lvlText w:val="%6."/>
      <w:lvlJc w:val="right"/>
      <w:pPr>
        <w:ind w:hanging="180" w:left="4215"/>
      </w:pPr>
      <w:rPr/>
    </w:lvl>
    <w:lvl w:ilvl="6">
      <w:start w:val="1"/>
      <w:numFmt w:val="decimal"/>
      <w:suff w:val="tab"/>
      <w:lvlText w:val="%7."/>
      <w:lvlJc w:val="left"/>
      <w:pPr>
        <w:ind w:hanging="360" w:left="4935"/>
      </w:pPr>
      <w:rPr/>
    </w:lvl>
    <w:lvl w:ilvl="7">
      <w:start w:val="1"/>
      <w:numFmt w:val="lowerLetter"/>
      <w:suff w:val="tab"/>
      <w:lvlText w:val="%8."/>
      <w:lvlJc w:val="left"/>
      <w:pPr>
        <w:ind w:hanging="360" w:left="5655"/>
      </w:pPr>
      <w:rPr/>
    </w:lvl>
    <w:lvl w:ilvl="8">
      <w:start w:val="1"/>
      <w:numFmt w:val="lowerRoman"/>
      <w:suff w:val="tab"/>
      <w:lvlText w:val="%9."/>
      <w:lvlJc w:val="right"/>
      <w:pPr>
        <w:ind w:hanging="180" w:left="6375"/>
      </w:pPr>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link w:val="C6"/>
    <w:qFormat/>
    <w:pPr>
      <w:keepNext w:val="1"/>
      <w:spacing w:before="240" w:after="60"/>
      <w:outlineLvl w:val="0"/>
    </w:pPr>
    <w:rPr>
      <w:rFonts w:ascii="Arial" w:hAnsi="Arial"/>
      <w:b w:val="1"/>
      <w:sz w:val="32"/>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Car Car"/>
    <w:basedOn w:val="P0"/>
    <w:next w:val="P5"/>
    <w:pPr>
      <w:spacing w:lineRule="exact" w:line="240" w:after="160"/>
    </w:pPr>
    <w:rPr>
      <w:rFonts w:ascii="Verdana" w:hAnsi="Verdana"/>
      <w:i w:val="1"/>
      <w:sz w:val="20"/>
    </w:rPr>
  </w:style>
  <w:style w:type="paragraph" w:styleId="P6">
    <w:name w:val="Balloon Text"/>
    <w:basedOn w:val="P0"/>
    <w:next w:val="P6"/>
    <w:pPr/>
    <w:rPr>
      <w:rFonts w:ascii="Tahoma" w:hAnsi="Tahoma"/>
      <w:sz w:val="16"/>
    </w:rPr>
  </w:style>
  <w:style w:type="paragraph" w:styleId="P7">
    <w:name w:val="Footnote Text"/>
    <w:basedOn w:val="P0"/>
    <w:next w:val="P7"/>
    <w:link w:val="C4"/>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Footnote Text Char"/>
    <w:link w:val="P7"/>
    <w:rPr>
      <w:sz w:val="20"/>
    </w:rPr>
  </w:style>
  <w:style w:type="character" w:styleId="C5">
    <w:name w:val="Footnote Reference"/>
    <w:rPr>
      <w:vertAlign w:val="superscript"/>
    </w:rPr>
  </w:style>
  <w:style w:type="character" w:styleId="C6">
    <w:name w:val="Heading 1 Char"/>
    <w:link w:val="P1"/>
    <w:rPr>
      <w:rFonts w:ascii="Arial" w:hAnsi="Arial"/>
      <w:b w:val="1"/>
      <w:sz w:val="32"/>
    </w:rPr>
  </w:style>
  <w:style w:type="character" w:styleId="C7">
    <w:name w:val="Page Number"/>
    <w:basedOn w:val="C0"/>
    <w:rPr/>
  </w:style>
  <w:style w:type="character" w:styleId="C8">
    <w:name w:val="apple-style-span"/>
    <w:basedOn w:val="C0"/>
    <w:rPr/>
  </w:style>
  <w:style w:type="character" w:styleId="C9">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2018-11-20T11:32:00Z</dcterms:created>
  <cp:lastModifiedBy>Nikola Kapetanovic</cp:lastModifiedBy>
  <cp:lastPrinted>2018-11-20T12:17:00Z</cp:lastPrinted>
  <dcterms:modified xsi:type="dcterms:W3CDTF">2020-01-10T11:38:05Z</dcterms:modified>
  <cp:revision>50</cp:revision>
  <dc:title>ДАТУМ</dc:title>
</cp:coreProperties>
</file>