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330DED" Type="http://schemas.openxmlformats.org/officeDocument/2006/relationships/officeDocument" Target="/word/document.xml" /><Relationship Id="coreR5F330D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July</w:t>
      </w:r>
      <w:r>
        <w:rPr>
          <w:rFonts w:ascii="Arial" w:hAnsi="Arial"/>
          <w:b w:val="1"/>
          <w:sz w:val="20"/>
        </w:rPr>
        <w:t xml:space="preserve"> </w:t>
      </w:r>
      <w:r>
        <w:rPr>
          <w:rFonts w:ascii="Arial" w:hAnsi="Arial"/>
          <w:b w:val="1"/>
          <w:sz w:val="20"/>
        </w:rPr>
        <w:t>3</w:t>
      </w:r>
      <w:r>
        <w:rPr>
          <w:rFonts w:ascii="Arial" w:hAnsi="Arial"/>
          <w:b w:val="1"/>
          <w:sz w:val="20"/>
        </w:rPr>
        <w:t>1</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June 2018</w:t>
      </w:r>
    </w:p>
    <w:p/>
    <w:p>
      <w:pPr>
        <w:spacing w:after="120"/>
        <w:jc w:val="both"/>
        <w:rPr>
          <w:rFonts w:ascii="Arial" w:hAnsi="Arial"/>
          <w:b w:val="1"/>
          <w:sz w:val="22"/>
        </w:rPr>
      </w:pPr>
      <w:r>
        <w:rPr>
          <w:rFonts w:ascii="Arial" w:hAnsi="Arial"/>
          <w:b w:val="1"/>
          <w:sz w:val="22"/>
        </w:rPr>
        <w:t>June</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June 2018 compared with June 2017, increased by 4.7 at current prices and by 1.3% at constant prices. </w:t>
      </w:r>
    </w:p>
    <w:p>
      <w:pPr>
        <w:jc w:val="both"/>
        <w:rPr>
          <w:rFonts w:ascii="Arial" w:hAnsi="Arial"/>
          <w:color w:val="FF0000"/>
          <w:sz w:val="22"/>
        </w:rPr>
      </w:pP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June</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Retail trade turnover in the period January – June 2018, compared with the same period of 2017, increased by 5.2% at current prices and by 3.3%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2011-12-29T09:08:00Z</dcterms:created>
  <cp:lastModifiedBy>Nikola Kapetanovic</cp:lastModifiedBy>
  <dcterms:modified xsi:type="dcterms:W3CDTF">2020-01-10T11:38:04Z</dcterms:modified>
  <cp:revision>196</cp:revision>
  <dc:title> </dc:title>
</cp:coreProperties>
</file>