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4C81C86" Type="http://schemas.openxmlformats.org/officeDocument/2006/relationships/officeDocument" Target="/word/document.xml" /><Relationship Id="coreR74C81C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July 31,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June</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June</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22476</w:t>
            </w:r>
            <w:r>
              <w:rPr>
                <w:rFonts w:ascii="Arial" w:hAnsi="Arial"/>
                <w:b w:val="1"/>
                <w:sz w:val="18"/>
              </w:rPr>
              <w:t>.</w:t>
            </w:r>
            <w:r>
              <w:rPr>
                <w:rFonts w:ascii="Arial" w:hAnsi="Arial"/>
                <w:b w:val="1"/>
                <w:sz w:val="18"/>
              </w:rPr>
              <w:t>8</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2</w:t>
            </w:r>
            <w:r>
              <w:rPr>
                <w:rFonts w:ascii="Arial" w:hAnsi="Arial"/>
                <w:b w:val="1"/>
                <w:sz w:val="18"/>
              </w:rPr>
              <w:t>3</w:t>
            </w:r>
            <w:r>
              <w:rPr>
                <w:rFonts w:ascii="Arial" w:hAnsi="Arial"/>
                <w:b w:val="1"/>
                <w:sz w:val="18"/>
              </w:rPr>
              <w:t>.</w:t>
            </w:r>
            <w:r>
              <w:rPr>
                <w:rFonts w:ascii="Arial" w:hAnsi="Arial"/>
                <w:b w:val="1"/>
                <w:sz w:val="18"/>
              </w:rPr>
              <w:t>0</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1</w:t>
            </w:r>
            <w:r>
              <w:rPr>
                <w:rFonts w:ascii="Arial" w:hAnsi="Arial"/>
                <w:b w:val="1"/>
                <w:sz w:val="18"/>
              </w:rPr>
              <w:t>856</w:t>
            </w:r>
            <w:r>
              <w:rPr>
                <w:rFonts w:ascii="Arial" w:hAnsi="Arial"/>
                <w:b w:val="1"/>
                <w:sz w:val="18"/>
              </w:rPr>
              <w:t>0</w:t>
            </w:r>
            <w:r>
              <w:rPr>
                <w:rFonts w:ascii="Arial" w:hAnsi="Arial"/>
                <w:b w:val="1"/>
                <w:sz w:val="18"/>
              </w:rPr>
              <w:t>.</w:t>
            </w:r>
            <w:r>
              <w:rPr>
                <w:rFonts w:ascii="Arial" w:hAnsi="Arial"/>
                <w:b w:val="1"/>
                <w:sz w:val="18"/>
              </w:rPr>
              <w:t>0</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9</w:t>
            </w:r>
            <w:r>
              <w:rPr>
                <w:rFonts w:ascii="Arial" w:hAnsi="Arial"/>
                <w:b w:val="1"/>
                <w:sz w:val="18"/>
              </w:rPr>
              <w:t>.</w:t>
            </w:r>
            <w:r>
              <w:rPr>
                <w:rFonts w:ascii="Arial" w:hAnsi="Arial"/>
                <w:b w:val="1"/>
                <w:sz w:val="18"/>
              </w:rPr>
              <w:t>9</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9725</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20.4%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12751</w:t>
            </w:r>
            <w:r>
              <w:rPr>
                <w:rFonts w:ascii="Tahoma" w:hAnsi="Tahoma"/>
                <w:b w:val="1"/>
                <w:sz w:val="18"/>
              </w:rPr>
              <w:t>.</w:t>
            </w:r>
            <w:r>
              <w:rPr>
                <w:rFonts w:ascii="Tahoma" w:hAnsi="Tahoma"/>
                <w:b w:val="1"/>
                <w:sz w:val="18"/>
              </w:rPr>
              <w:t>7</w:t>
            </w:r>
            <w:r>
              <w:rPr>
                <w:rFonts w:ascii="Tahoma" w:hAnsi="Tahoma"/>
                <w:b w:val="1"/>
                <w:sz w:val="18"/>
              </w:rPr>
              <w:t xml:space="preserve"> </w:t>
            </w:r>
            <w:r>
              <w:rPr>
                <w:rFonts w:ascii="Tahoma" w:hAnsi="Tahoma"/>
                <w:b w:val="1"/>
                <w:sz w:val="18"/>
              </w:rPr>
              <w:t>million</w:t>
            </w:r>
            <w:r>
              <w:rPr>
                <w:rFonts w:ascii="Tahoma" w:hAnsi="Tahoma"/>
                <w:sz w:val="18"/>
              </w:rPr>
              <w:t xml:space="preserve">, which was 25.0%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8033</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the increase of 7.6%,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10527</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11.7%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3</w:t>
            </w:r>
            <w:r>
              <w:rPr>
                <w:rFonts w:ascii="Tahoma" w:hAnsi="Tahoma"/>
                <w:b w:val="1"/>
                <w:sz w:val="18"/>
              </w:rPr>
              <w:t>0</w:t>
            </w:r>
            <w:r>
              <w:rPr>
                <w:rFonts w:ascii="Tahoma" w:hAnsi="Tahoma"/>
                <w:b w:val="1"/>
                <w:sz w:val="18"/>
              </w:rPr>
              <w:t>2</w:t>
            </w:r>
            <w:r>
              <w:rPr>
                <w:rFonts w:ascii="Tahoma" w:hAnsi="Tahoma"/>
                <w:b w:val="1"/>
                <w:sz w:val="18"/>
              </w:rPr>
              <w:t>6</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42</w:t>
            </w:r>
            <w:r>
              <w:rPr>
                <w:rFonts w:ascii="Tahoma" w:hAnsi="Tahoma"/>
                <w:b w:val="1"/>
                <w:sz w:val="18"/>
              </w:rPr>
              <w:t>.</w:t>
            </w:r>
            <w:r>
              <w:rPr>
                <w:rFonts w:ascii="Tahoma" w:hAnsi="Tahoma"/>
                <w:b w:val="1"/>
                <w:sz w:val="18"/>
              </w:rPr>
              <w:t>7</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2494.0 million, which was an increase of 27.2%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6</w:t>
            </w:r>
            <w:r>
              <w:rPr>
                <w:rFonts w:ascii="Tahoma" w:hAnsi="Tahoma"/>
                <w:b w:val="1"/>
                <w:sz w:val="18"/>
              </w:rPr>
              <w:t>.</w:t>
            </w:r>
            <w:r>
              <w:rPr>
                <w:rFonts w:ascii="Tahoma" w:hAnsi="Tahoma"/>
                <w:b w:val="1"/>
                <w:sz w:val="18"/>
              </w:rPr>
              <w:t>3</w:t>
            </w:r>
            <w:r>
              <w:rPr>
                <w:rFonts w:ascii="Tahoma" w:hAnsi="Tahoma"/>
                <w:b w:val="1"/>
                <w:sz w:val="18"/>
              </w:rPr>
              <w:t>%</w:t>
            </w:r>
            <w:r>
              <w:rPr>
                <w:rFonts w:ascii="Tahoma" w:hAnsi="Tahoma"/>
                <w:sz w:val="18"/>
              </w:rPr>
              <w:t xml:space="preserve"> and was lower if compared to the same period last year when it was 79.2%.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(33.7%), followed by Beogradski region (26.6%), Region Šumadije i Zapadne Srbije (23.8%), Region Južne i Istočne Srbije (15.8%),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(46.0%), followed by </w:t>
            </w:r>
            <w:r>
              <w:rPr>
                <w:rFonts w:ascii="Tahoma" w:hAnsi="Tahoma"/>
                <w:sz w:val="18"/>
              </w:rPr>
              <w:t xml:space="preserve">Region Vojvodine </w:t>
            </w:r>
            <w:r>
              <w:rPr>
                <w:rFonts w:ascii="Tahoma" w:hAnsi="Tahoma"/>
                <w:color w:val="000000"/>
                <w:sz w:val="18"/>
              </w:rPr>
              <w:t xml:space="preserve">(28.5%),  </w:t>
            </w:r>
            <w:r>
              <w:rPr>
                <w:rFonts w:ascii="Tahoma" w:hAnsi="Tahoma"/>
                <w:sz w:val="18"/>
              </w:rPr>
              <w:t xml:space="preserve">Region Šumadije i Zapadne Srbije </w:t>
            </w:r>
            <w:r>
              <w:rPr>
                <w:rFonts w:ascii="Tahoma" w:hAnsi="Tahoma"/>
                <w:color w:val="000000"/>
                <w:sz w:val="18"/>
              </w:rPr>
              <w:t xml:space="preserve">(15.8%), </w:t>
            </w:r>
            <w:r>
              <w:rPr>
                <w:rFonts w:ascii="Tahoma" w:hAnsi="Tahoma"/>
                <w:sz w:val="18"/>
              </w:rPr>
              <w:t xml:space="preserve">Region Južne i Istočne Srbije </w:t>
            </w:r>
            <w:r>
              <w:rPr>
                <w:rFonts w:ascii="Tahoma" w:hAnsi="Tahoma"/>
                <w:color w:val="000000"/>
                <w:sz w:val="18"/>
              </w:rPr>
              <w:t xml:space="preserve">(9.2%),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58.0% (USD 5635.8 million), then consumer goods 31.3% (USD 3046.4 million) and equipment 10.7% (USD 1042.4 million). Unclassified goods according to destination amounted to 0.0% (USD 0.5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57.3% (USD 7303.6 million), then consumer goods 18.7% (USD 2382.7 million) and equipment 12.6% (USD 1612.2 million). Unclassified goods according to destination amounted to 11.4% (USD 1453.2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64.7% of total external trade.</w:t>
            </w:r>
          </w:p>
          <w:p>
            <w:pPr>
              <w:jc w:val="both"/>
              <w:rPr>
                <w:rFonts w:ascii="Arial" w:hAnsi="Arial"/>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1344.1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1109.4</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1736.1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1434.4</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1187.3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980.5</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1259.4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1039.7</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762.3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629.6</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1026.0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846.3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546.6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451.3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983.9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810.8</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512.0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424.2</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654.3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539.9</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1122.8 million, resulting mainly from the exports of agricultural products (cereals and produces thereof and various sorts of drinks), iron and steel, road vehicles, oil and oil derivatives. Our exports in the referent period amounted to USD 1635.7 million, while the imports were USD 512.9 million. The export– import ratio equalled 318.9 %. Expressed in </w:t>
            </w:r>
            <w:r>
              <w:rPr>
                <w:rFonts w:ascii="Tahoma" w:hAnsi="Tahoma"/>
                <w:b w:val="1"/>
                <w:sz w:val="18"/>
              </w:rPr>
              <w:t>EUR</w:t>
            </w:r>
            <w:r>
              <w:rPr>
                <w:rFonts w:ascii="Tahoma" w:hAnsi="Tahoma"/>
                <w:sz w:val="18"/>
              </w:rPr>
              <w:t xml:space="preserve">, exports amounted to </w:t>
            </w:r>
            <w:r>
              <w:rPr>
                <w:rFonts w:ascii="Tahoma" w:hAnsi="Tahoma"/>
                <w:b w:val="1"/>
                <w:sz w:val="18"/>
              </w:rPr>
              <w:t>1351</w:t>
            </w:r>
            <w:r>
              <w:rPr>
                <w:rFonts w:ascii="Tahoma" w:hAnsi="Tahoma"/>
                <w:b w:val="1"/>
                <w:sz w:val="18"/>
              </w:rPr>
              <w:t>.</w:t>
            </w:r>
            <w:r>
              <w:rPr>
                <w:rFonts w:ascii="Tahoma" w:hAnsi="Tahoma"/>
                <w:b w:val="1"/>
                <w:sz w:val="18"/>
              </w:rPr>
              <w:t>5</w:t>
            </w:r>
            <w:r>
              <w:rPr>
                <w:rFonts w:ascii="Tahoma" w:hAnsi="Tahoma"/>
                <w:sz w:val="18"/>
              </w:rPr>
              <w:t xml:space="preserve"> and imports to </w:t>
            </w:r>
            <w:r>
              <w:rPr>
                <w:rFonts w:ascii="Tahoma" w:hAnsi="Tahoma"/>
                <w:b w:val="1"/>
                <w:sz w:val="18"/>
              </w:rPr>
              <w:t>424</w:t>
            </w:r>
            <w:r>
              <w:rPr>
                <w:rFonts w:ascii="Tahoma" w:hAnsi="Tahoma"/>
                <w:b w:val="1"/>
                <w:sz w:val="18"/>
              </w:rPr>
              <w:t>.</w:t>
            </w:r>
            <w:r>
              <w:rPr>
                <w:rFonts w:ascii="Tahoma" w:hAnsi="Tahoma"/>
                <w:b w:val="1"/>
                <w:sz w:val="18"/>
              </w:rPr>
              <w:t>0</w:t>
            </w:r>
            <w:r>
              <w:rPr>
                <w:rFonts w:ascii="Tahoma" w:hAnsi="Tahoma"/>
                <w:sz w:val="18"/>
              </w:rPr>
              <w:t xml:space="preserve"> million (surplus amounted to EUR 927.5 million and export – import ratio equalled 318.8%).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wheat,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electricity) and Macedonia (exports of hot rolled sheets in coils, and electricity; imports of retail trade medicaments and rolled products plastics coated). Regarding other countries, surplus was also noted in trade with Romania, Bulgaria, Italy, Slovakia, Croatia, Sweden, Great Britain and Slovenia. The greatest deficit marked the trade with China (due to imports of phones for network stations and laptops) and with Germany, followed by trade with the Russian Federation (due to imports of energy commodities, mainly oil and gas), Turkey, Hungary, Poland (imports of motor vehicles’ parts), Iraq, Belgium, Ukraine (imports of iron ore and concentrates), Korea, France, USA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34.2% of the overall exports. Imports of the first five sections accounted for 27.4%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11.3% in total imports. </w:t>
            </w: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1033.5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853.6</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967.2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798.2</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795.0</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656.5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815.4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674.7</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579.4</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478.4</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766.7</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632.9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Non-ferrous metals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457.2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377.5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510.2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421.1</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457.0</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376.8</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432.9</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357.5</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June</w:t>
            </w:r>
            <w:r>
              <w:rPr>
                <w:rFonts w:ascii="Tahoma" w:hAnsi="Tahoma"/>
                <w:color w:val="242424"/>
                <w:sz w:val="18"/>
              </w:rPr>
              <w:t xml:space="preserve"> 2018, value of exports amounted to </w:t>
            </w:r>
            <w:r>
              <w:rPr>
                <w:rFonts w:ascii="Tahoma" w:hAnsi="Tahoma"/>
                <w:b w:val="1"/>
                <w:color w:val="242424"/>
                <w:sz w:val="18"/>
              </w:rPr>
              <w:t>USD 1</w:t>
            </w:r>
            <w:r>
              <w:rPr>
                <w:rFonts w:ascii="Tahoma" w:hAnsi="Tahoma"/>
                <w:b w:val="1"/>
                <w:color w:val="242424"/>
                <w:sz w:val="18"/>
              </w:rPr>
              <w:t>739</w:t>
            </w:r>
            <w:r>
              <w:rPr>
                <w:rFonts w:ascii="Tahoma" w:hAnsi="Tahoma"/>
                <w:b w:val="1"/>
                <w:color w:val="242424"/>
                <w:sz w:val="18"/>
              </w:rPr>
              <w:t>.</w:t>
            </w:r>
            <w:r>
              <w:rPr>
                <w:rFonts w:ascii="Tahoma" w:hAnsi="Tahoma"/>
                <w:b w:val="1"/>
                <w:color w:val="242424"/>
                <w:sz w:val="18"/>
              </w:rPr>
              <w:t>9</w:t>
            </w:r>
            <w:r>
              <w:rPr>
                <w:rFonts w:ascii="Tahoma" w:hAnsi="Tahoma"/>
                <w:b w:val="1"/>
                <w:color w:val="242424"/>
                <w:sz w:val="18"/>
              </w:rPr>
              <w:t xml:space="preserve"> million</w:t>
            </w:r>
            <w:r>
              <w:rPr>
                <w:rFonts w:ascii="Tahoma" w:hAnsi="Tahoma"/>
                <w:color w:val="242424"/>
                <w:sz w:val="18"/>
              </w:rPr>
              <w:t xml:space="preserve">, presenting the increase of 14.0% relative to the same month last year. Value of imports amounted to </w:t>
            </w:r>
            <w:r>
              <w:rPr>
                <w:rFonts w:ascii="Tahoma" w:hAnsi="Tahoma"/>
                <w:b w:val="1"/>
                <w:color w:val="242424"/>
                <w:sz w:val="18"/>
              </w:rPr>
              <w:t>USD 2</w:t>
            </w:r>
            <w:r>
              <w:rPr>
                <w:rFonts w:ascii="Tahoma" w:hAnsi="Tahoma"/>
                <w:b w:val="1"/>
                <w:color w:val="242424"/>
                <w:sz w:val="18"/>
              </w:rPr>
              <w:t>1</w:t>
            </w:r>
            <w:r>
              <w:rPr>
                <w:rFonts w:ascii="Tahoma" w:hAnsi="Tahoma"/>
                <w:b w:val="1"/>
                <w:color w:val="242424"/>
                <w:sz w:val="18"/>
              </w:rPr>
              <w:t>96</w:t>
            </w:r>
            <w:r>
              <w:rPr>
                <w:rFonts w:ascii="Tahoma" w:hAnsi="Tahoma"/>
                <w:b w:val="1"/>
                <w:color w:val="242424"/>
                <w:sz w:val="18"/>
              </w:rPr>
              <w:t>.</w:t>
            </w:r>
            <w:r>
              <w:rPr>
                <w:rFonts w:ascii="Tahoma" w:hAnsi="Tahoma"/>
                <w:b w:val="1"/>
                <w:color w:val="242424"/>
                <w:sz w:val="18"/>
              </w:rPr>
              <w:t>5</w:t>
            </w:r>
            <w:r>
              <w:rPr>
                <w:rFonts w:ascii="Tahoma" w:hAnsi="Tahoma"/>
                <w:b w:val="1"/>
                <w:color w:val="242424"/>
                <w:sz w:val="18"/>
              </w:rPr>
              <w:t xml:space="preserve"> million</w:t>
            </w:r>
            <w:r>
              <w:rPr>
                <w:rFonts w:ascii="Tahoma" w:hAnsi="Tahoma"/>
                <w:color w:val="242424"/>
                <w:sz w:val="18"/>
              </w:rPr>
              <w:t xml:space="preserve">, being the increase of 16.6%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w:t>
            </w:r>
            <w:r>
              <w:rPr>
                <w:rFonts w:ascii="Arial" w:hAnsi="Arial"/>
                <w:b w:val="1"/>
                <w:sz w:val="18"/>
              </w:rPr>
              <w:t>491</w:t>
            </w:r>
            <w:r>
              <w:rPr>
                <w:rFonts w:ascii="Arial" w:hAnsi="Arial"/>
                <w:b w:val="1"/>
                <w:sz w:val="18"/>
              </w:rPr>
              <w:t>.</w:t>
            </w:r>
            <w:r>
              <w:rPr>
                <w:rFonts w:ascii="Arial" w:hAnsi="Arial"/>
                <w:b w:val="1"/>
                <w:sz w:val="18"/>
              </w:rPr>
              <w:t>2</w:t>
            </w:r>
            <w:r>
              <w:rPr>
                <w:rFonts w:ascii="Arial" w:hAnsi="Arial"/>
                <w:b w:val="1"/>
                <w:sz w:val="18"/>
              </w:rPr>
              <w:t xml:space="preserve"> million</w:t>
            </w:r>
            <w:r>
              <w:rPr>
                <w:rFonts w:ascii="Arial" w:hAnsi="Arial"/>
                <w:sz w:val="18"/>
              </w:rPr>
              <w:t xml:space="preserve">, i.e. the increase of 9.3% relative to June 2017 and value of </w:t>
            </w:r>
            <w:r>
              <w:rPr>
                <w:rFonts w:ascii="Arial" w:hAnsi="Arial"/>
                <w:b w:val="1"/>
                <w:sz w:val="18"/>
              </w:rPr>
              <w:t>imports</w:t>
            </w:r>
            <w:r>
              <w:rPr>
                <w:rFonts w:ascii="Arial" w:hAnsi="Arial"/>
                <w:sz w:val="18"/>
              </w:rPr>
              <w:t xml:space="preserve"> was </w:t>
            </w:r>
            <w:r>
              <w:rPr>
                <w:rFonts w:ascii="Arial" w:hAnsi="Arial"/>
                <w:b w:val="1"/>
                <w:sz w:val="18"/>
              </w:rPr>
              <w:t>EUR 1</w:t>
            </w:r>
            <w:r>
              <w:rPr>
                <w:rFonts w:ascii="Arial" w:hAnsi="Arial"/>
                <w:b w:val="1"/>
                <w:sz w:val="18"/>
              </w:rPr>
              <w:t>881</w:t>
            </w:r>
            <w:r>
              <w:rPr>
                <w:rFonts w:ascii="Arial" w:hAnsi="Arial"/>
                <w:b w:val="1"/>
                <w:sz w:val="18"/>
              </w:rPr>
              <w:t>.</w:t>
            </w:r>
            <w:r>
              <w:rPr>
                <w:rFonts w:ascii="Arial" w:hAnsi="Arial"/>
                <w:b w:val="1"/>
                <w:sz w:val="18"/>
              </w:rPr>
              <w:t>2</w:t>
            </w:r>
            <w:r>
              <w:rPr>
                <w:rFonts w:ascii="Arial" w:hAnsi="Arial"/>
                <w:b w:val="1"/>
                <w:sz w:val="18"/>
              </w:rPr>
              <w:t xml:space="preserve"> million</w:t>
            </w:r>
            <w:r>
              <w:rPr>
                <w:rFonts w:ascii="Arial" w:hAnsi="Arial"/>
                <w:sz w:val="18"/>
              </w:rPr>
              <w:t xml:space="preserve">, being the increase of 11.7%, relative to June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June 2018/ May 2018 shows that exports decrease by 0.4% and imports increase by 4.9%, calculated/ expressed in USD. Seasonally adjusted index June 2018/ May 2018, expressed in EUR, shows that exports increase by 1.0% and imports increase by 4.5%.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June</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100 million), followed by </w:t>
            </w:r>
            <w:r>
              <w:rPr>
                <w:rFonts w:ascii="Tahoma" w:hAnsi="Tahoma"/>
                <w:i w:val="1"/>
                <w:sz w:val="18"/>
              </w:rPr>
              <w:t xml:space="preserve">hot rolled products (iron and non-alloyed steel) in coils </w:t>
            </w:r>
            <w:r>
              <w:rPr>
                <w:rFonts w:ascii="Tahoma" w:hAnsi="Tahoma"/>
                <w:sz w:val="18"/>
              </w:rPr>
              <w:t xml:space="preserve">(USD 51 million);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(USD 44 million) were on the third place; </w:t>
            </w:r>
            <w:r>
              <w:rPr>
                <w:rFonts w:ascii="Tahoma" w:hAnsi="Tahoma"/>
                <w:i w:val="1"/>
                <w:sz w:val="18"/>
              </w:rPr>
              <w:t>new tyres for passengers’ car</w:t>
            </w:r>
            <w:r>
              <w:rPr>
                <w:rFonts w:ascii="Tahoma" w:hAnsi="Tahoma"/>
                <w:sz w:val="18"/>
              </w:rPr>
              <w:t xml:space="preserve"> were exported for USD 40 million; the last item on the list related to exports of </w:t>
            </w:r>
            <w:r>
              <w:rPr>
                <w:rFonts w:ascii="Tahoma" w:hAnsi="Tahoma"/>
                <w:i w:val="1"/>
                <w:sz w:val="18"/>
              </w:rPr>
              <w:t>copper refined</w:t>
            </w:r>
            <w:r>
              <w:rPr>
                <w:rFonts w:ascii="Tahoma" w:hAnsi="Tahoma"/>
                <w:sz w:val="18"/>
              </w:rPr>
              <w:t xml:space="preserve">, with the value of USD 31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b w:val="1"/>
                <w:sz w:val="18"/>
              </w:rPr>
              <w:t>June</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122 million) was the first imported product, followed by </w:t>
            </w:r>
            <w:r>
              <w:rPr>
                <w:rFonts w:ascii="Tahoma" w:hAnsi="Tahoma"/>
                <w:i w:val="1"/>
                <w:sz w:val="18"/>
              </w:rPr>
              <w:t>parts and accessories for motor vehicles</w:t>
            </w:r>
            <w:r>
              <w:rPr>
                <w:rFonts w:ascii="Tahoma" w:hAnsi="Tahoma"/>
                <w:sz w:val="18"/>
              </w:rPr>
              <w:t xml:space="preserve"> (USD 72 million) and </w:t>
            </w:r>
            <w:r>
              <w:rPr>
                <w:rFonts w:ascii="Tahoma" w:hAnsi="Tahoma"/>
                <w:i w:val="1"/>
                <w:sz w:val="18"/>
              </w:rPr>
              <w:t>retail trade medicaments</w:t>
            </w:r>
            <w:r>
              <w:rPr>
                <w:rFonts w:ascii="Tahoma" w:hAnsi="Tahoma"/>
                <w:sz w:val="18"/>
              </w:rPr>
              <w:t xml:space="preserve"> (USD 56 million); </w:t>
            </w:r>
            <w:r>
              <w:rPr>
                <w:rFonts w:ascii="Tahoma" w:hAnsi="Tahoma"/>
                <w:i w:val="1"/>
                <w:sz w:val="18"/>
              </w:rPr>
              <w:t xml:space="preserve">natural gas </w:t>
            </w:r>
            <w:r>
              <w:rPr>
                <w:rFonts w:ascii="Tahoma" w:hAnsi="Tahoma"/>
                <w:sz w:val="18"/>
              </w:rPr>
              <w:t>was imported for USD 37 million and the last item related to imports of</w:t>
            </w:r>
            <w:r>
              <w:rPr>
                <w:rFonts w:ascii="Tahoma" w:hAnsi="Tahoma"/>
                <w:i w:val="1"/>
                <w:sz w:val="18"/>
              </w:rPr>
              <w:t xml:space="preserve"> </w:t>
            </w:r>
            <w:r>
              <w:rPr>
                <w:rFonts w:ascii="Tahoma" w:hAnsi="Tahoma"/>
                <w:i w:val="1"/>
                <w:sz w:val="18"/>
              </w:rPr>
              <w:t xml:space="preserve">other </w:t>
            </w:r>
            <w:r>
              <w:rPr>
                <w:rFonts w:ascii="Tahoma" w:hAnsi="Tahoma"/>
                <w:i w:val="1"/>
                <w:sz w:val="18"/>
              </w:rPr>
              <w:t>electric conductors, not exceeding 1000V</w:t>
            </w:r>
            <w:r>
              <w:rPr>
                <w:rFonts w:ascii="Tahoma" w:hAnsi="Tahoma"/>
                <w:i w:val="1"/>
                <w:sz w:val="18"/>
              </w:rPr>
              <w:t xml:space="preserve">, </w:t>
            </w:r>
            <w:r>
              <w:rPr>
                <w:rFonts w:ascii="Tahoma" w:hAnsi="Tahoma"/>
                <w:sz w:val="18"/>
              </w:rPr>
              <w:t>with the value of USD 28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2020-01-10T11:38:04Z</dcterms:modified>
  <cp:revision>526</cp:revision>
  <dc:title>December 29, 2011</dc:title>
</cp:coreProperties>
</file>