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F2EC497" Type="http://schemas.openxmlformats.org/officeDocument/2006/relationships/officeDocument" Target="/word/document.xml" /><Relationship Id="coreRF2EC4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July 16,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jc w:val="center"/>
              <w:rPr>
                <w:rFonts w:ascii="Arial" w:hAnsi="Arial"/>
                <w:b w:val="1"/>
                <w:sz w:val="22"/>
              </w:rPr>
            </w:pPr>
            <w:r>
              <w:rPr>
                <w:rFonts w:ascii="Arial" w:hAnsi="Arial"/>
                <w:b w:val="1"/>
                <w:sz w:val="22"/>
              </w:rPr>
              <w:t>EXTERNAL TRADE</w:t>
            </w:r>
            <w:r>
              <w:rPr>
                <w:rFonts w:ascii="Arial" w:hAnsi="Arial"/>
                <w:b w:val="1"/>
                <w:sz w:val="22"/>
              </w:rPr>
              <w:t>, final data,</w:t>
            </w:r>
            <w:r>
              <w:rPr>
                <w:rFonts w:ascii="Arial" w:hAnsi="Arial"/>
                <w:b w:val="1"/>
                <w:sz w:val="22"/>
              </w:rPr>
              <w:t xml:space="preserve"> </w:t>
            </w:r>
            <w:r>
              <w:rPr>
                <w:rFonts w:ascii="Arial" w:hAnsi="Arial"/>
                <w:b w:val="1"/>
                <w:sz w:val="22"/>
              </w:rPr>
              <w:t>201</w:t>
            </w:r>
            <w:r>
              <w:rPr>
                <w:rFonts w:ascii="Arial" w:hAnsi="Arial"/>
                <w:b w:val="1"/>
                <w:sz w:val="22"/>
              </w:rPr>
              <w:t>7</w:t>
            </w:r>
            <w:r>
              <w:rPr>
                <w:rFonts w:ascii="Arial" w:hAnsi="Arial"/>
                <w:b w:val="1"/>
                <w:sz w:val="22"/>
              </w:rPr>
              <w:t xml:space="preserve"> </w:t>
            </w:r>
          </w:p>
          <w:p>
            <w:pPr>
              <w:pStyle w:val="P7"/>
              <w:jc w:val="center"/>
              <w:rPr>
                <w:rFonts w:ascii="Tahoma" w:hAnsi="Tahoma"/>
                <w:b w:val="1"/>
                <w:sz w:val="18"/>
              </w:rPr>
            </w:pPr>
          </w:p>
          <w:p>
            <w:pPr>
              <w:pStyle w:val="P7"/>
              <w:rPr>
                <w:rFonts w:ascii="Tahoma" w:hAnsi="Tahoma"/>
                <w:b w:val="1"/>
                <w:color w:val="000000"/>
                <w:sz w:val="18"/>
              </w:rPr>
            </w:pPr>
            <w:r>
              <w:rPr>
                <w:rFonts w:ascii="Tahoma" w:hAnsi="Tahoma"/>
                <w:b w:val="1"/>
                <w:sz w:val="18"/>
              </w:rPr>
              <w:t>The overall external trade in the Republic of Serbia for the period January – December 201</w:t>
            </w:r>
            <w:r>
              <w:rPr>
                <w:rFonts w:ascii="Tahoma" w:hAnsi="Tahoma"/>
                <w:b w:val="1"/>
                <w:sz w:val="18"/>
              </w:rPr>
              <w:t>7</w:t>
            </w:r>
            <w:r>
              <w:rPr>
                <w:rFonts w:ascii="Tahoma" w:hAnsi="Tahoma"/>
                <w:b w:val="1"/>
                <w:sz w:val="18"/>
              </w:rPr>
              <w:t xml:space="preserve"> amounted to: </w:t>
            </w:r>
          </w:p>
          <w:p>
            <w:pPr>
              <w:jc w:val="both"/>
              <w:rPr>
                <w:rFonts w:ascii="Arial" w:hAnsi="Arial"/>
                <w:b w:val="1"/>
                <w:sz w:val="22"/>
              </w:rPr>
            </w:pPr>
            <w:r>
              <w:rPr>
                <w:rFonts w:ascii="Tahoma" w:hAnsi="Tahoma"/>
                <w:sz w:val="18"/>
              </w:rPr>
              <w:t xml:space="preserve">      - </w:t>
            </w:r>
            <w:r>
              <w:rPr>
                <w:rFonts w:ascii="Tahoma" w:hAnsi="Tahoma"/>
                <w:b w:val="1"/>
                <w:sz w:val="18"/>
              </w:rPr>
              <w:t>USD 3</w:t>
            </w:r>
            <w:r>
              <w:rPr>
                <w:rFonts w:ascii="Tahoma" w:hAnsi="Tahoma"/>
                <w:b w:val="1"/>
                <w:sz w:val="18"/>
              </w:rPr>
              <w:t>8917</w:t>
            </w:r>
            <w:r>
              <w:rPr>
                <w:rFonts w:ascii="Tahoma" w:hAnsi="Tahoma"/>
                <w:b w:val="1"/>
                <w:sz w:val="18"/>
              </w:rPr>
              <w:t>.</w:t>
            </w:r>
            <w:r>
              <w:rPr>
                <w:rFonts w:ascii="Tahoma" w:hAnsi="Tahoma"/>
                <w:b w:val="1"/>
                <w:sz w:val="18"/>
              </w:rPr>
              <w:t>5</w:t>
            </w:r>
            <w:r>
              <w:rPr>
                <w:rFonts w:ascii="Tahoma" w:hAnsi="Tahoma"/>
                <w:b w:val="1"/>
                <w:sz w:val="18"/>
              </w:rPr>
              <w:t xml:space="preserve"> million - </w:t>
            </w:r>
            <w:r>
              <w:rPr>
                <w:rFonts w:ascii="Arial" w:hAnsi="Arial"/>
                <w:b w:val="1"/>
                <w:sz w:val="22"/>
              </w:rPr>
              <w:t xml:space="preserve">which was a </w:t>
            </w:r>
            <w:r>
              <w:rPr>
                <w:rFonts w:ascii="Arial" w:hAnsi="Arial"/>
                <w:b w:val="1"/>
                <w:sz w:val="22"/>
              </w:rPr>
              <w:t>15</w:t>
            </w:r>
            <w:r>
              <w:rPr>
                <w:rFonts w:ascii="Arial" w:hAnsi="Arial"/>
                <w:b w:val="1"/>
                <w:sz w:val="22"/>
              </w:rPr>
              <w:t>.</w:t>
            </w:r>
            <w:r>
              <w:rPr>
                <w:rFonts w:ascii="Arial" w:hAnsi="Arial"/>
                <w:b w:val="1"/>
                <w:sz w:val="22"/>
              </w:rPr>
              <w:t>2</w:t>
            </w:r>
            <w:r>
              <w:rPr>
                <w:rFonts w:ascii="Arial" w:hAnsi="Arial"/>
                <w:b w:val="1"/>
                <w:sz w:val="22"/>
              </w:rPr>
              <w:t xml:space="preserve">% </w:t>
            </w:r>
            <w:r>
              <w:rPr>
                <w:rFonts w:ascii="Arial" w:hAnsi="Arial"/>
                <w:b w:val="1"/>
                <w:sz w:val="22"/>
              </w:rPr>
              <w:t>in</w:t>
            </w:r>
            <w:r>
              <w:rPr>
                <w:rFonts w:ascii="Arial" w:hAnsi="Arial"/>
                <w:b w:val="1"/>
                <w:sz w:val="22"/>
              </w:rPr>
              <w:t xml:space="preserve">crease compared to the same period </w:t>
            </w:r>
            <w:r>
              <w:rPr>
                <w:rFonts w:ascii="Arial" w:hAnsi="Arial"/>
                <w:b w:val="1"/>
                <w:sz w:val="22"/>
              </w:rPr>
              <w:t>of the previous year</w:t>
            </w:r>
            <w:r>
              <w:rPr>
                <w:rFonts w:ascii="Arial" w:hAnsi="Arial"/>
                <w:b w:val="1"/>
                <w:sz w:val="22"/>
              </w:rPr>
              <w:t xml:space="preserve">; </w:t>
            </w:r>
          </w:p>
          <w:p>
            <w:pPr>
              <w:jc w:val="both"/>
              <w:rPr>
                <w:rFonts w:ascii="Arial" w:hAnsi="Arial"/>
                <w:b w:val="1"/>
                <w:sz w:val="22"/>
              </w:rPr>
            </w:pPr>
            <w:r>
              <w:rPr>
                <w:rFonts w:ascii="Tahoma" w:hAnsi="Tahoma"/>
                <w:color w:val="000000"/>
                <w:sz w:val="18"/>
              </w:rPr>
              <w:t xml:space="preserve">      - </w:t>
            </w:r>
            <w:r>
              <w:rPr>
                <w:rFonts w:ascii="Tahoma" w:hAnsi="Tahoma"/>
                <w:b w:val="1"/>
                <w:color w:val="000000"/>
                <w:sz w:val="18"/>
              </w:rPr>
              <w:t xml:space="preserve">EUR </w:t>
            </w:r>
            <w:r>
              <w:rPr>
                <w:rFonts w:ascii="Tahoma" w:hAnsi="Tahoma"/>
                <w:b w:val="1"/>
                <w:sz w:val="18"/>
              </w:rPr>
              <w:t>3</w:t>
            </w:r>
            <w:r>
              <w:rPr>
                <w:rFonts w:ascii="Tahoma" w:hAnsi="Tahoma"/>
                <w:b w:val="1"/>
                <w:sz w:val="18"/>
              </w:rPr>
              <w:t>4446</w:t>
            </w:r>
            <w:r>
              <w:rPr>
                <w:rFonts w:ascii="Tahoma" w:hAnsi="Tahoma"/>
                <w:b w:val="1"/>
                <w:sz w:val="18"/>
              </w:rPr>
              <w:t>.</w:t>
            </w:r>
            <w:r>
              <w:rPr>
                <w:rFonts w:ascii="Tahoma" w:hAnsi="Tahoma"/>
                <w:b w:val="1"/>
                <w:sz w:val="18"/>
              </w:rPr>
              <w:t>8</w:t>
            </w:r>
            <w:r>
              <w:rPr>
                <w:rFonts w:ascii="Tahoma" w:hAnsi="Tahoma"/>
                <w:b w:val="1"/>
                <w:sz w:val="18"/>
              </w:rPr>
              <w:t xml:space="preserve"> </w:t>
            </w:r>
            <w:r>
              <w:rPr>
                <w:rFonts w:ascii="Tahoma" w:hAnsi="Tahoma"/>
                <w:b w:val="1"/>
                <w:color w:val="000000"/>
                <w:sz w:val="18"/>
              </w:rPr>
              <w:t xml:space="preserve">million - </w:t>
            </w:r>
            <w:r>
              <w:rPr>
                <w:rFonts w:ascii="Arial" w:hAnsi="Arial"/>
                <w:b w:val="1"/>
                <w:sz w:val="22"/>
              </w:rPr>
              <w:t xml:space="preserve">which was a </w:t>
            </w:r>
            <w:r>
              <w:rPr>
                <w:rFonts w:ascii="Arial" w:hAnsi="Arial"/>
                <w:b w:val="1"/>
                <w:sz w:val="22"/>
              </w:rPr>
              <w:t>12</w:t>
            </w:r>
            <w:r>
              <w:rPr>
                <w:rFonts w:ascii="Arial" w:hAnsi="Arial"/>
                <w:b w:val="1"/>
                <w:sz w:val="22"/>
              </w:rPr>
              <w:t>.</w:t>
            </w:r>
            <w:r>
              <w:rPr>
                <w:rFonts w:ascii="Arial" w:hAnsi="Arial"/>
                <w:b w:val="1"/>
                <w:sz w:val="22"/>
              </w:rPr>
              <w:t>9</w:t>
            </w:r>
            <w:r>
              <w:rPr>
                <w:rFonts w:ascii="Arial" w:hAnsi="Arial"/>
                <w:b w:val="1"/>
                <w:sz w:val="22"/>
              </w:rPr>
              <w:t xml:space="preserve">% increase compared to the same period </w:t>
            </w:r>
            <w:r>
              <w:rPr>
                <w:rFonts w:ascii="Arial" w:hAnsi="Arial"/>
                <w:b w:val="1"/>
                <w:sz w:val="22"/>
              </w:rPr>
              <w:t>of the previous year</w:t>
            </w:r>
            <w:r>
              <w:rPr>
                <w:rFonts w:ascii="Arial" w:hAnsi="Arial"/>
                <w:b w:val="1"/>
                <w:sz w:val="22"/>
              </w:rPr>
              <w:t xml:space="preserve">. </w:t>
            </w:r>
          </w:p>
          <w:p>
            <w:pPr>
              <w:jc w:val="both"/>
              <w:rPr>
                <w:rFonts w:ascii="Arial" w:hAnsi="Arial"/>
                <w:b w:val="1"/>
                <w:color w:val="000000"/>
                <w:sz w:val="18"/>
              </w:rPr>
            </w:pPr>
            <w:r>
              <w:rPr>
                <w:rFonts w:ascii="Arial" w:hAnsi="Arial"/>
                <w:color w:val="000000"/>
                <w:sz w:val="18"/>
              </w:rPr>
              <w:t xml:space="preserve"> </w:t>
            </w:r>
          </w:p>
          <w:p>
            <w:pPr>
              <w:jc w:val="both"/>
              <w:rPr>
                <w:rFonts w:ascii="Tahoma" w:hAnsi="Tahoma"/>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1</w:t>
            </w:r>
            <w:r>
              <w:rPr>
                <w:rFonts w:ascii="Tahoma" w:hAnsi="Tahoma"/>
                <w:b w:val="1"/>
                <w:sz w:val="18"/>
              </w:rPr>
              <w:t>6997</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14.2%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21920</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which was 16.0% increase relative to the same period last year.</w:t>
            </w: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5050</w:t>
            </w:r>
            <w:r>
              <w:rPr>
                <w:rFonts w:ascii="Tahoma" w:hAnsi="Tahoma"/>
                <w:b w:val="1"/>
                <w:sz w:val="18"/>
              </w:rPr>
              <w:t>.</w:t>
            </w:r>
            <w:r>
              <w:rPr>
                <w:rFonts w:ascii="Tahoma" w:hAnsi="Tahoma"/>
                <w:b w:val="1"/>
                <w:sz w:val="18"/>
              </w:rPr>
              <w:t>8</w:t>
            </w:r>
            <w:r>
              <w:rPr>
                <w:rFonts w:ascii="Tahoma" w:hAnsi="Tahoma"/>
                <w:b w:val="1"/>
                <w:sz w:val="18"/>
              </w:rPr>
              <w:t xml:space="preserve"> million</w:t>
            </w:r>
            <w:r>
              <w:rPr>
                <w:rFonts w:ascii="Tahoma" w:hAnsi="Tahoma"/>
                <w:sz w:val="18"/>
              </w:rPr>
              <w:t xml:space="preserve">, which was the increase of 12.1%,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9396</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a 13.6% increase when compared to the same period last year. </w:t>
            </w: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4</w:t>
            </w:r>
            <w:r>
              <w:rPr>
                <w:rFonts w:ascii="Tahoma" w:hAnsi="Tahoma"/>
                <w:b w:val="1"/>
                <w:sz w:val="18"/>
              </w:rPr>
              <w:t>92</w:t>
            </w:r>
            <w:r>
              <w:rPr>
                <w:rFonts w:ascii="Tahoma" w:hAnsi="Tahoma"/>
                <w:b w:val="1"/>
                <w:sz w:val="18"/>
              </w:rPr>
              <w:t>3</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22</w:t>
            </w:r>
            <w:r>
              <w:rPr>
                <w:rFonts w:ascii="Tahoma" w:hAnsi="Tahoma"/>
                <w:b w:val="1"/>
                <w:sz w:val="18"/>
              </w:rPr>
              <w:t>.</w:t>
            </w:r>
            <w:r>
              <w:rPr>
                <w:rFonts w:ascii="Tahoma" w:hAnsi="Tahoma"/>
                <w:b w:val="1"/>
                <w:sz w:val="18"/>
              </w:rPr>
              <w:t>6</w:t>
            </w:r>
            <w:r>
              <w:rPr>
                <w:rFonts w:ascii="Tahoma" w:hAnsi="Tahoma"/>
                <w:b w:val="1"/>
                <w:sz w:val="18"/>
              </w:rPr>
              <w:t xml:space="preserve">% </w:t>
            </w:r>
            <w:r>
              <w:rPr>
                <w:rFonts w:ascii="Tahoma" w:hAnsi="Tahoma"/>
                <w:sz w:val="18"/>
              </w:rPr>
              <w:t xml:space="preserve">in relation to the same period last year. </w:t>
            </w:r>
          </w:p>
          <w:p>
            <w:pPr>
              <w:jc w:val="both"/>
              <w:rPr>
                <w:rFonts w:ascii="Tahoma" w:hAnsi="Tahoma"/>
                <w:sz w:val="18"/>
              </w:rPr>
            </w:pPr>
            <w:r>
              <w:rPr>
                <w:rFonts w:ascii="Tahoma" w:hAnsi="Tahoma"/>
                <w:sz w:val="18"/>
              </w:rPr>
              <w:t>The deficit expressed in Euros amounted to 4345.2 million, which was an increase of 19.5% compared to the same period last year.</w:t>
            </w:r>
          </w:p>
          <w:p>
            <w:pPr>
              <w:jc w:val="both"/>
              <w:rPr>
                <w:rFonts w:ascii="Tahoma" w:hAnsi="Tahoma"/>
                <w:b w:val="1"/>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7</w:t>
            </w:r>
            <w:r>
              <w:rPr>
                <w:rFonts w:ascii="Tahoma" w:hAnsi="Tahoma"/>
                <w:b w:val="1"/>
                <w:sz w:val="18"/>
              </w:rPr>
              <w:t>.</w:t>
            </w:r>
            <w:r>
              <w:rPr>
                <w:rFonts w:ascii="Tahoma" w:hAnsi="Tahoma"/>
                <w:b w:val="1"/>
                <w:sz w:val="18"/>
              </w:rPr>
              <w:t>5</w:t>
            </w:r>
            <w:r>
              <w:rPr>
                <w:rFonts w:ascii="Tahoma" w:hAnsi="Tahoma"/>
                <w:b w:val="1"/>
                <w:sz w:val="18"/>
              </w:rPr>
              <w:t>%</w:t>
            </w:r>
            <w:r>
              <w:rPr>
                <w:rFonts w:ascii="Tahoma" w:hAnsi="Tahoma"/>
                <w:sz w:val="18"/>
              </w:rPr>
              <w:t xml:space="preserve"> and was lower if compared to the same period last year when it was 78.8%. </w:t>
            </w:r>
          </w:p>
          <w:p>
            <w:pPr>
              <w:pStyle w:val="P6"/>
              <w:spacing w:lineRule="auto" w:line="240"/>
              <w:rPr>
                <w:rFonts w:ascii="Tahoma" w:hAnsi="Tahoma"/>
                <w:sz w:val="18"/>
              </w:rPr>
            </w:pPr>
          </w:p>
          <w:p>
            <w:pPr>
              <w:pStyle w:val="P6"/>
              <w:spacing w:lineRule="auto" w:line="240"/>
              <w:rPr>
                <w:rFonts w:ascii="Tahoma" w:hAnsi="Tahoma"/>
                <w:sz w:val="18"/>
              </w:rPr>
            </w:pPr>
            <w:r>
              <w:rPr>
                <w:rFonts w:ascii="Tahoma" w:hAnsi="Tahoma"/>
                <w:sz w:val="18"/>
              </w:rPr>
              <w:t xml:space="preserve">Observed by regions, the largest share in export of the Republic of Serbia was noted in Region Vojvodine (33.0%), followed by Beogradski region (26.4%), Region Šumadije i Zapadne Srbije (24.6%), Region Južne i Istočne Srbije (16.0%),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the Republic of Serbia was noted in </w:t>
            </w:r>
            <w:r>
              <w:rPr>
                <w:rFonts w:ascii="Tahoma" w:hAnsi="Tahoma"/>
                <w:sz w:val="18"/>
              </w:rPr>
              <w:t xml:space="preserve">Beogradski region </w:t>
            </w:r>
            <w:r>
              <w:rPr>
                <w:rFonts w:ascii="Tahoma" w:hAnsi="Tahoma"/>
                <w:color w:val="000000"/>
                <w:sz w:val="18"/>
              </w:rPr>
              <w:t xml:space="preserve">(45.9%), followed by Region </w:t>
            </w:r>
            <w:r>
              <w:rPr>
                <w:rFonts w:ascii="Tahoma" w:hAnsi="Tahoma"/>
                <w:sz w:val="18"/>
              </w:rPr>
              <w:t xml:space="preserve">Vojvodine </w:t>
            </w:r>
            <w:r>
              <w:rPr>
                <w:rFonts w:ascii="Tahoma" w:hAnsi="Tahoma"/>
                <w:color w:val="000000"/>
                <w:sz w:val="18"/>
              </w:rPr>
              <w:t xml:space="preserve">(27.5%), </w:t>
            </w:r>
            <w:r>
              <w:rPr>
                <w:rFonts w:ascii="Tahoma" w:hAnsi="Tahoma"/>
                <w:sz w:val="18"/>
              </w:rPr>
              <w:t xml:space="preserve">Region Šumadije i Zapadne Srbije </w:t>
            </w:r>
            <w:r>
              <w:rPr>
                <w:rFonts w:ascii="Tahoma" w:hAnsi="Tahoma"/>
                <w:color w:val="000000"/>
                <w:sz w:val="18"/>
              </w:rPr>
              <w:t xml:space="preserve">(16.4%), </w:t>
            </w:r>
            <w:r>
              <w:rPr>
                <w:rFonts w:ascii="Tahoma" w:hAnsi="Tahoma"/>
                <w:sz w:val="18"/>
              </w:rPr>
              <w:t xml:space="preserve">Region Južne i Istočne Srbije </w:t>
            </w:r>
            <w:r>
              <w:rPr>
                <w:rFonts w:ascii="Tahoma" w:hAnsi="Tahoma"/>
                <w:color w:val="000000"/>
                <w:sz w:val="18"/>
              </w:rPr>
              <w:t xml:space="preserve">(9.5%), </w:t>
            </w:r>
            <w:r>
              <w:rPr>
                <w:rFonts w:ascii="Tahoma" w:hAnsi="Tahoma"/>
                <w:sz w:val="18"/>
              </w:rPr>
              <w:t>and approximately 0.7% of total imports is not classified by territories</w:t>
            </w:r>
            <w:r>
              <w:rPr>
                <w:rFonts w:ascii="Tahoma" w:hAnsi="Tahoma"/>
                <w:color w:val="000000"/>
                <w:sz w:val="18"/>
              </w:rPr>
              <w:t xml:space="preserve">. </w:t>
            </w:r>
            <w:r>
              <w:rPr>
                <w:rFonts w:ascii="Tahoma" w:hAnsi="Tahoma"/>
                <w:sz w:val="18"/>
              </w:rPr>
              <w:t xml:space="preserve">Data on Kosovo and Metohia are not available. </w:t>
            </w:r>
          </w:p>
          <w:p>
            <w:pPr>
              <w:jc w:val="both"/>
              <w:rPr>
                <w:rFonts w:ascii="Tahoma" w:hAnsi="Tahoma"/>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w:t>
            </w:r>
            <w:r>
              <w:rPr>
                <w:rFonts w:ascii="Tahoma" w:hAnsi="Tahoma"/>
                <w:b w:val="1"/>
                <w:color w:val="000000"/>
                <w:sz w:val="18"/>
              </w:rPr>
              <w:t>quarters of goods owners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regions of Vojvodina and Belgrade and the mentioned are the energy commodities for the whole territory of Serbia.</w:t>
            </w:r>
          </w:p>
          <w:p>
            <w:pPr>
              <w:jc w:val="both"/>
              <w:rPr>
                <w:rFonts w:ascii="Tahoma" w:hAnsi="Tahoma"/>
                <w:color w:val="000000"/>
                <w:sz w:val="18"/>
              </w:rPr>
            </w:pPr>
          </w:p>
          <w:p>
            <w:pPr>
              <w:pStyle w:val="P6"/>
              <w:spacing w:lineRule="auto" w:line="240"/>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55.6% (USD 9442.0 million), then consumer goods 33.4% (USD 5670.8 million) and equipment 11.1% (USD 1883.1 million). Unclassified goods according to destination amounted to 0.0% (USD 1.2 million).</w:t>
            </w:r>
          </w:p>
          <w:p>
            <w:pPr>
              <w:ind w:firstLine="720"/>
              <w:jc w:val="both"/>
              <w:rPr>
                <w:rFonts w:ascii="Arial" w:hAnsi="Arial"/>
                <w:color w:val="000000"/>
                <w:sz w:val="18"/>
              </w:rPr>
            </w:pPr>
          </w:p>
          <w:p>
            <w:pPr>
              <w:pStyle w:val="P5"/>
              <w:ind w:left="0"/>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57.7% (USD 12642.3 million), then consumer goods 18.8% (USD 4127.8 million) and equipment 12.5% (USD 2733.9 million). Unclassified goods according to destination amounted to 11.0% (USD 2416.5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64.0% of total external trade.</w:t>
            </w:r>
          </w:p>
          <w:p>
            <w:pPr>
              <w:jc w:val="both"/>
              <w:rPr>
                <w:rFonts w:ascii="Tahoma" w:hAnsi="Tahoma"/>
                <w:i w:val="0"/>
                <w:color w:val="000000"/>
                <w:sz w:val="18"/>
              </w:rPr>
            </w:pPr>
          </w:p>
          <w:p>
            <w:pPr>
              <w:jc w:val="both"/>
              <w:rPr>
                <w:rFonts w:ascii="Tahoma" w:hAnsi="Tahoma"/>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2237.0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1990.3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2774.6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2454.7</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2131.5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1888.7</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2207.5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1955.1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1371.3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1211.6</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1767.7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1560.8</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995.5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881.3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Russian Federation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1586.2</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1410.6</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817.5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726.1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1064.4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940.6</w:t>
                  </w:r>
                </w:p>
              </w:tc>
            </w:tr>
          </w:tbl>
          <w:p>
            <w:pPr>
              <w:jc w:val="both"/>
              <w:rPr>
                <w:rFonts w:ascii="Tahoma" w:hAnsi="Tahoma"/>
                <w:b w:val="1"/>
                <w:sz w:val="18"/>
              </w:rPr>
            </w:pPr>
          </w:p>
          <w:p>
            <w:pPr>
              <w:jc w:val="both"/>
              <w:rPr>
                <w:rFonts w:ascii="Tahoma" w:hAnsi="Tahoma"/>
                <w:sz w:val="18"/>
              </w:rPr>
            </w:pPr>
            <w:r>
              <w:rPr>
                <w:rFonts w:ascii="Tahoma" w:hAnsi="Tahoma"/>
                <w:sz w:val="18"/>
              </w:rPr>
              <w:t xml:space="preserve">Our second major partner refers to the </w:t>
            </w:r>
            <w:r>
              <w:rPr>
                <w:rFonts w:ascii="Tahoma" w:hAnsi="Tahoma"/>
                <w:i w:val="1"/>
                <w:sz w:val="18"/>
              </w:rPr>
              <w:t>CEFTA countries</w:t>
            </w:r>
            <w:r>
              <w:rPr>
                <w:rFonts w:ascii="Tahoma" w:hAnsi="Tahoma"/>
                <w:sz w:val="18"/>
              </w:rPr>
              <w:t xml:space="preserve">, since our gained surplus in external trade amounted to USD 2051.6 million, resulting mainly from the exports of agricultural products (cereals and produces thereof and various sorts of drinks), iron and steel, metal products, road vehicles. Regarding imports, items mainly related to iron and steel, hard coal and briquettes, fruit and vegetables, cork and wood. Our exports in the referent period amounted to USD 2982.1 million, while the imports were USD 930.5 million. The export– import ratio equalled 320.5 %. Expressed in </w:t>
            </w:r>
            <w:r>
              <w:rPr>
                <w:rFonts w:ascii="Tahoma" w:hAnsi="Tahoma"/>
                <w:b w:val="1"/>
                <w:sz w:val="18"/>
              </w:rPr>
              <w:t>EUR</w:t>
            </w:r>
            <w:r>
              <w:rPr>
                <w:rFonts w:ascii="Tahoma" w:hAnsi="Tahoma"/>
                <w:sz w:val="18"/>
              </w:rPr>
              <w:t xml:space="preserve">, the exports amounted to </w:t>
            </w:r>
            <w:r>
              <w:rPr>
                <w:rFonts w:ascii="Tahoma" w:hAnsi="Tahoma"/>
                <w:b w:val="1"/>
                <w:sz w:val="18"/>
              </w:rPr>
              <w:t>2635.1 mill</w:t>
            </w:r>
            <w:r>
              <w:rPr>
                <w:rFonts w:ascii="Tahoma" w:hAnsi="Tahoma"/>
                <w:sz w:val="18"/>
              </w:rPr>
              <w:t xml:space="preserve">, and imports to </w:t>
            </w:r>
            <w:r>
              <w:rPr>
                <w:rFonts w:ascii="Tahoma" w:hAnsi="Tahoma"/>
                <w:b w:val="1"/>
                <w:sz w:val="18"/>
              </w:rPr>
              <w:t>821.1 million</w:t>
            </w:r>
            <w:r>
              <w:rPr>
                <w:rFonts w:ascii="Tahoma" w:hAnsi="Tahoma"/>
                <w:sz w:val="18"/>
              </w:rPr>
              <w:t xml:space="preserve"> (surplus was EUR 1814.0 million, and export – import ratio 320.9%).    </w:t>
            </w:r>
          </w:p>
          <w:p>
            <w:pPr>
              <w:jc w:val="both"/>
              <w:rPr>
                <w:rFonts w:ascii="Tahoma" w:hAnsi="Tahoma"/>
                <w:color w:val="000000"/>
                <w:sz w:val="18"/>
              </w:rPr>
            </w:pPr>
          </w:p>
          <w:p>
            <w:pPr>
              <w:jc w:val="both"/>
              <w:rPr>
                <w:rFonts w:ascii="Tahoma" w:hAnsi="Tahoma"/>
                <w:sz w:val="18"/>
              </w:rPr>
            </w:pPr>
            <w:r>
              <w:rPr>
                <w:rFonts w:ascii="Tahoma" w:hAnsi="Tahoma"/>
                <w:sz w:val="18"/>
              </w:rPr>
              <w:t xml:space="preserve">Observed by countries, the greatest surplus was gained in the external trade with former Yugoslav Republics – Bosnia and Herzegovina, Montenegro and Macedonia. Regarding other countries, surplus was also noted in trade with Bulgaria, Romania, Croatia, Slovakia, Great Britain, Italy, Sweden and Moldavia. The greatest deficit marked the trade with China (imports of phones for network stations and laptops) and Germany, followed by trade with the Russian Federation (due to the imports of energy commodities, mainly oil and gas), Turkey, Poland (import of motor vehicles’ parts), Iraq, Hungary, Belgium, Austria, Czech Republic, India, Greece, Ukraine (imports of iron ore and concentrates). </w:t>
            </w:r>
          </w:p>
          <w:p>
            <w:pPr>
              <w:jc w:val="both"/>
              <w:rPr>
                <w:rFonts w:ascii="Tahoma" w:hAnsi="Tahoma"/>
                <w:sz w:val="18"/>
              </w:rPr>
            </w:pPr>
          </w:p>
          <w:p>
            <w:pPr>
              <w:jc w:val="both"/>
              <w:rPr>
                <w:rFonts w:ascii="Tahoma" w:hAnsi="Tahoma"/>
                <w:sz w:val="18"/>
              </w:rPr>
            </w:pPr>
            <w:r>
              <w:rPr>
                <w:rFonts w:ascii="Tahoma" w:hAnsi="Tahoma"/>
                <w:sz w:val="18"/>
              </w:rPr>
              <w:t xml:space="preserve">According to </w:t>
            </w:r>
            <w:r>
              <w:rPr>
                <w:rFonts w:ascii="Tahoma" w:hAnsi="Tahoma"/>
                <w:b w:val="1"/>
                <w:sz w:val="18"/>
              </w:rPr>
              <w:t>the divisions of the Standard International Trade Classification (SITC</w:t>
            </w:r>
            <w:r>
              <w:rPr>
                <w:rFonts w:ascii="Tahoma" w:hAnsi="Tahoma"/>
                <w:sz w:val="18"/>
              </w:rPr>
              <w:t xml:space="preserve">) the first five items in export accounted for 31.9% of total exports. Import of the first five items accounted for 26.9% of total imports. Section of </w:t>
            </w:r>
            <w:r>
              <w:rPr>
                <w:rFonts w:ascii="Tahoma" w:hAnsi="Tahoma"/>
                <w:i w:val="1"/>
                <w:sz w:val="18"/>
              </w:rPr>
              <w:t>unclassified goods</w:t>
            </w:r>
            <w:r>
              <w:rPr>
                <w:rFonts w:ascii="Tahoma" w:hAnsi="Tahoma"/>
                <w:sz w:val="18"/>
              </w:rPr>
              <w:t xml:space="preserve">, now also involving customs storage goods and goods in free zone, has the share in total imports of 11.1%.  </w:t>
            </w:r>
          </w:p>
          <w:p>
            <w:pPr>
              <w:jc w:val="both"/>
              <w:rPr>
                <w:rFonts w:ascii="Tahoma" w:hAnsi="Tahoma"/>
                <w:b w:val="1"/>
                <w:sz w:val="18"/>
              </w:rPr>
            </w:pPr>
          </w:p>
          <w:p>
            <w:pPr>
              <w:jc w:val="both"/>
              <w:rPr>
                <w:rFonts w:ascii="Tahoma" w:hAnsi="Tahoma"/>
                <w:b w:val="1"/>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1549.2</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1368.5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1756.3</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1563.3</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1401.3</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1250.0</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Oil and oil derivatives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1393.2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1230.8</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Fruit and vegetables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886.7</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783.8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Electrical machines and apparatus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1169.0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1031.9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819.6</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725.5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816.8</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720.7</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759.0</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669.3</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766.1</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Calibri" w:hAnsi="Calibri"/>
                      <w:color w:val="000000"/>
                      <w:sz w:val="18"/>
                    </w:rPr>
                  </w:pPr>
                  <w:r>
                    <w:rPr>
                      <w:rFonts w:ascii="Calibri" w:hAnsi="Calibri"/>
                      <w:color w:val="000000"/>
                      <w:sz w:val="18"/>
                    </w:rPr>
                    <w:t>678.3</w:t>
                  </w:r>
                </w:p>
              </w:tc>
            </w:tr>
          </w:tbl>
          <w:p>
            <w:pPr>
              <w:jc w:val="both"/>
              <w:rPr>
                <w:rFonts w:ascii="Tahoma" w:hAnsi="Tahoma"/>
                <w:b w:val="1"/>
                <w:sz w:val="18"/>
              </w:rPr>
            </w:pPr>
          </w:p>
          <w:p>
            <w:pPr>
              <w:jc w:val="both"/>
              <w:rPr>
                <w:rFonts w:ascii="Tahoma" w:hAnsi="Tahoma"/>
                <w:b w:val="1"/>
                <w:sz w:val="18"/>
              </w:rPr>
            </w:pPr>
          </w:p>
          <w:p>
            <w:pPr>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18"/>
              </w:rPr>
            </w:pPr>
          </w:p>
          <w:p>
            <w:pPr>
              <w:tabs>
                <w:tab w:val="center" w:pos="7797" w:leader="none"/>
              </w:tabs>
              <w:ind w:right="284"/>
              <w:jc w:val="both"/>
              <w:rPr>
                <w:rFonts w:ascii="Arial" w:hAnsi="Arial"/>
                <w:b w:val="1"/>
                <w:sz w:val="18"/>
              </w:rPr>
            </w:pPr>
          </w:p>
          <w:p>
            <w:pPr>
              <w:tabs>
                <w:tab w:val="center" w:pos="7797" w:leader="none"/>
              </w:tabs>
              <w:ind w:right="284"/>
              <w:jc w:val="both"/>
              <w:rPr>
                <w:rFonts w:ascii="Arial" w:hAnsi="Arial"/>
                <w:b w:val="1"/>
                <w:color w:val="000000"/>
                <w:sz w:val="18"/>
              </w:rPr>
            </w:pPr>
          </w:p>
          <w:p>
            <w:pPr>
              <w:jc w:val="both"/>
              <w:rPr>
                <w:rFonts w:ascii="Tahoma" w:hAnsi="Tahoma"/>
                <w:b w:val="1"/>
                <w:color w:val="000000"/>
                <w:sz w:val="18"/>
              </w:rPr>
            </w:pPr>
          </w:p>
          <w:p>
            <w:pPr>
              <w:jc w:val="both"/>
              <w:rPr>
                <w:rFonts w:ascii="Arial" w:hAnsi="Arial"/>
                <w:color w:val="000000"/>
                <w:sz w:val="18"/>
              </w:rPr>
            </w:pPr>
          </w:p>
          <w:p>
            <w:pPr>
              <w:jc w:val="both"/>
              <w:rPr>
                <w:rFonts w:ascii="Tahoma" w:hAnsi="Tahoma"/>
                <w:color w:val="FF0000"/>
                <w:sz w:val="20"/>
              </w:rPr>
            </w:pPr>
          </w:p>
        </w:tc>
      </w:tr>
      <w:tr>
        <w:tc>
          <w:tcPr>
            <w:tcW w:w="10296" w:type="dxa"/>
          </w:tcPr>
          <w:p>
            <w:pPr>
              <w:jc w:val="right"/>
              <w:rPr>
                <w:rFonts w:ascii="Tahoma" w:hAnsi="Tahoma"/>
                <w:sz w:val="22"/>
              </w:rPr>
            </w:pPr>
          </w:p>
        </w:tc>
      </w:tr>
      <w:tr>
        <w:tc>
          <w:tcPr>
            <w:tcW w:w="10296" w:type="dxa"/>
          </w:tcPr>
          <w:p>
            <w:pPr>
              <w:jc w:val="right"/>
              <w:rPr>
                <w:rFonts w:ascii="Tahoma" w:hAnsi="Tahoma"/>
                <w:sz w:val="22"/>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b w:val="1"/>
                    <w:sz w:val="20"/>
                  </w:rPr>
                </w:pPr>
                <w:r>
                  <w:rPr>
                    <w:rFonts w:ascii="Tahoma" w:hAnsi="Tahoma"/>
                    <w:b w:val="1"/>
                    <w:sz w:val="20"/>
                  </w:rPr>
                  <w:t>Director,</w:t>
                </w:r>
              </w:p>
              <w:p>
                <w:pPr>
                  <w:jc w:val="both"/>
                  <w:rPr>
                    <w:rFonts w:ascii="Tahoma" w:hAnsi="Tahoma"/>
                    <w:b w:val="1"/>
                    <w:color w:val="808080"/>
                    <w:sz w:val="20"/>
                  </w:rPr>
                </w:pPr>
                <w:r>
                  <w:rPr>
                    <w:rFonts w:ascii="Tahoma" w:hAnsi="Tahoma"/>
                    <w:b w:val="1"/>
                    <w:sz w:val="20"/>
                  </w:rPr>
                  <w:t xml:space="preserve">Dr Miladin Kovačević </w:t>
                </w:r>
              </w:p>
              <w:p>
                <w:pPr>
                  <w:jc w:val="both"/>
                  <w:rPr>
                    <w:rFonts w:ascii="Tahoma" w:hAnsi="Tahoma"/>
                    <w:b w:val="1"/>
                    <w:color w:val="808080"/>
                    <w:sz w:val="20"/>
                  </w:rPr>
                </w:pP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3"/>
              <w:rFonts w:ascii="Tahoma" w:hAnsi="Tahoma"/>
              <w:sz w:val="22"/>
            </w:rPr>
            <w:instrText xml:space="preserve"> NUMPAGES </w:instrText>
          </w:r>
          <w:r>
            <w:rPr>
              <w:rStyle w:val="C3"/>
              <w:rFonts w:ascii="Tahoma" w:hAnsi="Tahoma"/>
              <w:sz w:val="22"/>
            </w:rPr>
            <w:fldChar w:fldCharType="separate"/>
          </w:r>
          <w:r>
            <w:rPr>
              <w:rStyle w:val="C3"/>
              <w:rFonts w:ascii="Tahoma" w:hAnsi="Tahoma"/>
              <w:sz w:val="22"/>
            </w:rPr>
            <w:t>#</w:t>
          </w:r>
          <w:r>
            <w:rPr>
              <w:rStyle w:val="C3"/>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2020-01-10T11:38:04Z</dcterms:modified>
  <cp:revision>127</cp:revision>
  <dc:title>December 29, 2011</dc:title>
</cp:coreProperties>
</file>