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478638E2" Type="http://schemas.openxmlformats.org/officeDocument/2006/relationships/officeDocument" Target="/word/document.xml" /><Relationship Id="coreR478638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fixed"/>
      </w:tblPr>
      <w:tblGrid/>
      <w:tr>
        <w:tc>
          <w:tcPr>
            <w:tcW w:w="10296" w:type="dxa"/>
          </w:tcPr>
          <w:p>
            <w:pPr>
              <w:jc w:val="right"/>
              <w:rPr>
                <w:rFonts w:ascii="Arial" w:hAnsi="Arial"/>
              </w:rPr>
            </w:pPr>
            <w:r>
              <w:rPr>
                <w:rFonts w:ascii="Arial" w:hAnsi="Arial"/>
              </w:rPr>
              <w:t>29.06.2018</w:t>
            </w:r>
          </w:p>
          <w:p>
            <w:pPr>
              <w:jc w:val="right"/>
              <w:rPr>
                <w:rFonts w:ascii="Arial" w:hAnsi="Arial"/>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Arial" w:hAnsi="Arial"/>
                      <w:b w:val="1"/>
                    </w:rPr>
                  </w:pPr>
                  <w:r>
                    <w:rPr>
                      <w:rFonts w:ascii="Arial" w:hAnsi="Arial"/>
                      <w:b w:val="1"/>
                    </w:rPr>
                    <w:t>INTERNAL MIGRATION, 201</w:t>
                  </w:r>
                  <w:r>
                    <w:rPr>
                      <w:rFonts w:ascii="Arial" w:hAnsi="Arial"/>
                      <w:b w:val="1"/>
                    </w:rPr>
                    <w:t>7</w:t>
                  </w:r>
                </w:p>
              </w:tc>
            </w:tr>
          </w:tbl>
          <w:p>
            <w:pPr>
              <w:jc w:val="both"/>
              <w:rPr>
                <w:rFonts w:ascii="Arial" w:hAnsi="Arial"/>
              </w:rPr>
            </w:pPr>
          </w:p>
          <w:p>
            <w:pPr>
              <w:jc w:val="both"/>
              <w:rPr>
                <w:rFonts w:ascii="Arial" w:hAnsi="Arial"/>
              </w:rPr>
            </w:pPr>
          </w:p>
          <w:p>
            <w:pPr>
              <w:spacing w:before="120" w:after="120"/>
              <w:jc w:val="both"/>
              <w:rPr>
                <w:rFonts w:ascii="Arial" w:hAnsi="Arial"/>
                <w:sz w:val="20"/>
              </w:rPr>
            </w:pPr>
            <w:r>
              <w:rPr>
                <w:rFonts w:ascii="Arial" w:hAnsi="Arial"/>
                <w:sz w:val="20"/>
              </w:rPr>
              <w:t>The Statistical Office of the Republic of Serbia communicates the statistical release on persons who have changed their place of permanent residence</w:t>
            </w:r>
            <w:r>
              <w:rPr>
                <w:rStyle w:val="C4"/>
                <w:rFonts w:ascii="Times New Roman" w:hAnsi="Times New Roman"/>
                <w:sz w:val="20"/>
              </w:rPr>
              <w:footnoteReference w:id="0"/>
            </w:r>
            <w:r>
              <w:rPr>
                <w:rFonts w:ascii="Arial" w:hAnsi="Arial"/>
                <w:sz w:val="20"/>
              </w:rPr>
              <w:t xml:space="preserve"> on the territory of the Republic of Serbia during 2017. </w:t>
            </w:r>
          </w:p>
          <w:p>
            <w:pPr>
              <w:spacing w:before="120" w:after="120"/>
              <w:jc w:val="both"/>
              <w:rPr>
                <w:rFonts w:ascii="Arial" w:hAnsi="Arial"/>
                <w:sz w:val="20"/>
              </w:rPr>
            </w:pPr>
            <w:r>
              <w:rPr>
                <w:rFonts w:ascii="Arial" w:hAnsi="Arial"/>
                <w:sz w:val="20"/>
              </w:rPr>
              <w:t>In 2017, the number of 120 355 persons have changed the place of permanent residence, i.e. moved from one to another settlement on the territory of the Republic of Serbia. The average age of persons who have changed the place of permanent residence is 34.3 years (34.7 for males and 34.0 for females).</w:t>
            </w:r>
          </w:p>
          <w:p>
            <w:pPr>
              <w:spacing w:before="120" w:after="120"/>
              <w:jc w:val="both"/>
              <w:rPr>
                <w:rFonts w:ascii="Arial" w:hAnsi="Arial"/>
                <w:sz w:val="20"/>
              </w:rPr>
            </w:pPr>
            <w:r>
              <w:rPr>
                <w:rFonts w:ascii="Arial" w:hAnsi="Arial"/>
                <w:sz w:val="20"/>
              </w:rPr>
              <w:t>Starting from 1998 the Statistical Office of the Republic of Serbia has not at disposal and may not provide available certain data relative to AP Kosovo and Metohia and therefore these data are not included in the coverage for the Republic of Serbia (total).</w:t>
            </w:r>
          </w:p>
          <w:p>
            <w:pPr>
              <w:spacing w:lineRule="auto" w:line="276" w:after="200"/>
              <w:jc w:val="both"/>
              <w:rPr>
                <w:rFonts w:ascii="Arial" w:hAnsi="Arial"/>
                <w:sz w:val="20"/>
              </w:rPr>
            </w:pPr>
          </w:p>
          <w:p>
            <w:pPr>
              <w:spacing w:lineRule="auto" w:line="276"/>
              <w:jc w:val="center"/>
              <w:rPr>
                <w:rFonts w:ascii="Arial" w:hAnsi="Arial"/>
                <w:sz w:val="20"/>
              </w:rPr>
            </w:pPr>
            <w:r>
              <w:rPr>
                <w:rFonts w:ascii="Arial" w:hAnsi="Arial"/>
                <w:b w:val="1"/>
                <w:sz w:val="20"/>
              </w:rPr>
              <w:t>Graph 1. Persons who have changed residence within the Republic of Serbia during 2017,</w:t>
            </w:r>
          </w:p>
          <w:p>
            <w:pPr>
              <w:spacing w:lineRule="auto" w:line="276"/>
              <w:jc w:val="center"/>
              <w:rPr>
                <w:rFonts w:ascii="Arial" w:hAnsi="Arial"/>
                <w:sz w:val="20"/>
              </w:rPr>
            </w:pPr>
            <w:r>
              <w:rPr>
                <w:rFonts w:ascii="Arial" w:hAnsi="Arial"/>
                <w:b w:val="1"/>
                <w:sz w:val="20"/>
              </w:rPr>
              <w:t>by age and sex</w:t>
            </w:r>
          </w:p>
          <w:p>
            <w:pPr>
              <w:spacing w:after="120"/>
              <w:jc w:val="center"/>
              <w:rPr>
                <w:rFonts w:ascii="Arial" w:hAnsi="Arial"/>
              </w:rPr>
            </w:pPr>
            <w:r>
              <w:drawing>
                <wp:inline xmlns:wp="http://schemas.openxmlformats.org/drawingml/2006/wordprocessingDrawing">
                  <wp:extent cx="5949950" cy="206629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949950" cy="2066290"/>
                          </a:xfrm>
                          <a:prstGeom prst="rect"/>
                          <a:noFill/>
                        </pic:spPr>
                      </pic:pic>
                    </a:graphicData>
                  </a:graphic>
                </wp:inline>
              </w:drawing>
            </w:r>
          </w:p>
          <w:p>
            <w:pPr>
              <w:spacing w:after="120"/>
              <w:jc w:val="both"/>
              <w:rPr>
                <w:rFonts w:ascii="Arial" w:hAnsi="Arial"/>
                <w:sz w:val="20"/>
              </w:rPr>
            </w:pPr>
          </w:p>
          <w:p>
            <w:pPr>
              <w:spacing w:after="120"/>
              <w:jc w:val="both"/>
              <w:rPr>
                <w:rFonts w:ascii="Arial" w:hAnsi="Arial"/>
                <w:sz w:val="20"/>
              </w:rPr>
            </w:pPr>
            <w:r>
              <w:rPr>
                <w:rFonts w:ascii="Arial" w:hAnsi="Arial"/>
                <w:sz w:val="20"/>
              </w:rPr>
              <w:t>In the Republic of Serbia in 2017 the most persons moved within the cities/municipalities of the same area (38.5%), and the least between settlements on the territory of the same municipality/city (23.5%). From the total of 25 areas in the Republic of Serbia, the largest number of migratory movements was made on the territory of Beogradska oblast, namely 49 494 persons (41.1%) moved to this area and 43 057 persons (35.8%) moved out. Within the four regions of the Republic of Serbia, in 2017 Beogradski region and Region Vojvodine expressed a positive migration balance (larger number of persons that moved in when related to persons that moved out).</w:t>
            </w:r>
          </w:p>
          <w:p>
            <w:pPr>
              <w:spacing w:lineRule="auto" w:line="276" w:after="200"/>
              <w:jc w:val="both"/>
              <w:rPr>
                <w:rFonts w:ascii="Arial" w:hAnsi="Arial"/>
                <w:b w:val="1"/>
                <w:sz w:val="20"/>
              </w:rPr>
            </w:pPr>
          </w:p>
          <w:p>
            <w:pPr>
              <w:spacing w:lineRule="auto" w:line="276" w:after="200"/>
              <w:jc w:val="both"/>
              <w:rPr>
                <w:rFonts w:ascii="Arial" w:hAnsi="Arial"/>
                <w:b w:val="1"/>
                <w:sz w:val="20"/>
              </w:rPr>
            </w:pPr>
          </w:p>
          <w:p>
            <w:pPr>
              <w:spacing w:lineRule="auto" w:line="276" w:after="200"/>
              <w:jc w:val="both"/>
              <w:rPr>
                <w:rFonts w:ascii="Arial" w:hAnsi="Arial"/>
                <w:b w:val="1"/>
                <w:sz w:val="20"/>
              </w:rPr>
            </w:pPr>
          </w:p>
          <w:p>
            <w:pPr>
              <w:jc w:val="both"/>
              <w:rPr>
                <w:rFonts w:ascii="Arial" w:hAnsi="Arial"/>
                <w:b w:val="1"/>
                <w:sz w:val="20"/>
              </w:rPr>
            </w:pPr>
          </w:p>
          <w:p>
            <w:pPr>
              <w:jc w:val="both"/>
              <w:rPr>
                <w:rFonts w:ascii="Arial" w:hAnsi="Arial"/>
                <w:b w:val="1"/>
                <w:sz w:val="20"/>
              </w:rPr>
            </w:pPr>
          </w:p>
          <w:p>
            <w:pPr>
              <w:jc w:val="center"/>
              <w:rPr>
                <w:rFonts w:ascii="Arial" w:hAnsi="Arial"/>
                <w:b w:val="1"/>
                <w:sz w:val="20"/>
              </w:rPr>
            </w:pPr>
            <w:r>
              <w:rPr>
                <w:rFonts w:ascii="Arial" w:hAnsi="Arial"/>
                <w:b w:val="1"/>
                <w:sz w:val="20"/>
              </w:rPr>
              <w:t xml:space="preserve">Table 1. </w:t>
            </w:r>
            <w:r>
              <w:rPr>
                <w:rFonts w:ascii="Arial" w:hAnsi="Arial"/>
                <w:b w:val="1"/>
                <w:sz w:val="20"/>
              </w:rPr>
              <w:t xml:space="preserve">Persons who have changed </w:t>
            </w:r>
            <w:r>
              <w:rPr>
                <w:rFonts w:ascii="Arial" w:hAnsi="Arial"/>
                <w:b w:val="1"/>
                <w:sz w:val="20"/>
              </w:rPr>
              <w:t>residence within the Republic of Serbia during 201</w:t>
            </w:r>
            <w:r>
              <w:rPr>
                <w:rFonts w:ascii="Arial" w:hAnsi="Arial"/>
                <w:b w:val="1"/>
                <w:sz w:val="20"/>
              </w:rPr>
              <w:t>7</w:t>
            </w:r>
            <w:r>
              <w:rPr>
                <w:rFonts w:ascii="Arial" w:hAnsi="Arial"/>
                <w:b w:val="1"/>
                <w:sz w:val="20"/>
              </w:rPr>
              <w:t>, by area they moved from/to</w:t>
            </w:r>
          </w:p>
          <w:p>
            <w:pPr>
              <w:spacing w:after="60"/>
              <w:jc w:val="both"/>
            </w:pPr>
            <w:r>
              <w:rPr>
                <w:rFonts w:ascii="Arial" w:hAnsi="Arial"/>
                <w:b w:val="1"/>
                <w:sz w:val="20"/>
              </w:rPr>
              <w:t xml:space="preserve">              </w:t>
            </w:r>
          </w:p>
          <w:tbl>
            <w:tblPr>
              <w:tblStyle w:val="T2"/>
              <w:tblW w:w="10170" w:type="dxa"/>
              <w:jc w:val="center"/>
              <w:tblLayout w:type="fixed"/>
              <w:tblCellMar>
                <w:left w:w="28" w:type="dxa"/>
                <w:right w:w="28" w:type="dxa"/>
              </w:tblCellMar>
            </w:tblPr>
            <w:tblGrid/>
            <w:tr>
              <w:trPr>
                <w:wAfter w:w="0" w:type="dxa"/>
                <w:trHeight w:hRule="atLeast" w:val="20"/>
              </w:trPr>
              <w:tc>
                <w:tcPr>
                  <w:tcW w:w="1871" w:type="dxa"/>
                  <w:vMerge w:val="restart"/>
                  <w:tcBorders>
                    <w:top w:val="single" w:sz="4" w:space="0" w:shadow="0" w:frame="0"/>
                    <w:right w:val="single" w:sz="4" w:space="0" w:shadow="0" w:frame="0"/>
                  </w:tcBorders>
                  <w:shd w:val="clear" w:color="000000" w:fill="FFFFFF"/>
                  <w:vAlign w:val="bottom"/>
                </w:tcPr>
                <w:p>
                  <w:pPr>
                    <w:spacing w:before="60" w:after="60"/>
                    <w:rPr>
                      <w:rFonts w:ascii="Arial" w:hAnsi="Arial"/>
                      <w:b w:val="1"/>
                      <w:color w:val="000000"/>
                      <w:sz w:val="16"/>
                    </w:rPr>
                  </w:pPr>
                </w:p>
              </w:tc>
              <w:tc>
                <w:tcPr>
                  <w:tcW w:w="3711" w:type="dxa"/>
                  <w:gridSpan w:val="4"/>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76" w:before="60" w:after="60"/>
                    <w:jc w:val="center"/>
                    <w:rPr>
                      <w:rFonts w:ascii="Arial" w:hAnsi="Arial"/>
                      <w:color w:val="000000"/>
                      <w:sz w:val="16"/>
                    </w:rPr>
                  </w:pPr>
                  <w:r>
                    <w:rPr>
                      <w:rFonts w:ascii="Arial" w:hAnsi="Arial"/>
                      <w:color w:val="000000"/>
                      <w:sz w:val="16"/>
                    </w:rPr>
                    <w:t>Moved from</w:t>
                  </w:r>
                </w:p>
              </w:tc>
              <w:tc>
                <w:tcPr>
                  <w:tcW w:w="3711" w:type="dxa"/>
                  <w:gridSpan w:val="4"/>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before="60" w:after="60"/>
                    <w:jc w:val="center"/>
                    <w:rPr>
                      <w:rFonts w:ascii="Arial" w:hAnsi="Arial"/>
                      <w:color w:val="000000"/>
                      <w:sz w:val="16"/>
                    </w:rPr>
                  </w:pPr>
                  <w:r>
                    <w:rPr>
                      <w:rFonts w:ascii="Arial" w:hAnsi="Arial"/>
                      <w:color w:val="000000"/>
                      <w:sz w:val="16"/>
                    </w:rPr>
                    <w:t>Moved to</w:t>
                  </w:r>
                </w:p>
              </w:tc>
              <w:tc>
                <w:tcPr>
                  <w:tcW w:w="877" w:type="dxa"/>
                  <w:vMerge w:val="restart"/>
                  <w:tcBorders>
                    <w:top w:val="single" w:sz="4" w:space="0" w:shadow="0" w:frame="0"/>
                    <w:left w:val="single" w:sz="4" w:space="0" w:shadow="0" w:frame="0"/>
                  </w:tcBorders>
                  <w:shd w:val="clear" w:color="000000" w:fill="FFFFFF"/>
                  <w:vAlign w:val="center"/>
                </w:tcPr>
                <w:p>
                  <w:pPr>
                    <w:spacing w:before="60" w:after="60"/>
                    <w:jc w:val="center"/>
                    <w:rPr>
                      <w:rFonts w:ascii="Arial" w:hAnsi="Arial"/>
                      <w:b w:val="1"/>
                      <w:color w:val="000000"/>
                      <w:sz w:val="16"/>
                    </w:rPr>
                  </w:pPr>
                  <w:r>
                    <w:rPr>
                      <w:rFonts w:ascii="Arial" w:hAnsi="Arial"/>
                      <w:color w:val="000000"/>
                      <w:sz w:val="16"/>
                    </w:rPr>
                    <w:t>Migration balance</w:t>
                  </w:r>
                </w:p>
              </w:tc>
            </w:tr>
            <w:tr>
              <w:trPr>
                <w:wAfter w:w="0" w:type="dxa"/>
                <w:trHeight w:hRule="atLeast" w:val="20"/>
              </w:trPr>
              <w:tc>
                <w:tcPr>
                  <w:tcW w:w="1871" w:type="dxa"/>
                  <w:vMerge w:val="continue"/>
                  <w:tcBorders>
                    <w:right w:val="single" w:sz="4" w:space="0" w:shadow="0" w:frame="0"/>
                  </w:tcBorders>
                  <w:shd w:val="clear" w:color="000000" w:fill="FFFFFF"/>
                  <w:vAlign w:val="bottom"/>
                </w:tcPr>
                <w:p>
                  <w:pPr>
                    <w:spacing w:before="60" w:after="60"/>
                    <w:rPr>
                      <w:rFonts w:ascii="Arial" w:hAnsi="Arial"/>
                      <w:b w:val="1"/>
                      <w:color w:val="000000"/>
                      <w:sz w:val="16"/>
                    </w:rPr>
                  </w:pPr>
                </w:p>
              </w:tc>
              <w:tc>
                <w:tcPr>
                  <w:tcW w:w="79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before="60" w:after="60"/>
                    <w:jc w:val="center"/>
                    <w:rPr>
                      <w:rFonts w:ascii="Arial" w:hAnsi="Arial"/>
                      <w:color w:val="000000"/>
                      <w:sz w:val="16"/>
                    </w:rPr>
                  </w:pPr>
                  <w:r>
                    <w:rPr>
                      <w:rFonts w:ascii="Arial" w:hAnsi="Arial"/>
                      <w:color w:val="000000"/>
                      <w:sz w:val="16"/>
                    </w:rPr>
                    <w:t>Total</w:t>
                  </w:r>
                </w:p>
              </w:tc>
              <w:tc>
                <w:tcPr>
                  <w:tcW w:w="87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before="60" w:after="60"/>
                    <w:jc w:val="center"/>
                    <w:rPr>
                      <w:rFonts w:ascii="Arial" w:hAnsi="Arial"/>
                      <w:color w:val="000000"/>
                      <w:sz w:val="16"/>
                    </w:rPr>
                  </w:pPr>
                  <w:r>
                    <w:rPr>
                      <w:rFonts w:ascii="Arial" w:hAnsi="Arial"/>
                      <w:color w:val="000000"/>
                      <w:sz w:val="16"/>
                    </w:rPr>
                    <w:t>From another area</w:t>
                  </w:r>
                </w:p>
              </w:tc>
              <w:tc>
                <w:tcPr>
                  <w:tcW w:w="1020"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before="60" w:after="60"/>
                    <w:jc w:val="center"/>
                    <w:rPr>
                      <w:rFonts w:ascii="Arial" w:hAnsi="Arial"/>
                      <w:color w:val="000000"/>
                      <w:sz w:val="16"/>
                    </w:rPr>
                  </w:pPr>
                  <w:r>
                    <w:rPr>
                      <w:rFonts w:ascii="Arial" w:hAnsi="Arial"/>
                      <w:color w:val="000000"/>
                      <w:sz w:val="16"/>
                    </w:rPr>
                    <w:t xml:space="preserve">From another cities/ municipalities                          of the same area</w:t>
                  </w:r>
                </w:p>
              </w:tc>
              <w:tc>
                <w:tcPr>
                  <w:tcW w:w="1020"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76" w:before="60" w:after="60"/>
                    <w:jc w:val="center"/>
                    <w:rPr>
                      <w:rFonts w:ascii="Arial" w:hAnsi="Arial"/>
                      <w:color w:val="000000"/>
                      <w:sz w:val="16"/>
                    </w:rPr>
                  </w:pPr>
                  <w:r>
                    <w:rPr>
                      <w:rFonts w:ascii="Arial" w:hAnsi="Arial"/>
                      <w:color w:val="000000"/>
                      <w:sz w:val="16"/>
                    </w:rPr>
                    <w:t xml:space="preserve">From       another   settlement               of the same city/   municipality</w:t>
                  </w:r>
                </w:p>
              </w:tc>
              <w:tc>
                <w:tcPr>
                  <w:tcW w:w="794"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before="60" w:after="60"/>
                    <w:jc w:val="center"/>
                    <w:rPr>
                      <w:rFonts w:ascii="Arial" w:hAnsi="Arial"/>
                      <w:color w:val="000000"/>
                      <w:sz w:val="16"/>
                    </w:rPr>
                  </w:pPr>
                  <w:r>
                    <w:rPr>
                      <w:rFonts w:ascii="Arial" w:hAnsi="Arial"/>
                      <w:color w:val="000000"/>
                      <w:sz w:val="16"/>
                    </w:rPr>
                    <w:t>Total</w:t>
                  </w:r>
                </w:p>
              </w:tc>
              <w:tc>
                <w:tcPr>
                  <w:tcW w:w="877"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before="60" w:after="60"/>
                    <w:jc w:val="center"/>
                    <w:rPr>
                      <w:rFonts w:ascii="Arial" w:hAnsi="Arial"/>
                      <w:color w:val="000000"/>
                      <w:sz w:val="16"/>
                    </w:rPr>
                  </w:pPr>
                  <w:r>
                    <w:rPr>
                      <w:rFonts w:ascii="Arial" w:hAnsi="Arial"/>
                      <w:color w:val="000000"/>
                      <w:sz w:val="16"/>
                    </w:rPr>
                    <w:t>To another area</w:t>
                  </w:r>
                </w:p>
              </w:tc>
              <w:tc>
                <w:tcPr>
                  <w:tcW w:w="1020"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before="60" w:after="60"/>
                    <w:jc w:val="center"/>
                    <w:rPr>
                      <w:rFonts w:ascii="Arial" w:hAnsi="Arial"/>
                      <w:color w:val="000000"/>
                      <w:sz w:val="16"/>
                    </w:rPr>
                  </w:pPr>
                  <w:r>
                    <w:rPr>
                      <w:rFonts w:ascii="Arial" w:hAnsi="Arial"/>
                      <w:color w:val="000000"/>
                      <w:sz w:val="16"/>
                    </w:rPr>
                    <w:t>To another cities/ municipalities of the same area</w:t>
                  </w:r>
                </w:p>
              </w:tc>
              <w:tc>
                <w:tcPr>
                  <w:tcW w:w="1020" w:type="dxa"/>
                  <w:tcBorders>
                    <w:top w:val="single" w:sz="4" w:space="0" w:shadow="0" w:frame="0"/>
                    <w:left w:val="single" w:sz="4" w:space="0" w:shadow="0" w:frame="0"/>
                    <w:bottom w:val="single" w:sz="4" w:space="0" w:shadow="0" w:frame="0"/>
                    <w:right w:val="single" w:sz="4" w:space="0" w:shadow="0" w:frame="0"/>
                  </w:tcBorders>
                  <w:shd w:val="clear" w:color="000000" w:fill="FFFFFF"/>
                  <w:vAlign w:val="center"/>
                </w:tcPr>
                <w:p>
                  <w:pPr>
                    <w:spacing w:before="60" w:after="60"/>
                    <w:jc w:val="center"/>
                    <w:rPr>
                      <w:rFonts w:ascii="Arial" w:hAnsi="Arial"/>
                      <w:color w:val="000000"/>
                      <w:sz w:val="16"/>
                    </w:rPr>
                  </w:pPr>
                  <w:r>
                    <w:rPr>
                      <w:rFonts w:ascii="Arial" w:hAnsi="Arial"/>
                      <w:color w:val="000000"/>
                      <w:sz w:val="16"/>
                    </w:rPr>
                    <w:t xml:space="preserve">To another settlement   of the same city/ municipality</w:t>
                  </w:r>
                </w:p>
              </w:tc>
              <w:tc>
                <w:tcPr>
                  <w:tcW w:w="877" w:type="dxa"/>
                  <w:vMerge w:val="continue"/>
                  <w:tcBorders>
                    <w:left w:val="single" w:sz="4" w:space="0" w:shadow="0" w:frame="0"/>
                  </w:tcBorders>
                  <w:shd w:val="clear" w:color="000000" w:fill="FFFFFF"/>
                  <w:vAlign w:val="bottom"/>
                </w:tcPr>
                <w:p>
                  <w:pPr>
                    <w:spacing w:before="60" w:after="60"/>
                    <w:jc w:val="right"/>
                    <w:rPr>
                      <w:rFonts w:ascii="Arial" w:hAnsi="Arial"/>
                      <w:b w:val="1"/>
                      <w:color w:val="000000"/>
                      <w:sz w:val="16"/>
                    </w:rPr>
                  </w:pPr>
                </w:p>
              </w:tc>
            </w:tr>
            <w:tr>
              <w:trPr>
                <w:wAfter w:w="0" w:type="dxa"/>
                <w:trHeight w:hRule="atLeast" w:val="20"/>
              </w:trPr>
              <w:tc>
                <w:tcPr>
                  <w:tcW w:w="1871" w:type="dxa"/>
                  <w:tcBorders>
                    <w:top w:val="single" w:sz="4" w:space="0" w:shadow="0" w:frame="0"/>
                    <w:right w:val="single" w:sz="4" w:space="0" w:shadow="0" w:frame="0"/>
                  </w:tcBorders>
                  <w:shd w:val="clear" w:color="000000" w:fill="FFFFFF"/>
                  <w:vAlign w:val="bottom"/>
                </w:tcPr>
                <w:p>
                  <w:pPr>
                    <w:spacing w:before="60" w:after="60"/>
                    <w:rPr>
                      <w:rFonts w:ascii="Arial" w:hAnsi="Arial"/>
                      <w:b w:val="1"/>
                      <w:color w:val="000000"/>
                      <w:sz w:val="16"/>
                    </w:rPr>
                  </w:pPr>
                  <w:r>
                    <w:rPr>
                      <w:rFonts w:ascii="Arial" w:hAnsi="Arial"/>
                      <w:b w:val="1"/>
                      <w:color w:val="000000"/>
                      <w:sz w:val="16"/>
                    </w:rPr>
                    <w:t>REPUBLIC OF SERBIA</w:t>
                  </w:r>
                </w:p>
              </w:tc>
              <w:tc>
                <w:tcPr>
                  <w:tcW w:w="794" w:type="dxa"/>
                  <w:tcBorders>
                    <w:top w:val="single" w:sz="4" w:space="0" w:shadow="0" w:frame="0"/>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120355</w:t>
                  </w:r>
                </w:p>
              </w:tc>
              <w:tc>
                <w:tcPr>
                  <w:tcW w:w="877" w:type="dxa"/>
                  <w:tcBorders>
                    <w:top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45774</w:t>
                  </w:r>
                </w:p>
              </w:tc>
              <w:tc>
                <w:tcPr>
                  <w:tcW w:w="1020" w:type="dxa"/>
                  <w:tcBorders>
                    <w:top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46302</w:t>
                  </w:r>
                </w:p>
              </w:tc>
              <w:tc>
                <w:tcPr>
                  <w:tcW w:w="1020" w:type="dxa"/>
                  <w:tcBorders>
                    <w:top w:val="single" w:sz="4" w:space="0" w:shadow="0" w:frame="0"/>
                    <w:righ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28279</w:t>
                  </w:r>
                </w:p>
              </w:tc>
              <w:tc>
                <w:tcPr>
                  <w:tcW w:w="794" w:type="dxa"/>
                  <w:tcBorders>
                    <w:top w:val="single" w:sz="4" w:space="0" w:shadow="0" w:frame="0"/>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120355</w:t>
                  </w:r>
                </w:p>
              </w:tc>
              <w:tc>
                <w:tcPr>
                  <w:tcW w:w="877" w:type="dxa"/>
                  <w:tcBorders>
                    <w:top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45774</w:t>
                  </w:r>
                </w:p>
              </w:tc>
              <w:tc>
                <w:tcPr>
                  <w:tcW w:w="1020" w:type="dxa"/>
                  <w:tcBorders>
                    <w:top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46302</w:t>
                  </w:r>
                </w:p>
              </w:tc>
              <w:tc>
                <w:tcPr>
                  <w:tcW w:w="1020" w:type="dxa"/>
                  <w:tcBorders>
                    <w:top w:val="single" w:sz="4" w:space="0" w:shadow="0" w:frame="0"/>
                    <w:righ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28279</w:t>
                  </w:r>
                </w:p>
              </w:tc>
              <w:tc>
                <w:tcPr>
                  <w:tcW w:w="877" w:type="dxa"/>
                  <w:tcBorders>
                    <w:top w:val="single" w:sz="4" w:space="0" w:shadow="0" w:frame="0"/>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0</w:t>
                  </w:r>
                </w:p>
              </w:tc>
            </w:tr>
            <w:tr>
              <w:trPr>
                <w:wAfter w:w="0" w:type="dxa"/>
                <w:trHeight w:hRule="atLeast" w:val="20"/>
              </w:trPr>
              <w:tc>
                <w:tcPr>
                  <w:tcW w:w="1871" w:type="dxa"/>
                  <w:tcBorders>
                    <w:right w:val="single" w:sz="4" w:space="0" w:shadow="0" w:frame="0"/>
                  </w:tcBorders>
                  <w:shd w:val="clear" w:color="000000" w:fill="FFFFFF"/>
                  <w:vAlign w:val="bottom"/>
                </w:tcPr>
                <w:p>
                  <w:pPr>
                    <w:spacing w:before="60" w:after="60"/>
                    <w:rPr>
                      <w:rFonts w:ascii="Arial" w:hAnsi="Arial"/>
                      <w:color w:val="000000"/>
                      <w:sz w:val="16"/>
                    </w:rPr>
                  </w:pPr>
                  <w:r>
                    <w:rPr>
                      <w:rFonts w:ascii="Arial" w:hAnsi="Arial"/>
                      <w:color w:val="000000"/>
                      <w:sz w:val="16"/>
                    </w:rPr>
                    <w:t xml:space="preserve">SRBIJA – SEVER  </w:t>
                  </w:r>
                </w:p>
              </w:tc>
              <w:tc>
                <w:tcPr>
                  <w:tcW w:w="794" w:type="dxa"/>
                  <w:tcBorders>
                    <w:left w:val="single" w:sz="4" w:space="0" w:shadow="0" w:frame="0"/>
                  </w:tcBorders>
                  <w:shd w:val="clear" w:color="000000" w:fill="FFFFFF"/>
                  <w:vAlign w:val="bottom"/>
                </w:tcPr>
                <w:p>
                  <w:pPr>
                    <w:spacing w:before="60" w:after="60"/>
                    <w:ind w:right="113"/>
                    <w:jc w:val="right"/>
                    <w:rPr>
                      <w:rFonts w:ascii="Arial" w:hAnsi="Arial"/>
                      <w:color w:val="000000"/>
                      <w:sz w:val="16"/>
                    </w:rPr>
                  </w:pPr>
                  <w:r>
                    <w:rPr>
                      <w:rFonts w:ascii="Arial" w:hAnsi="Arial"/>
                      <w:color w:val="000000"/>
                      <w:sz w:val="16"/>
                    </w:rPr>
                    <w:t>76856</w:t>
                  </w:r>
                </w:p>
              </w:tc>
              <w:tc>
                <w:tcPr>
                  <w:tcW w:w="877" w:type="dxa"/>
                  <w:shd w:val="clear" w:color="000000" w:fill="FFFFFF"/>
                  <w:vAlign w:val="bottom"/>
                </w:tcPr>
                <w:p>
                  <w:pPr>
                    <w:spacing w:before="60" w:after="60"/>
                    <w:ind w:right="113"/>
                    <w:jc w:val="right"/>
                    <w:rPr>
                      <w:rFonts w:ascii="Arial" w:hAnsi="Arial"/>
                      <w:color w:val="000000"/>
                      <w:sz w:val="16"/>
                    </w:rPr>
                  </w:pPr>
                  <w:r>
                    <w:rPr>
                      <w:rFonts w:ascii="Arial" w:hAnsi="Arial"/>
                      <w:color w:val="000000"/>
                      <w:sz w:val="16"/>
                    </w:rPr>
                    <w:t>28736</w:t>
                  </w:r>
                </w:p>
              </w:tc>
              <w:tc>
                <w:tcPr>
                  <w:tcW w:w="1020" w:type="dxa"/>
                  <w:shd w:val="clear" w:color="000000" w:fill="FFFFFF"/>
                  <w:vAlign w:val="bottom"/>
                </w:tcPr>
                <w:p>
                  <w:pPr>
                    <w:spacing w:before="60" w:after="60"/>
                    <w:ind w:right="113"/>
                    <w:jc w:val="right"/>
                    <w:rPr>
                      <w:rFonts w:ascii="Arial" w:hAnsi="Arial"/>
                      <w:color w:val="000000"/>
                      <w:sz w:val="16"/>
                    </w:rPr>
                  </w:pPr>
                  <w:r>
                    <w:rPr>
                      <w:rFonts w:ascii="Arial" w:hAnsi="Arial"/>
                      <w:color w:val="000000"/>
                      <w:sz w:val="16"/>
                    </w:rPr>
                    <w:t>37478</w:t>
                  </w:r>
                </w:p>
              </w:tc>
              <w:tc>
                <w:tcPr>
                  <w:tcW w:w="1020" w:type="dxa"/>
                  <w:tcBorders>
                    <w:right w:val="single" w:sz="4" w:space="0" w:shadow="0" w:frame="0"/>
                  </w:tcBorders>
                  <w:shd w:val="clear" w:color="000000" w:fill="FFFFFF"/>
                  <w:vAlign w:val="bottom"/>
                </w:tcPr>
                <w:p>
                  <w:pPr>
                    <w:spacing w:before="60" w:after="60"/>
                    <w:ind w:right="113"/>
                    <w:jc w:val="right"/>
                    <w:rPr>
                      <w:rFonts w:ascii="Arial" w:hAnsi="Arial"/>
                      <w:color w:val="000000"/>
                      <w:sz w:val="16"/>
                    </w:rPr>
                  </w:pPr>
                  <w:r>
                    <w:rPr>
                      <w:rFonts w:ascii="Arial" w:hAnsi="Arial"/>
                      <w:color w:val="000000"/>
                      <w:sz w:val="16"/>
                    </w:rPr>
                    <w:t>10642</w:t>
                  </w:r>
                </w:p>
              </w:tc>
              <w:tc>
                <w:tcPr>
                  <w:tcW w:w="794" w:type="dxa"/>
                  <w:tcBorders>
                    <w:left w:val="single" w:sz="4" w:space="0" w:shadow="0" w:frame="0"/>
                  </w:tcBorders>
                  <w:shd w:val="clear" w:color="000000" w:fill="FFFFFF"/>
                  <w:vAlign w:val="bottom"/>
                </w:tcPr>
                <w:p>
                  <w:pPr>
                    <w:spacing w:before="60" w:after="60"/>
                    <w:ind w:right="113"/>
                    <w:jc w:val="right"/>
                    <w:rPr>
                      <w:rFonts w:ascii="Arial" w:hAnsi="Arial"/>
                      <w:color w:val="000000"/>
                      <w:sz w:val="16"/>
                    </w:rPr>
                  </w:pPr>
                  <w:r>
                    <w:rPr>
                      <w:rFonts w:ascii="Arial" w:hAnsi="Arial"/>
                      <w:color w:val="000000"/>
                      <w:sz w:val="16"/>
                    </w:rPr>
                    <w:t>69749</w:t>
                  </w:r>
                </w:p>
              </w:tc>
              <w:tc>
                <w:tcPr>
                  <w:tcW w:w="877" w:type="dxa"/>
                  <w:shd w:val="clear" w:color="000000" w:fill="FFFFFF"/>
                  <w:vAlign w:val="bottom"/>
                </w:tcPr>
                <w:p>
                  <w:pPr>
                    <w:spacing w:before="60" w:after="60"/>
                    <w:ind w:right="113"/>
                    <w:jc w:val="right"/>
                    <w:rPr>
                      <w:rFonts w:ascii="Arial" w:hAnsi="Arial"/>
                      <w:color w:val="000000"/>
                      <w:sz w:val="16"/>
                    </w:rPr>
                  </w:pPr>
                  <w:r>
                    <w:rPr>
                      <w:rFonts w:ascii="Arial" w:hAnsi="Arial"/>
                      <w:color w:val="000000"/>
                      <w:sz w:val="16"/>
                    </w:rPr>
                    <w:t>21629</w:t>
                  </w:r>
                </w:p>
              </w:tc>
              <w:tc>
                <w:tcPr>
                  <w:tcW w:w="1020" w:type="dxa"/>
                  <w:shd w:val="clear" w:color="000000" w:fill="FFFFFF"/>
                  <w:vAlign w:val="bottom"/>
                </w:tcPr>
                <w:p>
                  <w:pPr>
                    <w:spacing w:before="60" w:after="60"/>
                    <w:ind w:right="113"/>
                    <w:jc w:val="right"/>
                    <w:rPr>
                      <w:rFonts w:ascii="Arial" w:hAnsi="Arial"/>
                      <w:color w:val="000000"/>
                      <w:sz w:val="16"/>
                    </w:rPr>
                  </w:pPr>
                  <w:r>
                    <w:rPr>
                      <w:rFonts w:ascii="Arial" w:hAnsi="Arial"/>
                      <w:color w:val="000000"/>
                      <w:sz w:val="16"/>
                    </w:rPr>
                    <w:t>37478</w:t>
                  </w:r>
                </w:p>
              </w:tc>
              <w:tc>
                <w:tcPr>
                  <w:tcW w:w="1020" w:type="dxa"/>
                  <w:tcBorders>
                    <w:right w:val="single" w:sz="4" w:space="0" w:shadow="0" w:frame="0"/>
                  </w:tcBorders>
                  <w:shd w:val="clear" w:color="000000" w:fill="FFFFFF"/>
                  <w:vAlign w:val="bottom"/>
                </w:tcPr>
                <w:p>
                  <w:pPr>
                    <w:spacing w:before="60" w:after="60"/>
                    <w:ind w:right="113"/>
                    <w:jc w:val="right"/>
                    <w:rPr>
                      <w:rFonts w:ascii="Arial" w:hAnsi="Arial"/>
                      <w:color w:val="000000"/>
                      <w:sz w:val="16"/>
                    </w:rPr>
                  </w:pPr>
                  <w:r>
                    <w:rPr>
                      <w:rFonts w:ascii="Arial" w:hAnsi="Arial"/>
                      <w:color w:val="000000"/>
                      <w:sz w:val="16"/>
                    </w:rPr>
                    <w:t>10642</w:t>
                  </w:r>
                </w:p>
              </w:tc>
              <w:tc>
                <w:tcPr>
                  <w:tcW w:w="877" w:type="dxa"/>
                  <w:tcBorders>
                    <w:left w:val="single" w:sz="4" w:space="0" w:shadow="0" w:frame="0"/>
                  </w:tcBorders>
                  <w:shd w:val="clear" w:color="000000" w:fill="FFFFFF"/>
                  <w:vAlign w:val="bottom"/>
                </w:tcPr>
                <w:p>
                  <w:pPr>
                    <w:spacing w:before="60" w:after="60"/>
                    <w:ind w:right="113"/>
                    <w:jc w:val="right"/>
                    <w:rPr>
                      <w:rFonts w:ascii="Arial" w:hAnsi="Arial"/>
                      <w:color w:val="000000"/>
                      <w:sz w:val="16"/>
                    </w:rPr>
                  </w:pPr>
                  <w:r>
                    <w:rPr>
                      <w:rFonts w:ascii="Arial" w:hAnsi="Arial"/>
                      <w:color w:val="000000"/>
                      <w:sz w:val="16"/>
                    </w:rPr>
                    <w:t>7107</w:t>
                  </w:r>
                </w:p>
              </w:tc>
            </w:tr>
            <w:tr>
              <w:trPr>
                <w:wAfter w:w="0" w:type="dxa"/>
                <w:trHeight w:hRule="atLeast" w:val="20"/>
              </w:trPr>
              <w:tc>
                <w:tcPr>
                  <w:tcW w:w="1871" w:type="dxa"/>
                  <w:tcBorders>
                    <w:right w:val="single" w:sz="4" w:space="0" w:shadow="0" w:frame="0"/>
                  </w:tcBorders>
                  <w:shd w:val="clear" w:color="000000" w:fill="FFFFFF"/>
                  <w:vAlign w:val="bottom"/>
                </w:tcPr>
                <w:p>
                  <w:pPr>
                    <w:spacing w:before="60" w:after="60"/>
                    <w:rPr>
                      <w:rFonts w:ascii="Arial" w:hAnsi="Arial"/>
                      <w:b w:val="1"/>
                      <w:color w:val="000000"/>
                      <w:sz w:val="16"/>
                    </w:rPr>
                  </w:pPr>
                  <w:r>
                    <w:rPr>
                      <w:rFonts w:ascii="Arial" w:hAnsi="Arial"/>
                      <w:b w:val="1"/>
                      <w:color w:val="000000"/>
                      <w:sz w:val="16"/>
                    </w:rPr>
                    <w:t>Beogradski region</w:t>
                  </w:r>
                </w:p>
              </w:tc>
              <w:tc>
                <w:tcPr>
                  <w:tcW w:w="794"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49494</w:t>
                  </w:r>
                </w:p>
              </w:tc>
              <w:tc>
                <w:tcPr>
                  <w:tcW w:w="877"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15433</w:t>
                  </w:r>
                </w:p>
              </w:tc>
              <w:tc>
                <w:tcPr>
                  <w:tcW w:w="1020"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30800</w:t>
                  </w:r>
                </w:p>
              </w:tc>
              <w:tc>
                <w:tcPr>
                  <w:tcW w:w="1020" w:type="dxa"/>
                  <w:tcBorders>
                    <w:righ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3261</w:t>
                  </w:r>
                </w:p>
              </w:tc>
              <w:tc>
                <w:tcPr>
                  <w:tcW w:w="794"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43057</w:t>
                  </w:r>
                </w:p>
              </w:tc>
              <w:tc>
                <w:tcPr>
                  <w:tcW w:w="877"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8996</w:t>
                  </w:r>
                </w:p>
              </w:tc>
              <w:tc>
                <w:tcPr>
                  <w:tcW w:w="1020"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30800</w:t>
                  </w:r>
                </w:p>
              </w:tc>
              <w:tc>
                <w:tcPr>
                  <w:tcW w:w="1020" w:type="dxa"/>
                  <w:tcBorders>
                    <w:righ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3261</w:t>
                  </w:r>
                </w:p>
              </w:tc>
              <w:tc>
                <w:tcPr>
                  <w:tcW w:w="877"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6437</w:t>
                  </w:r>
                </w:p>
              </w:tc>
            </w:tr>
            <w:tr>
              <w:trPr>
                <w:wAfter w:w="0" w:type="dxa"/>
                <w:trHeight w:hRule="atLeast" w:val="20"/>
              </w:trPr>
              <w:tc>
                <w:tcPr>
                  <w:tcW w:w="1871" w:type="dxa"/>
                  <w:tcBorders>
                    <w:right w:val="single" w:sz="4" w:space="0" w:shadow="0" w:frame="0"/>
                  </w:tcBorders>
                  <w:shd w:val="clear" w:color="000000" w:fill="FFFFFF"/>
                  <w:vAlign w:val="bottom"/>
                </w:tcPr>
                <w:p>
                  <w:pPr>
                    <w:spacing w:before="60" w:after="60"/>
                    <w:rPr>
                      <w:rFonts w:ascii="Arial" w:hAnsi="Arial"/>
                      <w:b w:val="1"/>
                      <w:color w:val="000000"/>
                      <w:sz w:val="16"/>
                    </w:rPr>
                  </w:pPr>
                  <w:r>
                    <w:rPr>
                      <w:rFonts w:ascii="Arial" w:hAnsi="Arial"/>
                      <w:b w:val="1"/>
                      <w:color w:val="000000"/>
                      <w:sz w:val="16"/>
                    </w:rPr>
                    <w:t>Region Vojvodine</w:t>
                  </w:r>
                </w:p>
              </w:tc>
              <w:tc>
                <w:tcPr>
                  <w:tcW w:w="794"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27362</w:t>
                  </w:r>
                </w:p>
              </w:tc>
              <w:tc>
                <w:tcPr>
                  <w:tcW w:w="877"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13303</w:t>
                  </w:r>
                </w:p>
              </w:tc>
              <w:tc>
                <w:tcPr>
                  <w:tcW w:w="1020"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6678</w:t>
                  </w:r>
                </w:p>
              </w:tc>
              <w:tc>
                <w:tcPr>
                  <w:tcW w:w="1020" w:type="dxa"/>
                  <w:tcBorders>
                    <w:righ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7381</w:t>
                  </w:r>
                </w:p>
              </w:tc>
              <w:tc>
                <w:tcPr>
                  <w:tcW w:w="794"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26692</w:t>
                  </w:r>
                </w:p>
              </w:tc>
              <w:tc>
                <w:tcPr>
                  <w:tcW w:w="877"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12633</w:t>
                  </w:r>
                </w:p>
              </w:tc>
              <w:tc>
                <w:tcPr>
                  <w:tcW w:w="1020"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6678</w:t>
                  </w:r>
                </w:p>
              </w:tc>
              <w:tc>
                <w:tcPr>
                  <w:tcW w:w="1020" w:type="dxa"/>
                  <w:tcBorders>
                    <w:righ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7381</w:t>
                  </w:r>
                </w:p>
              </w:tc>
              <w:tc>
                <w:tcPr>
                  <w:tcW w:w="877"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670</w:t>
                  </w:r>
                </w:p>
              </w:tc>
            </w:tr>
            <w:tr>
              <w:trPr>
                <w:wAfter w:w="0" w:type="dxa"/>
                <w:trHeight w:hRule="atLeast" w:val="20"/>
              </w:trPr>
              <w:tc>
                <w:tcPr>
                  <w:tcW w:w="1871" w:type="dxa"/>
                  <w:tcBorders>
                    <w:right w:val="single" w:sz="4" w:space="0" w:shadow="0" w:frame="0"/>
                  </w:tcBorders>
                  <w:vAlign w:val="bottom"/>
                </w:tcPr>
                <w:p>
                  <w:pPr>
                    <w:spacing w:before="60" w:after="60"/>
                    <w:rPr>
                      <w:rFonts w:ascii="Arial" w:hAnsi="Arial"/>
                      <w:color w:val="000000"/>
                      <w:sz w:val="16"/>
                    </w:rPr>
                  </w:pPr>
                  <w:r>
                    <w:rPr>
                      <w:rFonts w:ascii="Arial" w:hAnsi="Arial"/>
                      <w:color w:val="000000"/>
                      <w:sz w:val="16"/>
                    </w:rPr>
                    <w:t xml:space="preserve">SRBIJA – JUG  </w:t>
                  </w:r>
                </w:p>
              </w:tc>
              <w:tc>
                <w:tcPr>
                  <w:tcW w:w="794" w:type="dxa"/>
                  <w:tcBorders>
                    <w:left w:val="single" w:sz="4" w:space="0" w:shadow="0" w:frame="0"/>
                  </w:tcBorders>
                  <w:vAlign w:val="bottom"/>
                </w:tcPr>
                <w:p>
                  <w:pPr>
                    <w:spacing w:before="60" w:after="60"/>
                    <w:ind w:right="113"/>
                    <w:jc w:val="right"/>
                    <w:rPr>
                      <w:rFonts w:ascii="Arial" w:hAnsi="Arial"/>
                      <w:color w:val="000000"/>
                      <w:sz w:val="16"/>
                    </w:rPr>
                  </w:pPr>
                  <w:r>
                    <w:rPr>
                      <w:rFonts w:ascii="Arial" w:hAnsi="Arial"/>
                      <w:color w:val="000000"/>
                      <w:sz w:val="16"/>
                    </w:rPr>
                    <w:t>43499</w:t>
                  </w:r>
                </w:p>
              </w:tc>
              <w:tc>
                <w:tcPr>
                  <w:tcW w:w="877" w:type="dxa"/>
                  <w:vAlign w:val="bottom"/>
                </w:tcPr>
                <w:p>
                  <w:pPr>
                    <w:spacing w:before="60" w:after="60"/>
                    <w:ind w:right="113"/>
                    <w:jc w:val="right"/>
                    <w:rPr>
                      <w:rFonts w:ascii="Arial" w:hAnsi="Arial"/>
                      <w:color w:val="000000"/>
                      <w:sz w:val="16"/>
                    </w:rPr>
                  </w:pPr>
                  <w:r>
                    <w:rPr>
                      <w:rFonts w:ascii="Arial" w:hAnsi="Arial"/>
                      <w:color w:val="000000"/>
                      <w:sz w:val="16"/>
                    </w:rPr>
                    <w:t>17038</w:t>
                  </w:r>
                </w:p>
              </w:tc>
              <w:tc>
                <w:tcPr>
                  <w:tcW w:w="1020" w:type="dxa"/>
                  <w:vAlign w:val="bottom"/>
                </w:tcPr>
                <w:p>
                  <w:pPr>
                    <w:spacing w:before="60" w:after="60"/>
                    <w:ind w:right="113"/>
                    <w:jc w:val="right"/>
                    <w:rPr>
                      <w:rFonts w:ascii="Arial" w:hAnsi="Arial"/>
                      <w:color w:val="000000"/>
                      <w:sz w:val="16"/>
                    </w:rPr>
                  </w:pPr>
                  <w:r>
                    <w:rPr>
                      <w:rFonts w:ascii="Arial" w:hAnsi="Arial"/>
                      <w:color w:val="000000"/>
                      <w:sz w:val="16"/>
                    </w:rPr>
                    <w:t>8824</w:t>
                  </w:r>
                </w:p>
              </w:tc>
              <w:tc>
                <w:tcPr>
                  <w:tcW w:w="1020" w:type="dxa"/>
                  <w:tcBorders>
                    <w:right w:val="single" w:sz="4" w:space="0" w:shadow="0" w:frame="0"/>
                  </w:tcBorders>
                  <w:vAlign w:val="bottom"/>
                </w:tcPr>
                <w:p>
                  <w:pPr>
                    <w:spacing w:before="60" w:after="60"/>
                    <w:ind w:right="113"/>
                    <w:jc w:val="right"/>
                    <w:rPr>
                      <w:rFonts w:ascii="Arial" w:hAnsi="Arial"/>
                      <w:color w:val="000000"/>
                      <w:sz w:val="16"/>
                    </w:rPr>
                  </w:pPr>
                  <w:r>
                    <w:rPr>
                      <w:rFonts w:ascii="Arial" w:hAnsi="Arial"/>
                      <w:color w:val="000000"/>
                      <w:sz w:val="16"/>
                    </w:rPr>
                    <w:t>17637</w:t>
                  </w:r>
                </w:p>
              </w:tc>
              <w:tc>
                <w:tcPr>
                  <w:tcW w:w="794" w:type="dxa"/>
                  <w:tcBorders>
                    <w:left w:val="single" w:sz="4" w:space="0" w:shadow="0" w:frame="0"/>
                  </w:tcBorders>
                  <w:vAlign w:val="bottom"/>
                </w:tcPr>
                <w:p>
                  <w:pPr>
                    <w:spacing w:before="60" w:after="60"/>
                    <w:ind w:right="113"/>
                    <w:jc w:val="right"/>
                    <w:rPr>
                      <w:rFonts w:ascii="Arial" w:hAnsi="Arial"/>
                      <w:color w:val="000000"/>
                      <w:sz w:val="16"/>
                    </w:rPr>
                  </w:pPr>
                  <w:r>
                    <w:rPr>
                      <w:rFonts w:ascii="Arial" w:hAnsi="Arial"/>
                      <w:color w:val="000000"/>
                      <w:sz w:val="16"/>
                    </w:rPr>
                    <w:t>50606</w:t>
                  </w:r>
                </w:p>
              </w:tc>
              <w:tc>
                <w:tcPr>
                  <w:tcW w:w="877" w:type="dxa"/>
                  <w:vAlign w:val="bottom"/>
                </w:tcPr>
                <w:p>
                  <w:pPr>
                    <w:spacing w:before="60" w:after="60"/>
                    <w:ind w:right="113"/>
                    <w:jc w:val="right"/>
                    <w:rPr>
                      <w:rFonts w:ascii="Arial" w:hAnsi="Arial"/>
                      <w:color w:val="000000"/>
                      <w:sz w:val="16"/>
                    </w:rPr>
                  </w:pPr>
                  <w:r>
                    <w:rPr>
                      <w:rFonts w:ascii="Arial" w:hAnsi="Arial"/>
                      <w:color w:val="000000"/>
                      <w:sz w:val="16"/>
                    </w:rPr>
                    <w:t>24145</w:t>
                  </w:r>
                </w:p>
              </w:tc>
              <w:tc>
                <w:tcPr>
                  <w:tcW w:w="1020" w:type="dxa"/>
                  <w:vAlign w:val="bottom"/>
                </w:tcPr>
                <w:p>
                  <w:pPr>
                    <w:spacing w:before="60" w:after="60"/>
                    <w:ind w:right="113"/>
                    <w:jc w:val="right"/>
                    <w:rPr>
                      <w:rFonts w:ascii="Arial" w:hAnsi="Arial"/>
                      <w:color w:val="000000"/>
                      <w:sz w:val="16"/>
                    </w:rPr>
                  </w:pPr>
                  <w:r>
                    <w:rPr>
                      <w:rFonts w:ascii="Arial" w:hAnsi="Arial"/>
                      <w:color w:val="000000"/>
                      <w:sz w:val="16"/>
                    </w:rPr>
                    <w:t>8824</w:t>
                  </w:r>
                </w:p>
              </w:tc>
              <w:tc>
                <w:tcPr>
                  <w:tcW w:w="1020" w:type="dxa"/>
                  <w:tcBorders>
                    <w:right w:val="single" w:sz="4" w:space="0" w:shadow="0" w:frame="0"/>
                  </w:tcBorders>
                  <w:vAlign w:val="bottom"/>
                </w:tcPr>
                <w:p>
                  <w:pPr>
                    <w:spacing w:before="60" w:after="60"/>
                    <w:ind w:right="113"/>
                    <w:jc w:val="right"/>
                    <w:rPr>
                      <w:rFonts w:ascii="Arial" w:hAnsi="Arial"/>
                      <w:color w:val="000000"/>
                      <w:sz w:val="16"/>
                    </w:rPr>
                  </w:pPr>
                  <w:r>
                    <w:rPr>
                      <w:rFonts w:ascii="Arial" w:hAnsi="Arial"/>
                      <w:color w:val="000000"/>
                      <w:sz w:val="16"/>
                    </w:rPr>
                    <w:t>17637</w:t>
                  </w:r>
                </w:p>
              </w:tc>
              <w:tc>
                <w:tcPr>
                  <w:tcW w:w="877" w:type="dxa"/>
                  <w:tcBorders>
                    <w:left w:val="single" w:sz="4" w:space="0" w:shadow="0" w:frame="0"/>
                  </w:tcBorders>
                  <w:vAlign w:val="bottom"/>
                </w:tcPr>
                <w:p>
                  <w:pPr>
                    <w:spacing w:before="60" w:after="60"/>
                    <w:ind w:right="113"/>
                    <w:jc w:val="right"/>
                    <w:rPr>
                      <w:rFonts w:ascii="Arial" w:hAnsi="Arial"/>
                      <w:color w:val="000000"/>
                      <w:sz w:val="16"/>
                    </w:rPr>
                  </w:pPr>
                  <w:r>
                    <w:rPr>
                      <w:rFonts w:ascii="Arial" w:hAnsi="Arial"/>
                      <w:color w:val="000000"/>
                      <w:sz w:val="16"/>
                    </w:rPr>
                    <w:t>-7107</w:t>
                  </w:r>
                </w:p>
              </w:tc>
            </w:tr>
            <w:tr>
              <w:trPr>
                <w:wAfter w:w="0" w:type="dxa"/>
                <w:trHeight w:hRule="atLeast" w:val="20"/>
              </w:trPr>
              <w:tc>
                <w:tcPr>
                  <w:tcW w:w="1871" w:type="dxa"/>
                  <w:tcBorders>
                    <w:right w:val="single" w:sz="4" w:space="0" w:shadow="0" w:frame="0"/>
                  </w:tcBorders>
                  <w:shd w:val="clear" w:color="000000" w:fill="FFFFFF"/>
                  <w:vAlign w:val="bottom"/>
                </w:tcPr>
                <w:p>
                  <w:pPr>
                    <w:spacing w:before="60" w:after="60"/>
                    <w:rPr>
                      <w:rFonts w:ascii="Arial" w:hAnsi="Arial"/>
                      <w:b w:val="1"/>
                      <w:color w:val="000000"/>
                      <w:sz w:val="16"/>
                    </w:rPr>
                  </w:pPr>
                  <w:r>
                    <w:rPr>
                      <w:rFonts w:ascii="Arial" w:hAnsi="Arial"/>
                      <w:b w:val="1"/>
                      <w:color w:val="000000"/>
                      <w:sz w:val="16"/>
                    </w:rPr>
                    <w:t>Region Šumadije i Zapadne Srbije</w:t>
                  </w:r>
                </w:p>
              </w:tc>
              <w:tc>
                <w:tcPr>
                  <w:tcW w:w="794"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24964</w:t>
                  </w:r>
                </w:p>
              </w:tc>
              <w:tc>
                <w:tcPr>
                  <w:tcW w:w="877"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8931</w:t>
                  </w:r>
                </w:p>
              </w:tc>
              <w:tc>
                <w:tcPr>
                  <w:tcW w:w="1020"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4474</w:t>
                  </w:r>
                </w:p>
              </w:tc>
              <w:tc>
                <w:tcPr>
                  <w:tcW w:w="1020" w:type="dxa"/>
                  <w:tcBorders>
                    <w:righ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11559</w:t>
                  </w:r>
                </w:p>
              </w:tc>
              <w:tc>
                <w:tcPr>
                  <w:tcW w:w="794"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29051</w:t>
                  </w:r>
                </w:p>
              </w:tc>
              <w:tc>
                <w:tcPr>
                  <w:tcW w:w="877"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13018</w:t>
                  </w:r>
                </w:p>
              </w:tc>
              <w:tc>
                <w:tcPr>
                  <w:tcW w:w="1020"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4474</w:t>
                  </w:r>
                </w:p>
              </w:tc>
              <w:tc>
                <w:tcPr>
                  <w:tcW w:w="1020" w:type="dxa"/>
                  <w:tcBorders>
                    <w:righ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11559</w:t>
                  </w:r>
                </w:p>
              </w:tc>
              <w:tc>
                <w:tcPr>
                  <w:tcW w:w="877"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-4087</w:t>
                  </w:r>
                </w:p>
              </w:tc>
            </w:tr>
            <w:tr>
              <w:trPr>
                <w:wAfter w:w="0" w:type="dxa"/>
                <w:trHeight w:hRule="atLeast" w:val="20"/>
              </w:trPr>
              <w:tc>
                <w:tcPr>
                  <w:tcW w:w="1871" w:type="dxa"/>
                  <w:tcBorders>
                    <w:right w:val="single" w:sz="4" w:space="0" w:shadow="0" w:frame="0"/>
                  </w:tcBorders>
                  <w:shd w:val="clear" w:color="000000" w:fill="FFFFFF"/>
                  <w:vAlign w:val="bottom"/>
                </w:tcPr>
                <w:p>
                  <w:pPr>
                    <w:spacing w:before="60" w:after="60"/>
                    <w:rPr>
                      <w:rFonts w:ascii="Arial" w:hAnsi="Arial"/>
                      <w:b w:val="1"/>
                      <w:color w:val="000000"/>
                      <w:sz w:val="16"/>
                    </w:rPr>
                  </w:pPr>
                  <w:r>
                    <w:rPr>
                      <w:rFonts w:ascii="Arial" w:hAnsi="Arial"/>
                      <w:b w:val="1"/>
                      <w:color w:val="000000"/>
                      <w:sz w:val="16"/>
                    </w:rPr>
                    <w:t>Region Južne i Istočne Srbije</w:t>
                  </w:r>
                </w:p>
              </w:tc>
              <w:tc>
                <w:tcPr>
                  <w:tcW w:w="794"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18535</w:t>
                  </w:r>
                </w:p>
              </w:tc>
              <w:tc>
                <w:tcPr>
                  <w:tcW w:w="877"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8107</w:t>
                  </w:r>
                </w:p>
              </w:tc>
              <w:tc>
                <w:tcPr>
                  <w:tcW w:w="1020"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4350</w:t>
                  </w:r>
                </w:p>
              </w:tc>
              <w:tc>
                <w:tcPr>
                  <w:tcW w:w="1020" w:type="dxa"/>
                  <w:tcBorders>
                    <w:righ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6078</w:t>
                  </w:r>
                </w:p>
              </w:tc>
              <w:tc>
                <w:tcPr>
                  <w:tcW w:w="794"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21555</w:t>
                  </w:r>
                </w:p>
              </w:tc>
              <w:tc>
                <w:tcPr>
                  <w:tcW w:w="877"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11127</w:t>
                  </w:r>
                </w:p>
              </w:tc>
              <w:tc>
                <w:tcPr>
                  <w:tcW w:w="1020" w:type="dxa"/>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4350</w:t>
                  </w:r>
                </w:p>
              </w:tc>
              <w:tc>
                <w:tcPr>
                  <w:tcW w:w="1020" w:type="dxa"/>
                  <w:tcBorders>
                    <w:righ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6078</w:t>
                  </w:r>
                </w:p>
              </w:tc>
              <w:tc>
                <w:tcPr>
                  <w:tcW w:w="877" w:type="dxa"/>
                  <w:tcBorders>
                    <w:left w:val="single" w:sz="4" w:space="0" w:shadow="0" w:frame="0"/>
                  </w:tcBorders>
                  <w:shd w:val="clear" w:color="000000" w:fill="FFFFFF"/>
                  <w:vAlign w:val="bottom"/>
                </w:tcPr>
                <w:p>
                  <w:pPr>
                    <w:spacing w:before="60" w:after="60"/>
                    <w:ind w:right="113"/>
                    <w:jc w:val="right"/>
                    <w:rPr>
                      <w:rFonts w:ascii="Arial" w:hAnsi="Arial"/>
                      <w:b w:val="1"/>
                      <w:color w:val="000000"/>
                      <w:sz w:val="16"/>
                    </w:rPr>
                  </w:pPr>
                  <w:r>
                    <w:rPr>
                      <w:rFonts w:ascii="Arial" w:hAnsi="Arial"/>
                      <w:b w:val="1"/>
                      <w:color w:val="000000"/>
                      <w:sz w:val="16"/>
                    </w:rPr>
                    <w:t>-3020</w:t>
                  </w:r>
                </w:p>
              </w:tc>
            </w:tr>
          </w:tbl>
          <w:p>
            <w:pPr>
              <w:spacing w:after="60"/>
              <w:jc w:val="both"/>
              <w:rPr>
                <w:rFonts w:ascii="Arial" w:hAnsi="Arial"/>
                <w:b w:val="1"/>
                <w:sz w:val="20"/>
              </w:rPr>
            </w:pPr>
          </w:p>
          <w:p>
            <w:pPr>
              <w:shd w:val="clear" w:fill="FFFFFF"/>
              <w:spacing w:before="120" w:after="120"/>
              <w:jc w:val="both"/>
              <w:rPr>
                <w:rFonts w:ascii="Arial" w:hAnsi="Arial"/>
                <w:color w:val="242424"/>
                <w:sz w:val="20"/>
              </w:rPr>
            </w:pPr>
          </w:p>
          <w:p>
            <w:pPr>
              <w:spacing w:before="120" w:after="120"/>
              <w:jc w:val="both"/>
              <w:rPr>
                <w:rFonts w:ascii="Arial" w:hAnsi="Arial"/>
                <w:sz w:val="20"/>
              </w:rPr>
            </w:pPr>
            <w:r>
              <w:rPr>
                <w:rFonts w:ascii="Arial" w:hAnsi="Arial"/>
                <w:sz w:val="20"/>
              </w:rPr>
              <w:t xml:space="preserve">From the total of 169 municipalities/cities of the Republic of Serbia, 38 municipalities/cities expressed a positive migration balance in 2017, while in 130 municipalities/cities the migration balance was negative, and in one municipalitz the number of persons who moved to and moved out during 2017 was equal, thus the migration balance equallled 0.   </w:t>
            </w:r>
          </w:p>
          <w:p>
            <w:pPr>
              <w:spacing w:before="120" w:after="120"/>
              <w:jc w:val="both"/>
              <w:rPr>
                <w:rFonts w:ascii="Arial" w:hAnsi="Arial"/>
                <w:color w:val="FF0000"/>
                <w:sz w:val="20"/>
              </w:rPr>
            </w:pPr>
            <w:r>
              <w:rPr>
                <w:rFonts w:ascii="Arial" w:hAnsi="Arial"/>
                <w:sz w:val="20"/>
              </w:rPr>
              <w:t>The municipality of Zvezdara was notable for its largest positive migration balance that was noted to be 2 231, followed by the municipality of Novi Sad where the positive migration balance was 2 084, municipality Palilula (Grad Beograd), 1 601, municipality Voždovac, 899 etc.</w:t>
            </w:r>
          </w:p>
          <w:p>
            <w:pPr>
              <w:spacing w:before="120" w:after="120"/>
              <w:jc w:val="both"/>
              <w:rPr>
                <w:rFonts w:ascii="Arial" w:hAnsi="Arial"/>
                <w:sz w:val="20"/>
              </w:rPr>
            </w:pPr>
            <w:r>
              <w:rPr>
                <w:rFonts w:ascii="Arial" w:hAnsi="Arial"/>
                <w:sz w:val="20"/>
              </w:rPr>
              <w:t>A larger number of persons that moved out in relation to those that moved in was the most expressive for the territory of the municipality of Stari grad, where the migration balance was noted to be -419, followed by the municipalities of Kraljevo (-385), Savski venac (-373), Leskovac (-363), Smederevo (-350), Užice (-330), etc.</w:t>
            </w:r>
          </w:p>
          <w:p>
            <w:pPr>
              <w:spacing w:before="120" w:after="120"/>
              <w:jc w:val="both"/>
              <w:rPr>
                <w:rFonts w:ascii="Arial" w:hAnsi="Arial"/>
                <w:sz w:val="20"/>
              </w:rPr>
            </w:pPr>
            <w:r>
              <w:rPr>
                <w:rFonts w:ascii="Arial" w:hAnsi="Arial"/>
                <w:sz w:val="20"/>
              </w:rPr>
              <w:t>Regarding economic activity, 56.7% of migrants are supported persons, 34.7% are active persons, while the share of persons with personal income equals 8.6%.</w:t>
            </w:r>
          </w:p>
          <w:p>
            <w:pPr>
              <w:spacing w:lineRule="auto" w:line="276" w:after="200"/>
              <w:jc w:val="both"/>
              <w:rPr>
                <w:rFonts w:ascii="Arial" w:hAnsi="Arial"/>
                <w:sz w:val="20"/>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rPr>
        <w:wAfter w:w="0" w:type="dxa"/>
      </w:trPr>
      <w:tc>
        <w:tcPr>
          <w:tcW w:w="5868" w:type="dxa"/>
        </w:tcPr>
        <w:p>
          <w:pPr>
            <w:jc w:val="both"/>
            <w:rPr>
              <w:rFonts w:ascii="Tahoma" w:hAnsi="Tahoma"/>
              <w:sz w:val="22"/>
            </w:rPr>
          </w:pPr>
        </w:p>
      </w:tc>
      <w:tc>
        <w:tcPr>
          <w:tcW w:w="5400" w:type="dxa"/>
        </w:tcPr>
        <w:p>
          <w:pPr>
            <w:jc w:val="both"/>
            <w:rPr>
              <w:rFonts w:ascii="Tahoma" w:hAnsi="Tahoma"/>
              <w:sz w:val="20"/>
            </w:rPr>
          </w:pPr>
        </w:p>
      </w:tc>
    </w:tr>
  </w:tbl>
  <w:p>
    <w:pPr>
      <w:rPr>
        <w:rFonts w:ascii="Arial" w:hAnsi="Arial"/>
        <w:sz w:val="16"/>
      </w:rPr>
    </w:pP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sz w:val="20"/>
                  </w:rPr>
                </w:pPr>
                <w:r>
                  <w:rPr>
                    <w:rFonts w:ascii="Tahoma" w:hAnsi="Tahoma"/>
                    <w:sz w:val="20"/>
                  </w:rPr>
                  <w:t>Contact:</w:t>
                </w:r>
              </w:p>
              <w:p>
                <w:pPr>
                  <w:jc w:val="both"/>
                  <w:rPr>
                    <w:rFonts w:ascii="Tahoma" w:hAnsi="Tahoma"/>
                    <w:sz w:val="20"/>
                  </w:rPr>
                </w:pPr>
                <w:r>
                  <w:rPr>
                    <w:rFonts w:ascii="Tahoma" w:hAnsi="Tahoma"/>
                    <w:sz w:val="20"/>
                  </w:rPr>
                  <w:t>Gordana Bjelobrk, Head</w:t>
                </w:r>
              </w:p>
              <w:p>
                <w:pPr>
                  <w:rPr>
                    <w:rFonts w:ascii="Tahoma" w:hAnsi="Tahoma"/>
                    <w:sz w:val="20"/>
                  </w:rPr>
                </w:pPr>
                <w:r>
                  <w:rPr>
                    <w:rFonts w:ascii="Tahoma" w:hAnsi="Tahoma"/>
                    <w:sz w:val="20"/>
                  </w:rPr>
                  <w:t xml:space="preserve">Demography Division </w:t>
                </w:r>
              </w:p>
              <w:p>
                <w:pPr>
                  <w:jc w:val="both"/>
                  <w:rPr>
                    <w:rFonts w:ascii="Tahoma" w:hAnsi="Tahoma"/>
                    <w:sz w:val="20"/>
                  </w:rPr>
                </w:pPr>
                <w:r>
                  <w:rPr>
                    <w:rFonts w:ascii="Tahoma" w:hAnsi="Tahoma"/>
                    <w:sz w:val="20"/>
                  </w:rPr>
                  <w:t>Phone: +381 11 2412-922, Ext. 248</w:t>
                </w:r>
              </w:p>
              <w:p>
                <w:pPr>
                  <w:jc w:val="both"/>
                  <w:rPr>
                    <w:rFonts w:ascii="Tahoma" w:hAnsi="Tahoma"/>
                    <w:sz w:val="20"/>
                  </w:rPr>
                </w:pPr>
                <w:r>
                  <w:rPr>
                    <w:rFonts w:ascii="Tahoma" w:hAnsi="Tahoma"/>
                    <w:sz w:val="20"/>
                  </w:rPr>
                  <w:t>e-mail gordana.bjelobrk@stat.gov.rs</w:t>
                </w:r>
              </w:p>
              <w:p>
                <w:pPr>
                  <w:jc w:val="both"/>
                  <w:rPr>
                    <w:rFonts w:ascii="Tahoma" w:hAnsi="Tahoma"/>
                    <w:sz w:val="20"/>
                  </w:rPr>
                </w:pPr>
              </w:p>
              <w:p>
                <w:pPr>
                  <w:jc w:val="both"/>
                  <w:rPr>
                    <w:rFonts w:ascii="Tahoma" w:hAnsi="Tahoma"/>
                    <w:sz w:val="20"/>
                  </w:rPr>
                </w:pPr>
                <w:r>
                  <w:rPr>
                    <w:rFonts w:ascii="Tahoma" w:hAnsi="Tahoma"/>
                    <w:sz w:val="20"/>
                  </w:rPr>
                  <w:t>Information and dissemination unit</w:t>
                </w:r>
              </w:p>
              <w:p>
                <w:pPr>
                  <w:jc w:val="both"/>
                  <w:rPr>
                    <w:rFonts w:ascii="Tahoma" w:hAnsi="Tahoma"/>
                    <w:sz w:val="20"/>
                  </w:rPr>
                </w:pPr>
                <w:r>
                  <w:rPr>
                    <w:rFonts w:ascii="Tahoma" w:hAnsi="Tahoma"/>
                    <w:sz w:val="20"/>
                  </w:rPr>
                  <w:t>Phone: +381 11 2401-284</w:t>
                </w:r>
              </w:p>
              <w:p>
                <w:pPr>
                  <w:jc w:val="both"/>
                  <w:rPr>
                    <w:rFonts w:ascii="Tahoma" w:hAnsi="Tahoma"/>
                    <w:sz w:val="20"/>
                  </w:rPr>
                </w:pPr>
                <w:r>
                  <w:rPr>
                    <w:rFonts w:ascii="Tahoma" w:hAnsi="Tahoma"/>
                    <w:sz w:val="20"/>
                  </w:rPr>
                  <w:t>stat@stat.gov.rs</w:t>
                </w:r>
              </w:p>
              <w:p>
                <w:pPr>
                  <w:jc w:val="both"/>
                  <w:rPr>
                    <w:rFonts w:ascii="Tahoma" w:hAnsi="Tahoma"/>
                    <w:sz w:val="20"/>
                  </w:rPr>
                </w:pPr>
              </w:p>
            </w:tc>
            <w:tc>
              <w:tcPr>
                <w:tcW w:w="5400" w:type="dxa"/>
              </w:tcPr>
              <w:p>
                <w:pPr>
                  <w:jc w:val="center"/>
                  <w:rPr>
                    <w:rFonts w:ascii="Tahoma" w:hAnsi="Tahoma"/>
                    <w:sz w:val="20"/>
                  </w:rPr>
                </w:pPr>
                <w:r>
                  <w:rPr>
                    <w:rFonts w:ascii="Tahoma" w:hAnsi="Tahoma"/>
                    <w:sz w:val="20"/>
                  </w:rPr>
                  <w:t xml:space="preserve">       Director</w:t>
                </w:r>
              </w:p>
              <w:p>
                <w:pPr>
                  <w:jc w:val="center"/>
                  <w:rPr>
                    <w:rFonts w:ascii="Tahoma" w:hAnsi="Tahoma"/>
                    <w:color w:val="808080"/>
                    <w:sz w:val="20"/>
                  </w:rPr>
                </w:pPr>
                <w:r>
                  <w:rPr>
                    <w:rFonts w:ascii="Tahoma" w:hAnsi="Tahoma"/>
                    <w:sz w:val="20"/>
                  </w:rPr>
                  <w:t xml:space="preserve">      Dr Miladin Kovačević</w:t>
                </w:r>
              </w:p>
              <w:p>
                <w:pPr>
                  <w:jc w:val="both"/>
                  <w:rPr>
                    <w:rFonts w:ascii="Tahoma" w:hAnsi="Tahoma"/>
                    <w:sz w:val="20"/>
                  </w:rPr>
                </w:pPr>
              </w:p>
            </w:tc>
          </w:tr>
        </w:tbl>
        <w:p>
          <w:pPr>
            <w:rPr>
              <w:rFonts w:ascii="Arial" w:hAnsi="Arial"/>
              <w:sz w:val="20"/>
            </w:rPr>
          </w:pPr>
          <w:r>
            <w:rPr>
              <w:rFonts w:ascii="Arial" w:hAnsi="Arial"/>
              <w:sz w:val="20"/>
            </w:rPr>
            <w:t xml:space="preserve"> </w:t>
          </w: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3"/>
        <w:ind w:hanging="142" w:left="142"/>
        <w:jc w:val="both"/>
        <w:rPr>
          <w:rFonts w:ascii="Arial" w:hAnsi="Arial"/>
          <w:sz w:val="16"/>
        </w:rPr>
      </w:pPr>
      <w:r>
        <w:rPr>
          <w:rStyle w:val="C4"/>
          <w:rFonts w:ascii="Times New Roman" w:hAnsi="Times New Roman"/>
          <w:sz w:val="16"/>
        </w:rPr>
        <w:footnoteRef/>
      </w:r>
      <w:r>
        <w:rPr>
          <w:rFonts w:ascii="Arial" w:hAnsi="Arial"/>
          <w:sz w:val="16"/>
        </w:rPr>
        <w:t xml:space="preserve"> According to the Law on Citizens’ residence and domicile (“Official Gazette of the Republic of Serbia” number 87/201), residence is „the palce in which a citizen has settled in with the intention to live in permanently, i.e. place i which is the centre of her/his every day activities, professional, economic, social and other relationships prooving her/his permanent connection with the place she/he has settled in“. </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1"/>
            <w:ind w:right="972"/>
            <w:rPr>
              <w:rFonts w:ascii="Tahoma" w:hAnsi="Tahoma"/>
              <w:sz w:val="20"/>
            </w:rPr>
          </w:pPr>
          <w:r>
            <w:drawing>
              <wp:inline xmlns:wp="http://schemas.openxmlformats.org/drawingml/2006/wordprocessingDrawing">
                <wp:extent cx="1564005" cy="70993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1"/>
            <w:rPr>
              <w:rFonts w:ascii="Tahoma" w:hAnsi="Tahoma"/>
              <w:sz w:val="20"/>
            </w:rPr>
          </w:pPr>
          <w:r>
            <w:rPr>
              <w:rFonts w:ascii="Tahoma" w:hAnsi="Tahoma"/>
              <w:sz w:val="20"/>
            </w:rPr>
            <w:t>Statistical Office of the Republic of Serbia</w:t>
          </w:r>
        </w:p>
      </w:tc>
      <w:tc>
        <w:tcPr>
          <w:tcW w:w="6120" w:type="dxa"/>
        </w:tcPr>
        <w:p>
          <w:pPr>
            <w:pStyle w:val="P1"/>
            <w:jc w:val="right"/>
            <w:rPr>
              <w:rFonts w:ascii="Tahoma" w:hAnsi="Tahoma"/>
              <w:sz w:val="32"/>
            </w:rPr>
          </w:pPr>
          <w:r>
            <w:rPr>
              <w:rFonts w:ascii="Tahoma" w:hAnsi="Tahoma"/>
              <w:sz w:val="32"/>
            </w:rPr>
            <w:t>Press Release</w:t>
          </w:r>
        </w:p>
        <w:p>
          <w:pPr>
            <w:pStyle w:val="P1"/>
            <w:jc w:val="right"/>
            <w:rPr>
              <w:rFonts w:ascii="Tahoma" w:hAnsi="Tahoma"/>
            </w:rPr>
          </w:pPr>
        </w:p>
        <w:p>
          <w:pPr>
            <w:pStyle w:val="P1"/>
            <w:jc w:val="right"/>
            <w:rPr>
              <w:rFonts w:ascii="Tahoma" w:hAnsi="Tahoma"/>
              <w:sz w:val="20"/>
            </w:rPr>
          </w:pPr>
          <w:r>
            <w:rPr>
              <w:rFonts w:ascii="Tahoma" w:hAnsi="Tahoma"/>
              <w:sz w:val="20"/>
            </w:rPr>
            <w:t>Belgrade, Milana Rakica 5</w:t>
          </w:r>
        </w:p>
        <w:p>
          <w:pPr>
            <w:pStyle w:val="P1"/>
            <w:jc w:val="right"/>
            <w:rPr>
              <w:rFonts w:ascii="Tahoma" w:hAnsi="Tahoma"/>
              <w:sz w:val="20"/>
            </w:rPr>
          </w:pPr>
          <w:r>
            <w:rPr>
              <w:rFonts w:ascii="Tahoma" w:hAnsi="Tahoma"/>
              <w:sz w:val="20"/>
            </w:rPr>
            <w:t>Phone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0"/>
            </w:rPr>
          </w:pPr>
          <w:r>
            <w:rPr>
              <w:rFonts w:ascii="Tahoma" w:hAnsi="Tahoma"/>
              <w:sz w:val="20"/>
            </w:rPr>
            <w:t xml:space="preserve">Press release page </w:t>
          </w:r>
          <w:r>
            <w:rPr>
              <w:rStyle w:val="C6"/>
              <w:rFonts w:ascii="Tahoma" w:hAnsi="Tahoma"/>
              <w:sz w:val="20"/>
            </w:rPr>
            <w:t>2</w:t>
          </w:r>
        </w:p>
        <w:p>
          <w:pPr>
            <w:pStyle w:val="P1"/>
            <w:jc w:val="right"/>
            <w:rPr>
              <w:rFonts w:ascii="Tahoma" w:hAnsi="Tahoma"/>
            </w:rPr>
          </w:pPr>
        </w:p>
        <w:p>
          <w:pPr>
            <w:pStyle w:val="P1"/>
            <w:jc w:val="right"/>
            <w:rPr>
              <w:rFonts w:ascii="Tahoma" w:hAnsi="Tahoma"/>
              <w:sz w:val="20"/>
            </w:rPr>
          </w:pPr>
        </w:p>
      </w:tc>
    </w:tr>
  </w:tbl>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link w:val="C3"/>
    <w:pPr>
      <w:tabs>
        <w:tab w:val="center" w:pos="4320" w:leader="none"/>
        <w:tab w:val="right" w:pos="8640" w:leader="none"/>
      </w:tabs>
    </w:pPr>
    <w:rPr/>
  </w:style>
  <w:style w:type="paragraph" w:styleId="P3">
    <w:name w:val="Footnote Text"/>
    <w:basedOn w:val="P0"/>
    <w:next w:val="P3"/>
    <w:link w:val="C7"/>
    <w:pPr/>
    <w:rPr>
      <w:sz w:val="20"/>
    </w:rPr>
  </w:style>
  <w:style w:type="paragraph" w:styleId="P4">
    <w:name w:val="Balloon Text"/>
    <w:basedOn w:val="P0"/>
    <w:next w:val="P4"/>
    <w:link w:val="C5"/>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er Char"/>
    <w:link w:val="P2"/>
    <w:rPr/>
  </w:style>
  <w:style w:type="character" w:styleId="C4">
    <w:name w:val="Footnote Reference"/>
    <w:rPr>
      <w:vertAlign w:val="superscript"/>
    </w:rPr>
  </w:style>
  <w:style w:type="character" w:styleId="C5">
    <w:name w:val="Balloon Text Char"/>
    <w:link w:val="P4"/>
    <w:rPr>
      <w:rFonts w:ascii="Tahoma" w:hAnsi="Tahoma"/>
      <w:sz w:val="16"/>
    </w:rPr>
  </w:style>
  <w:style w:type="character" w:styleId="C6">
    <w:name w:val="Page Number"/>
    <w:basedOn w:val="C0"/>
    <w:rPr/>
  </w:style>
  <w:style w:type="character" w:styleId="C7">
    <w:name w:val="Footnote Text Char"/>
    <w:basedOn w:val="C0"/>
    <w:link w:val="P3"/>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2018-06-28T08:11:00Z</dcterms:created>
  <cp:lastModifiedBy>Nikola Kapetanovic</cp:lastModifiedBy>
  <cp:lastPrinted>2017-06-30T08:56:00Z</cp:lastPrinted>
  <dcterms:modified xsi:type="dcterms:W3CDTF">2020-01-10T11:38:04Z</dcterms:modified>
  <cp:revision>3</cp:revision>
  <dc:title>29</dc:title>
</cp:coreProperties>
</file>