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865B0" w:rsidRPr="0058634B" w:rsidTr="00A5248F">
        <w:trPr>
          <w:jc w:val="center"/>
        </w:trPr>
        <w:tc>
          <w:tcPr>
            <w:tcW w:w="10299" w:type="dxa"/>
          </w:tcPr>
          <w:p w:rsidR="008865B0" w:rsidRPr="0058634B" w:rsidRDefault="0015580A" w:rsidP="003447B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29</w:t>
            </w:r>
            <w:r w:rsidR="008865B0" w:rsidRPr="0058634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865B0">
              <w:rPr>
                <w:rFonts w:ascii="Arial" w:hAnsi="Arial" w:cs="Arial"/>
                <w:sz w:val="22"/>
                <w:szCs w:val="22"/>
                <w:lang w:val="en-GB"/>
              </w:rPr>
              <w:t>June</w:t>
            </w:r>
            <w:r w:rsidR="008865B0" w:rsidRPr="0058634B">
              <w:rPr>
                <w:rFonts w:ascii="Arial" w:hAnsi="Arial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  <w:p w:rsidR="008865B0" w:rsidRPr="0058634B" w:rsidRDefault="008865B0" w:rsidP="00072A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8865B0" w:rsidRPr="0058634B" w:rsidRDefault="008865B0" w:rsidP="000A7EF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8865B0" w:rsidRPr="00DC1BB6" w:rsidRDefault="008865B0" w:rsidP="00586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BB6">
              <w:rPr>
                <w:rFonts w:ascii="Arial" w:hAnsi="Arial" w:cs="Arial"/>
                <w:b/>
                <w:bCs/>
                <w:lang w:val="en-GB"/>
              </w:rPr>
              <w:t>Estimates of population</w:t>
            </w:r>
            <w:r w:rsidR="00A5248F">
              <w:rPr>
                <w:rStyle w:val="FootnoteReference"/>
                <w:rFonts w:ascii="Arial" w:hAnsi="Arial" w:cs="Arial"/>
                <w:b/>
                <w:bCs/>
                <w:lang w:val="en-GB"/>
              </w:rPr>
              <w:footnoteReference w:id="1"/>
            </w:r>
            <w:r w:rsidRPr="00DC1BB6">
              <w:rPr>
                <w:rFonts w:ascii="Arial" w:hAnsi="Arial" w:cs="Arial"/>
                <w:b/>
                <w:bCs/>
                <w:lang w:val="en-GB"/>
              </w:rPr>
              <w:t>, 201</w:t>
            </w:r>
            <w:r w:rsidR="0015580A">
              <w:rPr>
                <w:rFonts w:ascii="Arial" w:hAnsi="Arial" w:cs="Arial"/>
                <w:b/>
                <w:bCs/>
                <w:lang w:val="en-GB"/>
              </w:rPr>
              <w:t>7</w:t>
            </w:r>
          </w:p>
          <w:p w:rsidR="008865B0" w:rsidRPr="00DC1BB6" w:rsidRDefault="008865B0" w:rsidP="00D941D5">
            <w:pPr>
              <w:ind w:hanging="74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65B0" w:rsidRDefault="008865B0" w:rsidP="00A5248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5960">
              <w:rPr>
                <w:rFonts w:ascii="Arial" w:hAnsi="Arial" w:cs="Arial"/>
                <w:sz w:val="20"/>
                <w:szCs w:val="20"/>
                <w:lang w:val="en-GB"/>
              </w:rPr>
              <w:t xml:space="preserve">The Statistical Office of the Republic of Serbia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publishes</w:t>
            </w:r>
            <w:r w:rsidRPr="00A15960">
              <w:rPr>
                <w:rFonts w:ascii="Arial" w:hAnsi="Arial" w:cs="Arial"/>
                <w:sz w:val="20"/>
                <w:szCs w:val="20"/>
                <w:lang w:val="en-GB"/>
              </w:rPr>
              <w:t xml:space="preserve"> the estimates of the number of population of the Republic of Serbia by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age, sex</w:t>
            </w:r>
            <w:r w:rsidR="00C20BB2">
              <w:rPr>
                <w:rFonts w:ascii="Arial" w:hAnsi="Arial" w:cs="Arial"/>
                <w:sz w:val="20"/>
                <w:szCs w:val="20"/>
                <w:lang w:val="en-GB"/>
              </w:rPr>
              <w:t xml:space="preserve"> and type of settlement for 201</w:t>
            </w:r>
            <w:r w:rsidR="0015580A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on the level of </w:t>
            </w:r>
            <w:r w:rsidRPr="00A15960">
              <w:rPr>
                <w:rFonts w:ascii="Arial" w:hAnsi="Arial" w:cs="Arial"/>
                <w:sz w:val="20"/>
                <w:szCs w:val="20"/>
                <w:lang w:val="en-GB"/>
              </w:rPr>
              <w:t>regions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areas and </w:t>
            </w:r>
            <w:r w:rsidR="00C20BB2">
              <w:rPr>
                <w:rFonts w:ascii="Arial" w:hAnsi="Arial" w:cs="Arial"/>
                <w:sz w:val="20"/>
                <w:szCs w:val="20"/>
                <w:lang w:val="en-GB"/>
              </w:rPr>
              <w:t>cities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-municipalities</w:t>
            </w:r>
            <w:r w:rsidRPr="00A15960">
              <w:rPr>
                <w:rFonts w:ascii="Arial" w:hAnsi="Arial" w:cs="Arial"/>
                <w:sz w:val="20"/>
                <w:szCs w:val="20"/>
                <w:lang w:val="en-GB"/>
              </w:rPr>
              <w:t xml:space="preserve">. The estimates were calculated on the basis of 2011 Census of Population, Households and Dwellings and the data on natural and mechanic movements of population (internal migrations).   </w:t>
            </w:r>
          </w:p>
          <w:p w:rsidR="008865B0" w:rsidRPr="00A5248F" w:rsidRDefault="008865B0" w:rsidP="00A5248F">
            <w:pPr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8865B0" w:rsidRPr="00A5248F" w:rsidRDefault="008865B0" w:rsidP="00A5248F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</w:pP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The estimated number of population of the Republic of Serbia</w:t>
            </w:r>
            <w:r w:rsidR="0015580A"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in 2017 </w:t>
            </w: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is </w:t>
            </w:r>
            <w:r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7</w:t>
            </w:r>
            <w:r w:rsidR="00D048F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 </w:t>
            </w:r>
            <w:r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0</w:t>
            </w:r>
            <w:r w:rsidR="0015580A"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20</w:t>
            </w:r>
            <w:r w:rsidR="00D048F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 </w:t>
            </w:r>
            <w:r w:rsidR="0015580A"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858</w:t>
            </w: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inhabitants, of which the share of females equalled </w:t>
            </w:r>
            <w:r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 xml:space="preserve">51.3% </w:t>
            </w: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(</w:t>
            </w:r>
            <w:r w:rsidR="0015580A"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3</w:t>
            </w:r>
            <w:r w:rsidR="00D048F8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 </w:t>
            </w:r>
            <w:r w:rsidR="0015580A"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601</w:t>
            </w:r>
            <w:r w:rsidR="00D048F8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 </w:t>
            </w:r>
            <w:r w:rsidR="0015580A"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043</w:t>
            </w: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) and of males </w:t>
            </w:r>
            <w:r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 xml:space="preserve">48.7% </w:t>
            </w: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(</w:t>
            </w:r>
            <w:r w:rsidR="002B07F1"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3</w:t>
            </w:r>
            <w:r w:rsidR="00D048F8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 </w:t>
            </w:r>
            <w:r w:rsidR="002B07F1"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419</w:t>
            </w:r>
            <w:r w:rsidR="00D048F8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 </w:t>
            </w:r>
            <w:r w:rsidR="002B07F1"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815</w:t>
            </w: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). The trend of depopulation went on, which means that the coefficient of population increase was negative when related to the previous year, i.e. equalled </w:t>
            </w:r>
            <w:r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-5.</w:t>
            </w:r>
            <w:r w:rsidR="002B07F1"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3</w:t>
            </w:r>
            <w:r w:rsidRPr="00A5248F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n-GB"/>
              </w:rPr>
              <w:t>‰.</w:t>
            </w:r>
            <w:r w:rsidRPr="00A5248F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</w:p>
          <w:p w:rsidR="008865B0" w:rsidRPr="00A5248F" w:rsidRDefault="008865B0" w:rsidP="00A5248F">
            <w:pPr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8865B0" w:rsidRPr="0058634B" w:rsidRDefault="008865B0" w:rsidP="00A5248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the period between the last two population censuses </w:t>
            </w:r>
            <w:r w:rsidRPr="0058634B">
              <w:rPr>
                <w:rFonts w:ascii="Arial" w:hAnsi="Arial" w:cs="Arial"/>
                <w:sz w:val="20"/>
                <w:szCs w:val="20"/>
                <w:lang w:val="en-GB"/>
              </w:rPr>
              <w:t>(2002–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2011) the population number was permanently on the decrease and this trend continues to be expressive after 2011 Census. </w:t>
            </w:r>
          </w:p>
          <w:p w:rsidR="008865B0" w:rsidRDefault="008865B0" w:rsidP="000A7EF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65B0" w:rsidRDefault="008865B0" w:rsidP="000A7EF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65B0" w:rsidRPr="00A01D8E" w:rsidRDefault="008865B0" w:rsidP="009D50E2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5863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</w:t>
            </w:r>
            <w:r w:rsidRPr="005863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1.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Trends of the estimated number of population of the Republic of Serbia, </w:t>
            </w:r>
            <w:r w:rsidRPr="005863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2002–201</w:t>
            </w:r>
            <w:r w:rsidR="002B07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8865B0" w:rsidRPr="0058634B" w:rsidRDefault="00D93F2F" w:rsidP="0076378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29BEC28" wp14:editId="52BF9172">
                  <wp:extent cx="5940000" cy="2520000"/>
                  <wp:effectExtent l="0" t="0" r="3810" b="1397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B07F1" w:rsidRDefault="002B07F1" w:rsidP="000A7E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65B0" w:rsidRDefault="008865B0" w:rsidP="009D50E2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r w:rsidR="00522D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Republic of Serbia, estimated number of population, by regions, mid-year</w:t>
            </w:r>
          </w:p>
          <w:tbl>
            <w:tblPr>
              <w:tblW w:w="10088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46"/>
              <w:gridCol w:w="963"/>
              <w:gridCol w:w="965"/>
              <w:gridCol w:w="964"/>
              <w:gridCol w:w="964"/>
              <w:gridCol w:w="964"/>
              <w:gridCol w:w="964"/>
              <w:gridCol w:w="958"/>
            </w:tblGrid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2017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REPUBLIC OF SERBIA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7236519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7201497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7166552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7131787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7095383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7058322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7020858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40" w:after="40"/>
                    <w:ind w:left="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SRBIJA</w:t>
                  </w: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SEVER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3591096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3586235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3581647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3576978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3571596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3565319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3558647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Beogradski region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1658151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1664218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1669552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1675043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1679895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1683962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1687132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Region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Vojvodine</w:t>
                  </w:r>
                  <w:proofErr w:type="spellEnd"/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1932945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1922017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1912095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1901935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1891701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1881357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1871515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831CAC">
                  <w:pPr>
                    <w:spacing w:before="40" w:after="40"/>
                    <w:ind w:left="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SRBIJA</w:t>
                  </w:r>
                  <w:r w:rsidRPr="00A504E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– Ј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UG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3645423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3615262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3584905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3554809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3523787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3493003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3462211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2B07F1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Region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Šumadije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Zapadne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Srbije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2033203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2018248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2003118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1987799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1972183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1956786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1941130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7F1" w:rsidRPr="003D4F6A" w:rsidRDefault="002B07F1" w:rsidP="002B07F1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Region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Južne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Istočne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Srbije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1612220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1597014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1581787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1567010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1551604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1536217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1521081</w:t>
                  </w:r>
                </w:p>
              </w:tc>
            </w:tr>
            <w:tr w:rsidR="002B07F1" w:rsidRPr="003D4F6A" w:rsidTr="002B07F1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07F1" w:rsidRPr="003D4F6A" w:rsidRDefault="002B07F1" w:rsidP="00831CAC">
                  <w:pPr>
                    <w:spacing w:before="40" w:after="40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Region Kosovo 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Metohija</w:t>
                  </w:r>
                  <w:proofErr w:type="spellEnd"/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3D4F6A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287EAB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7F1" w:rsidRPr="00287EAB" w:rsidRDefault="002B07F1" w:rsidP="00831CAC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8865B0" w:rsidRPr="00062C70" w:rsidRDefault="008865B0" w:rsidP="002B0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Despite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decreased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number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of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inhabitants</w:t>
            </w:r>
            <w:r w:rsidR="002B07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of the Republic of Serbia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Beogradska</w:t>
            </w:r>
            <w:proofErr w:type="spellEnd"/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oblast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and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Ju</w:t>
            </w:r>
            <w:proofErr w:type="spellEnd"/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proofErr w:type="spellStart"/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noba</w:t>
            </w:r>
            <w:proofErr w:type="spellEnd"/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proofErr w:type="spellStart"/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</w:t>
            </w:r>
            <w:proofErr w:type="spellEnd"/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oblast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noted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slight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increase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of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population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2B07F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however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largest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decrease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relation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previous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year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was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noted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</w:t>
            </w:r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Zaje</w:t>
            </w:r>
            <w:proofErr w:type="spellEnd"/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proofErr w:type="spellStart"/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arska</w:t>
            </w:r>
            <w:proofErr w:type="spellEnd"/>
            <w:r w:rsidRPr="00062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68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oblast</w:t>
            </w:r>
            <w:r w:rsidRPr="00062C70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  <w:p w:rsidR="008865B0" w:rsidRPr="00062C70" w:rsidRDefault="008865B0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65B0" w:rsidRPr="00666E3B" w:rsidRDefault="008865B0" w:rsidP="000A7EF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>The average age of the total population of the Republic of Serbia is constantly on the increase and in 201</w:t>
            </w:r>
            <w:r w:rsidR="002C031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 xml:space="preserve"> it equalled </w:t>
            </w:r>
            <w:r w:rsidRPr="00DC1B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="002C03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3.0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years (males – 41.</w:t>
            </w:r>
            <w:r w:rsidR="002C031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 xml:space="preserve"> and females – 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  <w:r w:rsidR="002C031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>). The process of population ag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>ing is the result of the ever decreasing share of young population (aged 0 – 14) in the total population, which in 201</w:t>
            </w:r>
            <w:r w:rsidR="002C031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 xml:space="preserve"> equalled </w:t>
            </w:r>
            <w:r w:rsidRPr="00D21C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14.4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 xml:space="preserve">%, while the share of population aged over 65 in the total population equalled </w:t>
            </w:r>
            <w:r w:rsidR="000E59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19.</w:t>
            </w:r>
            <w:r w:rsidR="002C03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  <w:r w:rsidRPr="00DC1B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%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 xml:space="preserve">. The share of working age population (aged 15 – 64) equalled </w:t>
            </w:r>
            <w:r w:rsidR="000E593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66.</w:t>
            </w:r>
            <w:r w:rsidR="002C03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</w:t>
            </w: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>% of the total population.</w:t>
            </w:r>
          </w:p>
          <w:p w:rsidR="008865B0" w:rsidRPr="00666E3B" w:rsidRDefault="008865B0" w:rsidP="000A7EF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65B0" w:rsidRDefault="008865B0" w:rsidP="000A7E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66E3B">
              <w:rPr>
                <w:rFonts w:ascii="Arial" w:hAnsi="Arial" w:cs="Arial"/>
                <w:sz w:val="20"/>
                <w:szCs w:val="20"/>
                <w:lang w:val="en-GB"/>
              </w:rPr>
              <w:t xml:space="preserve">Observed on the level of areas, in </w:t>
            </w:r>
            <w:proofErr w:type="spellStart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Zaječar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</w:t>
            </w:r>
            <w:proofErr w:type="spellEnd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oblast the share of population aged 65 and over was the most expressive (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27.3</w:t>
            </w:r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%), and at the same time the share of population aged below 15 was the smallest (11.</w:t>
            </w:r>
            <w:r w:rsidR="000E59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%). On the other side, the smallest share of population aged 65 and over was noted in </w:t>
            </w:r>
            <w:proofErr w:type="spellStart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Pčinjska</w:t>
            </w:r>
            <w:proofErr w:type="spellEnd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oblast (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</w:t>
            </w:r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%); </w:t>
            </w:r>
            <w:proofErr w:type="gramStart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however</w:t>
            </w:r>
            <w:proofErr w:type="gramEnd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the largest share of population aged below 15 was found for </w:t>
            </w:r>
            <w:proofErr w:type="spellStart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Raška</w:t>
            </w:r>
            <w:proofErr w:type="spellEnd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oblast (18.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and then for </w:t>
            </w:r>
            <w:proofErr w:type="spellStart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Pčinjska</w:t>
            </w:r>
            <w:proofErr w:type="spellEnd"/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oblast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r w:rsidR="000E59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16.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%)</w:t>
            </w:r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865B0" w:rsidRDefault="008865B0" w:rsidP="000A7E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66E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865B0" w:rsidRPr="00666E3B" w:rsidRDefault="008865B0" w:rsidP="000A7E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8865B0" w:rsidRDefault="008865B0" w:rsidP="009D50E2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66E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Graph. 2. Share of young and elderly population in total population, by area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666E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(estimate as in mid-201</w:t>
            </w:r>
            <w:r w:rsidR="002C03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Pr="00666E3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2C031E" w:rsidRDefault="00C26157" w:rsidP="00F051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80CB114" wp14:editId="410D0096">
                  <wp:extent cx="5940000" cy="4176000"/>
                  <wp:effectExtent l="0" t="0" r="3810" b="1524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2C031E" w:rsidRDefault="002C031E" w:rsidP="00F051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2C031E" w:rsidRDefault="002C031E" w:rsidP="00F051B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8865B0" w:rsidRPr="000410EB" w:rsidRDefault="008865B0" w:rsidP="002C03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impact of these demographic trends mostly reflects the dependence of elderly population (number of persons aged 65 and over per 100 persons aged 15 – 64), which is the most expressive in </w:t>
            </w:r>
            <w:proofErr w:type="spellStart"/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Zaječarska</w:t>
            </w:r>
            <w:proofErr w:type="spellEnd"/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oblast (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44.6</w:t>
            </w: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) and in </w:t>
            </w:r>
            <w:proofErr w:type="spellStart"/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Pirotska</w:t>
            </w:r>
            <w:proofErr w:type="spellEnd"/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oblast (</w:t>
            </w:r>
            <w:r w:rsidR="000E59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38.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); while the smallest burden for labour force population was noted in </w:t>
            </w:r>
            <w:proofErr w:type="spellStart"/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Pčinjska</w:t>
            </w:r>
            <w:proofErr w:type="spellEnd"/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oblast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21.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). According to the estimations made for 201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in the Republic of Serbia the rate of dependence of elderly population equals 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29.8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865B0" w:rsidRDefault="008865B0" w:rsidP="000A7EFA">
            <w:pPr>
              <w:jc w:val="both"/>
              <w:rPr>
                <w:color w:val="000000"/>
                <w:lang w:val="en-GB"/>
              </w:rPr>
            </w:pPr>
          </w:p>
          <w:p w:rsidR="004F1E57" w:rsidRDefault="008865B0" w:rsidP="00C728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According to the population estimations by type of settlement,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 the Republic of Serbia the share of urban population is prevailing (</w:t>
            </w:r>
            <w:r w:rsidR="000E59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60.</w:t>
            </w:r>
            <w:r w:rsidR="002C03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%). From the demographic viewpoint, the urban population is younger when related to the population of other settlements; the average age of the urban population is lower than the average age of the population in so called other settlements and the difference is 2.</w:t>
            </w:r>
            <w:r w:rsidR="00CE663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  <w:r w:rsidRPr="000410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years.</w:t>
            </w:r>
          </w:p>
          <w:p w:rsidR="004F1E57" w:rsidRDefault="004F1E57" w:rsidP="0028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4F1E57" w:rsidRDefault="004F1E57" w:rsidP="0028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866C9E" w:rsidRDefault="008865B0" w:rsidP="00282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410E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Table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Pr="000410E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0410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Population esti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mate by type of settlement, 201</w:t>
            </w:r>
            <w:r w:rsidR="00866C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</w:p>
          <w:p w:rsidR="00866C9E" w:rsidRDefault="00866C9E" w:rsidP="00282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8865B0" w:rsidRPr="00E07188" w:rsidRDefault="008865B0" w:rsidP="00BF2C2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Republic of Serbia</w:t>
            </w:r>
          </w:p>
          <w:tbl>
            <w:tblPr>
              <w:tblW w:w="100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1626"/>
              <w:gridCol w:w="1790"/>
              <w:gridCol w:w="1625"/>
              <w:gridCol w:w="1625"/>
              <w:gridCol w:w="1778"/>
            </w:tblGrid>
            <w:tr w:rsidR="008865B0" w:rsidRPr="00E07188" w:rsidTr="00C7285F">
              <w:trPr>
                <w:trHeight w:val="259"/>
              </w:trPr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5B0" w:rsidRPr="004D568B" w:rsidRDefault="008865B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51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t>Type of settlement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5B0" w:rsidRPr="00F051B3" w:rsidRDefault="008865B0" w:rsidP="00285D3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F051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t xml:space="preserve">Sex 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5B0" w:rsidRPr="00F051B3" w:rsidRDefault="008865B0" w:rsidP="00285D3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F051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t xml:space="preserve">Number of inhabitants 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5B0" w:rsidRPr="00F051B3" w:rsidRDefault="008865B0" w:rsidP="00285D3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F051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t>Average age, years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5B0" w:rsidRPr="00F051B3" w:rsidRDefault="008865B0" w:rsidP="00285D3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F051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t>Ageing index</w:t>
                  </w:r>
                  <w:r w:rsidRPr="00F051B3">
                    <w:rPr>
                      <w:rStyle w:val="FootnoteReference"/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footnoteReference w:id="2"/>
                  </w:r>
                  <w:r w:rsidRPr="00F051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5B0" w:rsidRPr="00F051B3" w:rsidRDefault="008865B0" w:rsidP="00285D3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F051B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  <w:t xml:space="preserve">Dependence rate for population aged 65 and over </w:t>
                  </w: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7020858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43.0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141.6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66C9E" w:rsidP="008320D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29.8</w:t>
                  </w: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20D0" w:rsidRPr="004D568B" w:rsidRDefault="008320D0" w:rsidP="00285D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3419815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41.6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120.9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25.4</w:t>
                  </w: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20D0" w:rsidRPr="004D568B" w:rsidRDefault="008320D0" w:rsidP="00285D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3601043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44.4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163.4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320D0" w:rsidP="00866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866C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.1</w:t>
                  </w:r>
                </w:p>
              </w:tc>
            </w:tr>
            <w:tr w:rsidR="008320D0" w:rsidRPr="00E35F65" w:rsidTr="00C7285F">
              <w:trPr>
                <w:trHeight w:val="20"/>
              </w:trPr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20D0" w:rsidRPr="00E35F65" w:rsidRDefault="008320D0" w:rsidP="00285D3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E35F65" w:rsidRDefault="008320D0" w:rsidP="00285D31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Urban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4256129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42.0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127.6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27.1</w:t>
                  </w: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20D0" w:rsidRPr="004D568B" w:rsidRDefault="008320D0" w:rsidP="00285D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2027177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40.4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105.2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23.1</w:t>
                  </w: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20D0" w:rsidRPr="004D568B" w:rsidRDefault="008320D0" w:rsidP="00285D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2027177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43.5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151.3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30.9</w:t>
                  </w:r>
                </w:p>
              </w:tc>
            </w:tr>
            <w:tr w:rsidR="008320D0" w:rsidRPr="00E35F65" w:rsidTr="00C7285F">
              <w:trPr>
                <w:trHeight w:val="20"/>
              </w:trPr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20D0" w:rsidRPr="00E35F65" w:rsidRDefault="008320D0" w:rsidP="00285D3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E35F65" w:rsidRDefault="008320D0" w:rsidP="00285D31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320D0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D568B">
                    <w:rPr>
                      <w:rFonts w:ascii="Arial" w:hAnsi="Arial" w:cs="Arial"/>
                      <w:sz w:val="16"/>
                      <w:szCs w:val="16"/>
                    </w:rPr>
                    <w:t>О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ther</w:t>
                  </w:r>
                  <w:proofErr w:type="spellEnd"/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2764729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44.6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165.2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320D0" w:rsidP="00866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33.</w:t>
                  </w:r>
                  <w:r w:rsidR="00866C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0D0" w:rsidRPr="004D568B" w:rsidRDefault="008320D0" w:rsidP="00285D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1392638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43.4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147.4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8320D0" w:rsidRDefault="008320D0" w:rsidP="00866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="00866C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.9</w:t>
                  </w:r>
                </w:p>
              </w:tc>
            </w:tr>
            <w:tr w:rsidR="008320D0" w:rsidTr="00C7285F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0D0" w:rsidRPr="004D568B" w:rsidRDefault="008320D0" w:rsidP="00285D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320D0" w:rsidRPr="004D568B" w:rsidRDefault="008320D0" w:rsidP="00285D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1372091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320D0" w:rsidRDefault="008320D0" w:rsidP="00866C9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45.</w:t>
                  </w:r>
                  <w:r w:rsidR="00866C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184.0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320D0" w:rsidRDefault="00866C9E" w:rsidP="008027B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39.4</w:t>
                  </w:r>
                </w:p>
              </w:tc>
            </w:tr>
          </w:tbl>
          <w:p w:rsidR="008865B0" w:rsidRPr="002822E1" w:rsidRDefault="008865B0" w:rsidP="0006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65B0" w:rsidRDefault="008865B0" w:rsidP="0006407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the total number of municipalities of the Republic of Serbia </w:t>
            </w:r>
            <w:r w:rsidRPr="0058634B">
              <w:rPr>
                <w:rFonts w:ascii="Arial" w:hAnsi="Arial" w:cs="Arial"/>
                <w:sz w:val="20"/>
                <w:szCs w:val="20"/>
                <w:lang w:val="en-GB"/>
              </w:rPr>
              <w:t>(16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58634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only </w:t>
            </w:r>
            <w:r w:rsidR="00CE6636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municipalities/cities/towns have over </w:t>
            </w:r>
            <w:r w:rsidRPr="0058634B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  <w:r w:rsidR="00D93F2F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58634B">
              <w:rPr>
                <w:rFonts w:ascii="Arial" w:hAnsi="Arial" w:cs="Arial"/>
                <w:sz w:val="20"/>
                <w:szCs w:val="20"/>
                <w:lang w:val="en-GB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inhabitants, while in 1</w:t>
            </w:r>
            <w:r w:rsidR="00866C9E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municipalities the number of inhabitants is below </w:t>
            </w:r>
            <w:r w:rsidRPr="0058634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D93F2F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58634B">
              <w:rPr>
                <w:rFonts w:ascii="Arial" w:hAnsi="Arial" w:cs="Arial"/>
                <w:sz w:val="20"/>
                <w:szCs w:val="20"/>
                <w:lang w:val="en-GB"/>
              </w:rPr>
              <w:t>000.</w:t>
            </w:r>
          </w:p>
          <w:p w:rsidR="008865B0" w:rsidRDefault="008865B0" w:rsidP="0006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521" w:type="dxa"/>
              <w:tblLook w:val="04A0" w:firstRow="1" w:lastRow="0" w:firstColumn="1" w:lastColumn="0" w:noHBand="0" w:noVBand="1"/>
            </w:tblPr>
            <w:tblGrid>
              <w:gridCol w:w="2297"/>
              <w:gridCol w:w="1478"/>
              <w:gridCol w:w="2268"/>
              <w:gridCol w:w="1478"/>
            </w:tblGrid>
            <w:tr w:rsidR="0049711C" w:rsidRPr="00A504E5" w:rsidTr="008027B3">
              <w:trPr>
                <w:trHeight w:val="288"/>
              </w:trPr>
              <w:tc>
                <w:tcPr>
                  <w:tcW w:w="3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711C" w:rsidRPr="00A504E5" w:rsidRDefault="0049711C" w:rsidP="0049711C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Municipalities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cities with more than 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 xml:space="preserve">100000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inhabitants</w:t>
                  </w:r>
                </w:p>
              </w:tc>
              <w:tc>
                <w:tcPr>
                  <w:tcW w:w="374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11C" w:rsidRPr="00A504E5" w:rsidRDefault="00C7285F" w:rsidP="00766721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Municipalities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cities with less than </w:t>
                  </w:r>
                  <w:r w:rsidRPr="00A504E5">
                    <w:rPr>
                      <w:rFonts w:ascii="Arial" w:hAnsi="Arial" w:cs="Arial"/>
                      <w:sz w:val="16"/>
                      <w:szCs w:val="16"/>
                    </w:rPr>
                    <w:t xml:space="preserve">10000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inhabitants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49711C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Novi Sad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66C9E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322071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Crna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Trava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1278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49711C" w:rsidP="0049711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Beograd </w:t>
                  </w: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Novi Beograd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866C9E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213985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49711C" w:rsidP="008320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="008320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rgovište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4620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49711C" w:rsidP="0049711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Beograd −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Palilula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181414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Мedveđa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6706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49711C" w:rsidP="0049711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Кragujevac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177977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320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Sevojno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6722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49711C" w:rsidP="0049711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Beograd −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sr-Latn-RS"/>
                    </w:rPr>
                    <w:t>Čukarica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177586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Gadžin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Han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7098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320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Beograd</w:t>
                  </w:r>
                  <w:r w:rsidR="0049711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−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Zemun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168242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Lapovo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7307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320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Beograd</w:t>
                  </w:r>
                  <w:r w:rsidR="0049711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−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Voždovac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49711C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167331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Bosilegrad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7304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320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Beograd</w:t>
                  </w:r>
                  <w:r w:rsidR="0049711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−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Zvezdara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163542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Golubac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7541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Subotica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Ražanj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8176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Leskovac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136888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Sremski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Karlovci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8431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Kruševac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122437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Ćićevac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8711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Pančevo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120361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Vranjska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Banja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8941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Kraljevo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119585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Dimitrovgrad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9367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Zrenjanin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117735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Nova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Crnja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9421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Šabac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Rekovac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9552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Čačak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111075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right w:val="single" w:sz="4" w:space="0" w:color="auto"/>
                  </w:tcBorders>
                  <w:vAlign w:val="bottom"/>
                </w:tcPr>
                <w:p w:rsidR="00710161" w:rsidRDefault="0049711C" w:rsidP="008320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="008320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povo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bottom"/>
                </w:tcPr>
                <w:p w:rsidR="00710161" w:rsidRDefault="00710161" w:rsidP="00A5248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9826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8320D0" w:rsidP="008320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Beograd</w:t>
                  </w:r>
                  <w:r w:rsidR="0049711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−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Rakovica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11C" w:rsidRDefault="0049711C" w:rsidP="0071016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</w:t>
                  </w:r>
                  <w:r w:rsidR="007101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Pr="00A504E5" w:rsidRDefault="00A5248F" w:rsidP="008027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Žabari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Pr="00A504E5" w:rsidRDefault="00A5248F" w:rsidP="008027B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9832</w:t>
                  </w: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710161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Novi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Pazar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105490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Pr="00A504E5" w:rsidRDefault="0049711C" w:rsidP="008027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Pr="00A504E5" w:rsidRDefault="0049711C" w:rsidP="008027B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710161" w:rsidP="008027B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Smederevo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Default="00710161" w:rsidP="008027B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104125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Pr="00A504E5" w:rsidRDefault="0049711C" w:rsidP="008027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9711C" w:rsidRPr="00A504E5" w:rsidRDefault="0049711C" w:rsidP="008027B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9711C" w:rsidRPr="00A504E5" w:rsidTr="008027B3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Pr="00A504E5" w:rsidRDefault="0049711C" w:rsidP="008027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711C" w:rsidRPr="00A504E5" w:rsidRDefault="0049711C" w:rsidP="008027B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711C" w:rsidRPr="00A504E5" w:rsidRDefault="0049711C" w:rsidP="008027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711C" w:rsidRPr="00A504E5" w:rsidRDefault="0049711C" w:rsidP="008027B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9711C" w:rsidRPr="00A01D8E" w:rsidRDefault="0049711C" w:rsidP="0006407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65B0" w:rsidRPr="00A5248F" w:rsidRDefault="008865B0" w:rsidP="0006407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4663"/>
              <w:gridCol w:w="5198"/>
            </w:tblGrid>
            <w:tr w:rsidR="008865B0" w:rsidRPr="0058634B" w:rsidTr="00522D44">
              <w:tc>
                <w:tcPr>
                  <w:tcW w:w="4746" w:type="dxa"/>
                </w:tcPr>
                <w:p w:rsidR="008865B0" w:rsidRPr="0058634B" w:rsidRDefault="008865B0" w:rsidP="00AA0CC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Contac</w:t>
                  </w:r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t:</w:t>
                  </w:r>
                </w:p>
                <w:p w:rsidR="008865B0" w:rsidRPr="0058634B" w:rsidRDefault="008865B0" w:rsidP="00AA0CC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Ljiljana </w:t>
                  </w:r>
                  <w:proofErr w:type="spellStart"/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Sekulić</w:t>
                  </w:r>
                  <w:proofErr w:type="spellEnd"/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Head</w:t>
                  </w:r>
                </w:p>
                <w:p w:rsidR="008865B0" w:rsidRPr="0058634B" w:rsidRDefault="008865B0" w:rsidP="00AA0CC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Unit for estimates, projections and other demographic indicators </w:t>
                  </w:r>
                </w:p>
                <w:p w:rsidR="008865B0" w:rsidRPr="0058634B" w:rsidRDefault="008865B0" w:rsidP="00AA0CC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Phone</w:t>
                  </w:r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.: +381 11 2412-922,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Ext. </w:t>
                  </w:r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295</w:t>
                  </w:r>
                </w:p>
                <w:p w:rsidR="008865B0" w:rsidRPr="0058634B" w:rsidRDefault="00D722EA" w:rsidP="00AA0CC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hyperlink r:id="rId10" w:history="1">
                    <w:r w:rsidR="008865B0" w:rsidRPr="0058634B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lang w:val="en-GB"/>
                      </w:rPr>
                      <w:t>ljiljana.sekulic@stat.gov.rs</w:t>
                    </w:r>
                  </w:hyperlink>
                </w:p>
                <w:p w:rsidR="008865B0" w:rsidRPr="0058634B" w:rsidRDefault="008865B0" w:rsidP="00AA0CC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865B0" w:rsidRPr="0058634B" w:rsidRDefault="008865B0" w:rsidP="00AA0CC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Information and dissemination unit</w:t>
                  </w:r>
                </w:p>
                <w:p w:rsidR="008865B0" w:rsidRPr="0058634B" w:rsidRDefault="008865B0" w:rsidP="00AA0CC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Tel.: +381 11 2401-284</w:t>
                  </w:r>
                </w:p>
                <w:p w:rsidR="008865B0" w:rsidRPr="0058634B" w:rsidRDefault="00D722EA" w:rsidP="0057008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hyperlink r:id="rId11" w:history="1">
                    <w:r w:rsidR="008865B0" w:rsidRPr="0058634B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lang w:val="en-GB"/>
                      </w:rPr>
                      <w:t>stat@stat.gov.rs</w:t>
                    </w:r>
                  </w:hyperlink>
                </w:p>
              </w:tc>
              <w:tc>
                <w:tcPr>
                  <w:tcW w:w="5321" w:type="dxa"/>
                </w:tcPr>
                <w:p w:rsidR="008865B0" w:rsidRPr="0058634B" w:rsidRDefault="008865B0" w:rsidP="00AA0CC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58634B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  </w:t>
                  </w:r>
                </w:p>
                <w:p w:rsidR="008865B0" w:rsidRPr="0058634B" w:rsidRDefault="008865B0" w:rsidP="00AA0CC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  <w:p w:rsidR="008865B0" w:rsidRPr="0058634B" w:rsidRDefault="008865B0" w:rsidP="00AA0CC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  <w:p w:rsidR="008865B0" w:rsidRPr="0058634B" w:rsidRDefault="008865B0" w:rsidP="00AA0CC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  <w:p w:rsidR="008865B0" w:rsidRPr="0058634B" w:rsidRDefault="008865B0" w:rsidP="00AA0CC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  <w:p w:rsidR="008865B0" w:rsidRPr="0058634B" w:rsidRDefault="008865B0" w:rsidP="00AA0CC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  <w:p w:rsidR="008865B0" w:rsidRPr="0058634B" w:rsidRDefault="008865B0" w:rsidP="00DB365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Director</w:t>
                  </w:r>
                </w:p>
                <w:p w:rsidR="008865B0" w:rsidRPr="0058634B" w:rsidRDefault="008865B0" w:rsidP="00DB365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865B0" w:rsidRPr="0058634B" w:rsidRDefault="008865B0" w:rsidP="00DB3652">
                  <w:pPr>
                    <w:ind w:left="972"/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Dr </w:t>
                  </w:r>
                  <w:proofErr w:type="spellStart"/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Miladin</w:t>
                  </w:r>
                  <w:proofErr w:type="spellEnd"/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58634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Kovačević</w:t>
                  </w:r>
                  <w:proofErr w:type="spellEnd"/>
                </w:p>
                <w:p w:rsidR="008865B0" w:rsidRPr="0058634B" w:rsidRDefault="008865B0" w:rsidP="00AA0CC9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865B0" w:rsidRPr="0058634B" w:rsidRDefault="008865B0" w:rsidP="00072A8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:rsidR="008865B0" w:rsidRPr="00570084" w:rsidRDefault="008865B0" w:rsidP="00570084">
      <w:pPr>
        <w:rPr>
          <w:rFonts w:ascii="Tahoma" w:hAnsi="Tahoma" w:cs="Tahoma"/>
          <w:sz w:val="2"/>
          <w:szCs w:val="2"/>
          <w:lang w:val="en-GB"/>
        </w:rPr>
      </w:pPr>
    </w:p>
    <w:sectPr w:rsidR="008865B0" w:rsidRPr="00570084" w:rsidSect="00B94D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EA" w:rsidRDefault="00D722EA">
      <w:r>
        <w:separator/>
      </w:r>
    </w:p>
  </w:endnote>
  <w:endnote w:type="continuationSeparator" w:id="0">
    <w:p w:rsidR="00D722EA" w:rsidRDefault="00D7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01" w:rsidRDefault="00A4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01" w:rsidRDefault="00A44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787"/>
      <w:gridCol w:w="5399"/>
    </w:tblGrid>
    <w:tr w:rsidR="008865B0" w:rsidRPr="003447B6">
      <w:tc>
        <w:tcPr>
          <w:tcW w:w="4788" w:type="dxa"/>
        </w:tcPr>
        <w:p w:rsidR="008865B0" w:rsidRPr="003447B6" w:rsidRDefault="008865B0" w:rsidP="00AA0CC9">
          <w:pPr>
            <w:jc w:val="both"/>
            <w:rPr>
              <w:rFonts w:ascii="Tahoma" w:hAnsi="Tahoma" w:cs="Tahoma"/>
              <w:color w:val="333333"/>
            </w:rPr>
          </w:pPr>
        </w:p>
      </w:tc>
      <w:tc>
        <w:tcPr>
          <w:tcW w:w="5400" w:type="dxa"/>
        </w:tcPr>
        <w:p w:rsidR="008865B0" w:rsidRPr="003447B6" w:rsidRDefault="008865B0" w:rsidP="00AA0CC9">
          <w:pPr>
            <w:rPr>
              <w:rFonts w:ascii="Tahoma" w:hAnsi="Tahoma" w:cs="Tahoma"/>
              <w:color w:val="333333"/>
              <w:lang w:val="sr-Cyrl-CS"/>
            </w:rPr>
          </w:pPr>
        </w:p>
      </w:tc>
    </w:tr>
    <w:tr w:rsidR="008865B0" w:rsidRPr="003447B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8865B0" w:rsidRPr="008E5614" w:rsidRDefault="008865B0" w:rsidP="00AA0CC9">
          <w:pPr>
            <w:jc w:val="both"/>
            <w:rPr>
              <w:rFonts w:ascii="Tahoma" w:hAnsi="Tahoma" w:cs="Tahoma"/>
              <w:color w:val="000000"/>
              <w:lang w:val="sr-Cyrl-CS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865B0" w:rsidRPr="003447B6" w:rsidRDefault="008865B0" w:rsidP="00AA0CC9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8865B0" w:rsidRPr="000A7EFA" w:rsidRDefault="008865B0" w:rsidP="000A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EA" w:rsidRDefault="00D722EA">
      <w:r>
        <w:separator/>
      </w:r>
    </w:p>
  </w:footnote>
  <w:footnote w:type="continuationSeparator" w:id="0">
    <w:p w:rsidR="00D722EA" w:rsidRDefault="00D722EA">
      <w:r>
        <w:continuationSeparator/>
      </w:r>
    </w:p>
  </w:footnote>
  <w:footnote w:id="1">
    <w:p w:rsidR="00A5248F" w:rsidRPr="00A5248F" w:rsidRDefault="00A5248F" w:rsidP="00A5248F">
      <w:pPr>
        <w:ind w:left="170" w:hanging="170"/>
        <w:jc w:val="both"/>
        <w:rPr>
          <w:rFonts w:ascii="Arial" w:hAnsi="Arial" w:cs="Arial"/>
          <w:sz w:val="16"/>
          <w:szCs w:val="16"/>
          <w:lang w:val="en-GB"/>
        </w:rPr>
      </w:pPr>
      <w:r w:rsidRPr="00A5248F">
        <w:rPr>
          <w:rStyle w:val="FootnoteReference"/>
          <w:rFonts w:ascii="Arial" w:hAnsi="Arial" w:cs="Arial"/>
          <w:sz w:val="16"/>
          <w:szCs w:val="16"/>
        </w:rPr>
        <w:footnoteRef/>
      </w:r>
      <w:r w:rsidRPr="00A5248F">
        <w:rPr>
          <w:rFonts w:ascii="Arial" w:hAnsi="Arial" w:cs="Arial"/>
          <w:sz w:val="16"/>
          <w:szCs w:val="16"/>
        </w:rPr>
        <w:t xml:space="preserve"> Starting from 1998 the Statistical Office of the Republic of Serbia has not at disposal and may not provide available certain data relative to AP Kosovo and </w:t>
      </w:r>
      <w:proofErr w:type="spellStart"/>
      <w:r w:rsidRPr="00A5248F">
        <w:rPr>
          <w:rFonts w:ascii="Arial" w:hAnsi="Arial" w:cs="Arial"/>
          <w:sz w:val="16"/>
          <w:szCs w:val="16"/>
        </w:rPr>
        <w:t>Metohija</w:t>
      </w:r>
      <w:proofErr w:type="spellEnd"/>
      <w:r w:rsidRPr="00A5248F">
        <w:rPr>
          <w:rFonts w:ascii="Arial" w:hAnsi="Arial" w:cs="Arial"/>
          <w:sz w:val="16"/>
          <w:szCs w:val="16"/>
        </w:rPr>
        <w:t xml:space="preserve"> and therefore these data are not included in the coverage for the Republic of Serbia (total).</w:t>
      </w:r>
    </w:p>
    <w:p w:rsidR="00A5248F" w:rsidRDefault="00A5248F">
      <w:pPr>
        <w:pStyle w:val="FootnoteText"/>
      </w:pPr>
    </w:p>
  </w:footnote>
  <w:footnote w:id="2">
    <w:p w:rsidR="008865B0" w:rsidRDefault="008865B0" w:rsidP="00863392">
      <w:pPr>
        <w:pStyle w:val="FootnoteText"/>
        <w:spacing w:line="252" w:lineRule="auto"/>
        <w:ind w:left="142" w:hanging="142"/>
      </w:pPr>
      <w:r w:rsidRPr="00570084">
        <w:rPr>
          <w:rStyle w:val="FootnoteReference"/>
          <w:rFonts w:ascii="Arial" w:hAnsi="Arial" w:cs="Arial"/>
          <w:sz w:val="15"/>
          <w:szCs w:val="15"/>
        </w:rPr>
        <w:footnoteRef/>
      </w:r>
      <w:r w:rsidRPr="00570084">
        <w:rPr>
          <w:rFonts w:ascii="Arial" w:hAnsi="Arial" w:cs="Arial"/>
          <w:sz w:val="15"/>
          <w:szCs w:val="15"/>
        </w:rPr>
        <w:t xml:space="preserve"> </w:t>
      </w:r>
      <w:r w:rsidRPr="00570084">
        <w:rPr>
          <w:rFonts w:ascii="Arial" w:hAnsi="Arial" w:cs="Arial"/>
          <w:sz w:val="15"/>
          <w:szCs w:val="15"/>
          <w:lang w:val="en-GB"/>
        </w:rPr>
        <w:t>Ageing index of population presents the ratio between the population aged 60 and over and the population aged 0-19, estimated in the middle of the year of observation.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01" w:rsidRDefault="00A44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8865B0" w:rsidRPr="003447B6">
      <w:tc>
        <w:tcPr>
          <w:tcW w:w="3708" w:type="dxa"/>
        </w:tcPr>
        <w:p w:rsidR="008865B0" w:rsidRPr="003447B6" w:rsidRDefault="008865B0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8865B0" w:rsidRPr="003447B6" w:rsidRDefault="008865B0" w:rsidP="003447B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Press release </w:t>
          </w:r>
        </w:p>
        <w:p w:rsidR="008865B0" w:rsidRPr="003447B6" w:rsidRDefault="008865B0" w:rsidP="003447B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8865B0" w:rsidRPr="003447B6" w:rsidRDefault="008865B0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8865B0" w:rsidRPr="00550E46" w:rsidRDefault="008865B0" w:rsidP="00CB5A51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8865B0" w:rsidRPr="003447B6">
      <w:tc>
        <w:tcPr>
          <w:tcW w:w="3708" w:type="dxa"/>
        </w:tcPr>
        <w:p w:rsidR="008865B0" w:rsidRPr="0058634B" w:rsidRDefault="00A25DD6" w:rsidP="003447B6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546860" cy="716280"/>
                <wp:effectExtent l="0" t="0" r="0" b="762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65B0"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8865B0" w:rsidRPr="0058634B" w:rsidRDefault="008865B0" w:rsidP="00520691">
          <w:pPr>
            <w:pStyle w:val="Head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Statistical Office of the Republic of Serbia</w:t>
          </w:r>
        </w:p>
      </w:tc>
      <w:tc>
        <w:tcPr>
          <w:tcW w:w="6588" w:type="dxa"/>
        </w:tcPr>
        <w:p w:rsidR="008865B0" w:rsidRPr="00302522" w:rsidRDefault="008865B0" w:rsidP="003447B6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  <w:sz w:val="32"/>
              <w:szCs w:val="32"/>
            </w:rPr>
            <w:t>Press release</w:t>
          </w:r>
        </w:p>
        <w:p w:rsidR="008865B0" w:rsidRPr="003447B6" w:rsidRDefault="008865B0" w:rsidP="003447B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8865B0" w:rsidRPr="00302522" w:rsidRDefault="00A44401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5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Raki</w:t>
          </w:r>
          <w:r>
            <w:rPr>
              <w:rFonts w:ascii="Tahoma" w:hAnsi="Tahoma" w:cs="Tahoma"/>
              <w:sz w:val="20"/>
              <w:szCs w:val="20"/>
              <w:lang w:val="sr-Latn-RS"/>
            </w:rPr>
            <w:t>ć</w:t>
          </w:r>
          <w:bookmarkStart w:id="0" w:name="_GoBack"/>
          <w:bookmarkEnd w:id="0"/>
          <w:r w:rsidR="008865B0">
            <w:rPr>
              <w:rFonts w:ascii="Tahoma" w:hAnsi="Tahoma" w:cs="Tahoma"/>
              <w:sz w:val="20"/>
              <w:szCs w:val="20"/>
            </w:rPr>
            <w:t>a St, Belgrade</w:t>
          </w:r>
        </w:p>
        <w:p w:rsidR="008865B0" w:rsidRPr="003447B6" w:rsidRDefault="008865B0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</w:rPr>
            <w:t>Phone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3447B6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8865B0" w:rsidRPr="00072A88" w:rsidRDefault="008865B0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 w:rsidRPr="003447B6">
            <w:rPr>
              <w:rFonts w:ascii="Tahoma" w:hAnsi="Tahoma" w:cs="Tahoma"/>
              <w:sz w:val="20"/>
              <w:szCs w:val="20"/>
            </w:rPr>
            <w:t>www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stat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gov.rs</w:t>
          </w:r>
        </w:p>
        <w:p w:rsidR="008865B0" w:rsidRPr="00072A88" w:rsidRDefault="008865B0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stat@stat.gov.rs</w:t>
          </w:r>
        </w:p>
      </w:tc>
    </w:tr>
  </w:tbl>
  <w:p w:rsidR="008865B0" w:rsidRPr="00E863C5" w:rsidRDefault="008865B0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A523D"/>
    <w:multiLevelType w:val="hybridMultilevel"/>
    <w:tmpl w:val="692AED60"/>
    <w:lvl w:ilvl="0" w:tplc="842E40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580938"/>
    <w:multiLevelType w:val="hybridMultilevel"/>
    <w:tmpl w:val="48AC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17E"/>
    <w:rsid w:val="000048E2"/>
    <w:rsid w:val="00010006"/>
    <w:rsid w:val="00020D52"/>
    <w:rsid w:val="0003036B"/>
    <w:rsid w:val="000311C1"/>
    <w:rsid w:val="000410EB"/>
    <w:rsid w:val="0004332C"/>
    <w:rsid w:val="00050626"/>
    <w:rsid w:val="00062C70"/>
    <w:rsid w:val="00064074"/>
    <w:rsid w:val="00065517"/>
    <w:rsid w:val="00065AB1"/>
    <w:rsid w:val="00065FB0"/>
    <w:rsid w:val="000709AC"/>
    <w:rsid w:val="00071C27"/>
    <w:rsid w:val="00072A88"/>
    <w:rsid w:val="00072F06"/>
    <w:rsid w:val="000760DA"/>
    <w:rsid w:val="0009545C"/>
    <w:rsid w:val="000957A2"/>
    <w:rsid w:val="00096870"/>
    <w:rsid w:val="000A08E1"/>
    <w:rsid w:val="000A7EFA"/>
    <w:rsid w:val="000B1DB4"/>
    <w:rsid w:val="000C432F"/>
    <w:rsid w:val="000D3B3F"/>
    <w:rsid w:val="000D591C"/>
    <w:rsid w:val="000E593A"/>
    <w:rsid w:val="000F1893"/>
    <w:rsid w:val="000F5346"/>
    <w:rsid w:val="0010563A"/>
    <w:rsid w:val="00117679"/>
    <w:rsid w:val="001249CF"/>
    <w:rsid w:val="00135A25"/>
    <w:rsid w:val="00141F19"/>
    <w:rsid w:val="001435E7"/>
    <w:rsid w:val="0015019A"/>
    <w:rsid w:val="0015580A"/>
    <w:rsid w:val="001629C6"/>
    <w:rsid w:val="0018489B"/>
    <w:rsid w:val="001946E4"/>
    <w:rsid w:val="001A23BF"/>
    <w:rsid w:val="001A2F99"/>
    <w:rsid w:val="001A521A"/>
    <w:rsid w:val="001B4FF7"/>
    <w:rsid w:val="001D2D4D"/>
    <w:rsid w:val="001E03E5"/>
    <w:rsid w:val="001F0ECE"/>
    <w:rsid w:val="001F1DB7"/>
    <w:rsid w:val="001F5AB7"/>
    <w:rsid w:val="00214526"/>
    <w:rsid w:val="002175E7"/>
    <w:rsid w:val="00225361"/>
    <w:rsid w:val="0023175D"/>
    <w:rsid w:val="00251118"/>
    <w:rsid w:val="00251365"/>
    <w:rsid w:val="002520FA"/>
    <w:rsid w:val="00256DEF"/>
    <w:rsid w:val="00257C36"/>
    <w:rsid w:val="002672D3"/>
    <w:rsid w:val="00271B88"/>
    <w:rsid w:val="00273FE4"/>
    <w:rsid w:val="0027682D"/>
    <w:rsid w:val="002822E1"/>
    <w:rsid w:val="00282C26"/>
    <w:rsid w:val="00285D31"/>
    <w:rsid w:val="0028699D"/>
    <w:rsid w:val="002B0422"/>
    <w:rsid w:val="002B07F1"/>
    <w:rsid w:val="002B15DF"/>
    <w:rsid w:val="002B67F4"/>
    <w:rsid w:val="002B6B77"/>
    <w:rsid w:val="002C031E"/>
    <w:rsid w:val="002C0BFC"/>
    <w:rsid w:val="002C7920"/>
    <w:rsid w:val="002D0539"/>
    <w:rsid w:val="002D40A7"/>
    <w:rsid w:val="002D4AE1"/>
    <w:rsid w:val="002E14DB"/>
    <w:rsid w:val="00302522"/>
    <w:rsid w:val="00304476"/>
    <w:rsid w:val="003133BA"/>
    <w:rsid w:val="00317D9A"/>
    <w:rsid w:val="0032187C"/>
    <w:rsid w:val="0032339F"/>
    <w:rsid w:val="00324B2F"/>
    <w:rsid w:val="0034313B"/>
    <w:rsid w:val="003447B6"/>
    <w:rsid w:val="00345527"/>
    <w:rsid w:val="00366796"/>
    <w:rsid w:val="0038109D"/>
    <w:rsid w:val="0039267E"/>
    <w:rsid w:val="00396DDD"/>
    <w:rsid w:val="003A28B5"/>
    <w:rsid w:val="003A4571"/>
    <w:rsid w:val="003B0441"/>
    <w:rsid w:val="003B3B7A"/>
    <w:rsid w:val="003C03A3"/>
    <w:rsid w:val="003C3808"/>
    <w:rsid w:val="003E580A"/>
    <w:rsid w:val="003F4E1D"/>
    <w:rsid w:val="00403B02"/>
    <w:rsid w:val="00403CB3"/>
    <w:rsid w:val="00423850"/>
    <w:rsid w:val="00424CF7"/>
    <w:rsid w:val="004325D0"/>
    <w:rsid w:val="00434B49"/>
    <w:rsid w:val="00434ED5"/>
    <w:rsid w:val="00445C92"/>
    <w:rsid w:val="004558AC"/>
    <w:rsid w:val="00462290"/>
    <w:rsid w:val="00470056"/>
    <w:rsid w:val="00487B95"/>
    <w:rsid w:val="0049711C"/>
    <w:rsid w:val="004A1F74"/>
    <w:rsid w:val="004A4D92"/>
    <w:rsid w:val="004C771A"/>
    <w:rsid w:val="004D568B"/>
    <w:rsid w:val="004F1E57"/>
    <w:rsid w:val="00520691"/>
    <w:rsid w:val="00522D44"/>
    <w:rsid w:val="0052551D"/>
    <w:rsid w:val="0053443D"/>
    <w:rsid w:val="00544FBE"/>
    <w:rsid w:val="00546298"/>
    <w:rsid w:val="00547548"/>
    <w:rsid w:val="005502B3"/>
    <w:rsid w:val="00550E46"/>
    <w:rsid w:val="00551474"/>
    <w:rsid w:val="00554D26"/>
    <w:rsid w:val="0055501C"/>
    <w:rsid w:val="00557842"/>
    <w:rsid w:val="00561FA1"/>
    <w:rsid w:val="00566DB6"/>
    <w:rsid w:val="00570084"/>
    <w:rsid w:val="00573871"/>
    <w:rsid w:val="005741F0"/>
    <w:rsid w:val="00576E7E"/>
    <w:rsid w:val="00585F35"/>
    <w:rsid w:val="0058634B"/>
    <w:rsid w:val="005911E4"/>
    <w:rsid w:val="0059434D"/>
    <w:rsid w:val="005A3785"/>
    <w:rsid w:val="005A40CC"/>
    <w:rsid w:val="005A49A1"/>
    <w:rsid w:val="005B254C"/>
    <w:rsid w:val="005C6763"/>
    <w:rsid w:val="005D4E08"/>
    <w:rsid w:val="005D75FD"/>
    <w:rsid w:val="005E2E37"/>
    <w:rsid w:val="005E3CDA"/>
    <w:rsid w:val="006023B0"/>
    <w:rsid w:val="00612A63"/>
    <w:rsid w:val="00615616"/>
    <w:rsid w:val="00621386"/>
    <w:rsid w:val="00625702"/>
    <w:rsid w:val="00626896"/>
    <w:rsid w:val="006315FA"/>
    <w:rsid w:val="0063461A"/>
    <w:rsid w:val="00643621"/>
    <w:rsid w:val="006443C4"/>
    <w:rsid w:val="00647A30"/>
    <w:rsid w:val="00666E3B"/>
    <w:rsid w:val="00676166"/>
    <w:rsid w:val="00683BBF"/>
    <w:rsid w:val="00687F42"/>
    <w:rsid w:val="006B2269"/>
    <w:rsid w:val="006B5BF3"/>
    <w:rsid w:val="006C1D43"/>
    <w:rsid w:val="006C5364"/>
    <w:rsid w:val="006C63F5"/>
    <w:rsid w:val="006E49A6"/>
    <w:rsid w:val="006E4AE5"/>
    <w:rsid w:val="006E6AD2"/>
    <w:rsid w:val="006E7B06"/>
    <w:rsid w:val="006F45ED"/>
    <w:rsid w:val="00701ECF"/>
    <w:rsid w:val="00710161"/>
    <w:rsid w:val="007331D4"/>
    <w:rsid w:val="00733B48"/>
    <w:rsid w:val="0073783B"/>
    <w:rsid w:val="007404C8"/>
    <w:rsid w:val="00742ACA"/>
    <w:rsid w:val="00746CF6"/>
    <w:rsid w:val="00751CB6"/>
    <w:rsid w:val="00757EF9"/>
    <w:rsid w:val="0076378B"/>
    <w:rsid w:val="00766721"/>
    <w:rsid w:val="007701F0"/>
    <w:rsid w:val="00777121"/>
    <w:rsid w:val="0078106D"/>
    <w:rsid w:val="007B41EF"/>
    <w:rsid w:val="007B5772"/>
    <w:rsid w:val="007C24B3"/>
    <w:rsid w:val="007E0B11"/>
    <w:rsid w:val="007E1CD5"/>
    <w:rsid w:val="0080391E"/>
    <w:rsid w:val="008149DB"/>
    <w:rsid w:val="0082147C"/>
    <w:rsid w:val="00822A6C"/>
    <w:rsid w:val="0082493D"/>
    <w:rsid w:val="008320D0"/>
    <w:rsid w:val="00840CF4"/>
    <w:rsid w:val="008414A9"/>
    <w:rsid w:val="00850D9B"/>
    <w:rsid w:val="00853E37"/>
    <w:rsid w:val="008562BC"/>
    <w:rsid w:val="00863392"/>
    <w:rsid w:val="0086431F"/>
    <w:rsid w:val="00865F60"/>
    <w:rsid w:val="00866C9E"/>
    <w:rsid w:val="00872635"/>
    <w:rsid w:val="008729FB"/>
    <w:rsid w:val="00885FF0"/>
    <w:rsid w:val="008865B0"/>
    <w:rsid w:val="008A33BF"/>
    <w:rsid w:val="008B1401"/>
    <w:rsid w:val="008B516F"/>
    <w:rsid w:val="008C1DEB"/>
    <w:rsid w:val="008C22EF"/>
    <w:rsid w:val="008C57BA"/>
    <w:rsid w:val="008C7F10"/>
    <w:rsid w:val="008E5614"/>
    <w:rsid w:val="008F32A1"/>
    <w:rsid w:val="008F5E0B"/>
    <w:rsid w:val="008F7A9C"/>
    <w:rsid w:val="009153B8"/>
    <w:rsid w:val="00915AE2"/>
    <w:rsid w:val="00916544"/>
    <w:rsid w:val="00917087"/>
    <w:rsid w:val="00923511"/>
    <w:rsid w:val="00930992"/>
    <w:rsid w:val="00953B0F"/>
    <w:rsid w:val="00954583"/>
    <w:rsid w:val="00963982"/>
    <w:rsid w:val="009643E5"/>
    <w:rsid w:val="00966936"/>
    <w:rsid w:val="0097253C"/>
    <w:rsid w:val="00972F1A"/>
    <w:rsid w:val="00974AD2"/>
    <w:rsid w:val="0098335C"/>
    <w:rsid w:val="0098528E"/>
    <w:rsid w:val="00992D1D"/>
    <w:rsid w:val="009940F5"/>
    <w:rsid w:val="009A115D"/>
    <w:rsid w:val="009D50E2"/>
    <w:rsid w:val="00A01D8E"/>
    <w:rsid w:val="00A07ED4"/>
    <w:rsid w:val="00A12F85"/>
    <w:rsid w:val="00A15960"/>
    <w:rsid w:val="00A1719A"/>
    <w:rsid w:val="00A2470E"/>
    <w:rsid w:val="00A25327"/>
    <w:rsid w:val="00A25A8F"/>
    <w:rsid w:val="00A25DD6"/>
    <w:rsid w:val="00A274FF"/>
    <w:rsid w:val="00A30ADD"/>
    <w:rsid w:val="00A31E23"/>
    <w:rsid w:val="00A44149"/>
    <w:rsid w:val="00A44401"/>
    <w:rsid w:val="00A44DBE"/>
    <w:rsid w:val="00A504E5"/>
    <w:rsid w:val="00A50D98"/>
    <w:rsid w:val="00A5248F"/>
    <w:rsid w:val="00A56BD5"/>
    <w:rsid w:val="00A61084"/>
    <w:rsid w:val="00A61633"/>
    <w:rsid w:val="00A616EB"/>
    <w:rsid w:val="00A658AB"/>
    <w:rsid w:val="00A74F13"/>
    <w:rsid w:val="00A7610F"/>
    <w:rsid w:val="00A766C8"/>
    <w:rsid w:val="00A87E35"/>
    <w:rsid w:val="00A90BB1"/>
    <w:rsid w:val="00A9262E"/>
    <w:rsid w:val="00A96081"/>
    <w:rsid w:val="00AA0CC9"/>
    <w:rsid w:val="00AA1E61"/>
    <w:rsid w:val="00AA3F73"/>
    <w:rsid w:val="00AB46CB"/>
    <w:rsid w:val="00AD0A2A"/>
    <w:rsid w:val="00AD550B"/>
    <w:rsid w:val="00AE5114"/>
    <w:rsid w:val="00AE5821"/>
    <w:rsid w:val="00AE5B62"/>
    <w:rsid w:val="00AE71A3"/>
    <w:rsid w:val="00AF4C40"/>
    <w:rsid w:val="00AF5A9B"/>
    <w:rsid w:val="00B04E2E"/>
    <w:rsid w:val="00B06431"/>
    <w:rsid w:val="00B0708D"/>
    <w:rsid w:val="00B16DC7"/>
    <w:rsid w:val="00B20703"/>
    <w:rsid w:val="00B21BBC"/>
    <w:rsid w:val="00B220EB"/>
    <w:rsid w:val="00B256F4"/>
    <w:rsid w:val="00B30150"/>
    <w:rsid w:val="00B44F45"/>
    <w:rsid w:val="00B52381"/>
    <w:rsid w:val="00B52F9C"/>
    <w:rsid w:val="00B62C09"/>
    <w:rsid w:val="00B6302A"/>
    <w:rsid w:val="00B63685"/>
    <w:rsid w:val="00B77334"/>
    <w:rsid w:val="00B92171"/>
    <w:rsid w:val="00B932F5"/>
    <w:rsid w:val="00B94D30"/>
    <w:rsid w:val="00BB5EA3"/>
    <w:rsid w:val="00BD160E"/>
    <w:rsid w:val="00BD3852"/>
    <w:rsid w:val="00BE772D"/>
    <w:rsid w:val="00BF2C23"/>
    <w:rsid w:val="00BF3E87"/>
    <w:rsid w:val="00BF7962"/>
    <w:rsid w:val="00C13DF9"/>
    <w:rsid w:val="00C20BB2"/>
    <w:rsid w:val="00C26157"/>
    <w:rsid w:val="00C533BF"/>
    <w:rsid w:val="00C71792"/>
    <w:rsid w:val="00C7285B"/>
    <w:rsid w:val="00C7285F"/>
    <w:rsid w:val="00C72D8D"/>
    <w:rsid w:val="00C769B8"/>
    <w:rsid w:val="00C8415C"/>
    <w:rsid w:val="00C84908"/>
    <w:rsid w:val="00C85DA5"/>
    <w:rsid w:val="00CA6CA8"/>
    <w:rsid w:val="00CB07CB"/>
    <w:rsid w:val="00CB3C73"/>
    <w:rsid w:val="00CB47FA"/>
    <w:rsid w:val="00CB5823"/>
    <w:rsid w:val="00CB5A51"/>
    <w:rsid w:val="00CC167B"/>
    <w:rsid w:val="00CC4F77"/>
    <w:rsid w:val="00CD3761"/>
    <w:rsid w:val="00CE6636"/>
    <w:rsid w:val="00CE6CFF"/>
    <w:rsid w:val="00CF5EC5"/>
    <w:rsid w:val="00D048F8"/>
    <w:rsid w:val="00D10361"/>
    <w:rsid w:val="00D108D9"/>
    <w:rsid w:val="00D13002"/>
    <w:rsid w:val="00D13EFC"/>
    <w:rsid w:val="00D16A7F"/>
    <w:rsid w:val="00D17596"/>
    <w:rsid w:val="00D21C33"/>
    <w:rsid w:val="00D25CB2"/>
    <w:rsid w:val="00D27446"/>
    <w:rsid w:val="00D564BF"/>
    <w:rsid w:val="00D56EBE"/>
    <w:rsid w:val="00D70A60"/>
    <w:rsid w:val="00D71D63"/>
    <w:rsid w:val="00D722EA"/>
    <w:rsid w:val="00D85DA1"/>
    <w:rsid w:val="00D86103"/>
    <w:rsid w:val="00D92F80"/>
    <w:rsid w:val="00D93F2F"/>
    <w:rsid w:val="00D941D5"/>
    <w:rsid w:val="00D96957"/>
    <w:rsid w:val="00DA1522"/>
    <w:rsid w:val="00DA21DE"/>
    <w:rsid w:val="00DA2392"/>
    <w:rsid w:val="00DA43F5"/>
    <w:rsid w:val="00DA7CCE"/>
    <w:rsid w:val="00DB3652"/>
    <w:rsid w:val="00DC0743"/>
    <w:rsid w:val="00DC1BB6"/>
    <w:rsid w:val="00DC2F81"/>
    <w:rsid w:val="00DC53F5"/>
    <w:rsid w:val="00DD481F"/>
    <w:rsid w:val="00DD6EDD"/>
    <w:rsid w:val="00DE2842"/>
    <w:rsid w:val="00DE4575"/>
    <w:rsid w:val="00E0180A"/>
    <w:rsid w:val="00E07188"/>
    <w:rsid w:val="00E118A2"/>
    <w:rsid w:val="00E1690F"/>
    <w:rsid w:val="00E31105"/>
    <w:rsid w:val="00E35F65"/>
    <w:rsid w:val="00E36137"/>
    <w:rsid w:val="00E36333"/>
    <w:rsid w:val="00E421A1"/>
    <w:rsid w:val="00E47D53"/>
    <w:rsid w:val="00E56F0D"/>
    <w:rsid w:val="00E57B8A"/>
    <w:rsid w:val="00E6020E"/>
    <w:rsid w:val="00E64252"/>
    <w:rsid w:val="00E8206A"/>
    <w:rsid w:val="00E863C5"/>
    <w:rsid w:val="00E90FF0"/>
    <w:rsid w:val="00EA0609"/>
    <w:rsid w:val="00EA1326"/>
    <w:rsid w:val="00EA229D"/>
    <w:rsid w:val="00EB5045"/>
    <w:rsid w:val="00EB639A"/>
    <w:rsid w:val="00ED051F"/>
    <w:rsid w:val="00ED644B"/>
    <w:rsid w:val="00ED701E"/>
    <w:rsid w:val="00ED77AD"/>
    <w:rsid w:val="00EE0C8D"/>
    <w:rsid w:val="00EE6EFD"/>
    <w:rsid w:val="00F051B3"/>
    <w:rsid w:val="00F16439"/>
    <w:rsid w:val="00F1706F"/>
    <w:rsid w:val="00F23BCF"/>
    <w:rsid w:val="00F351EA"/>
    <w:rsid w:val="00F47F43"/>
    <w:rsid w:val="00F52BE4"/>
    <w:rsid w:val="00F55B5D"/>
    <w:rsid w:val="00F62DB8"/>
    <w:rsid w:val="00F64663"/>
    <w:rsid w:val="00F67B19"/>
    <w:rsid w:val="00F7394B"/>
    <w:rsid w:val="00F74B6F"/>
    <w:rsid w:val="00F85B98"/>
    <w:rsid w:val="00F93B33"/>
    <w:rsid w:val="00FB0BC2"/>
    <w:rsid w:val="00FC2C41"/>
    <w:rsid w:val="00FD7AC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C1B84"/>
  <w15:docId w15:val="{8E880437-021E-4BA3-8B37-45EA084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52B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52BE4"/>
    <w:rPr>
      <w:sz w:val="24"/>
      <w:szCs w:val="24"/>
    </w:rPr>
  </w:style>
  <w:style w:type="table" w:styleId="TableGrid">
    <w:name w:val="Table Grid"/>
    <w:basedOn w:val="TableNormal"/>
    <w:uiPriority w:val="99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D3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52BE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5A51"/>
  </w:style>
  <w:style w:type="character" w:customStyle="1" w:styleId="hps">
    <w:name w:val="hps"/>
    <w:basedOn w:val="DefaultParagraphFont"/>
    <w:uiPriority w:val="99"/>
    <w:rsid w:val="001E03E5"/>
  </w:style>
  <w:style w:type="paragraph" w:styleId="BalloonText">
    <w:name w:val="Balloon Text"/>
    <w:basedOn w:val="Normal"/>
    <w:link w:val="BalloonTextChar"/>
    <w:uiPriority w:val="99"/>
    <w:semiHidden/>
    <w:rsid w:val="00CB3C73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locked/>
    <w:rsid w:val="00CB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4F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rsid w:val="00286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28699D"/>
  </w:style>
  <w:style w:type="character" w:styleId="FootnoteReference">
    <w:name w:val="footnote reference"/>
    <w:rsid w:val="0028699D"/>
    <w:rPr>
      <w:vertAlign w:val="superscript"/>
    </w:rPr>
  </w:style>
  <w:style w:type="paragraph" w:customStyle="1" w:styleId="Podnaslovsopstenja">
    <w:name w:val="Podnaslov sopstenja"/>
    <w:basedOn w:val="Normal"/>
    <w:uiPriority w:val="99"/>
    <w:rsid w:val="000410EB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0410E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0410EB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@stat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jiljana.sekulic@stat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Stanovnistvo\Sn-70-15\2018\ENG-saopstenje%20za%20javnost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Stanovnistvo\Sn-70-15\2018\ENG-Saopstenje_tabele%20i%20grafic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50016835016835"/>
          <c:y val="5.0925925925925923E-2"/>
          <c:w val="0.83623501683501689"/>
          <c:h val="0.80808690580344122"/>
        </c:manualLayout>
      </c:layout>
      <c:lineChart>
        <c:grouping val="standard"/>
        <c:varyColors val="0"/>
        <c:ser>
          <c:idx val="0"/>
          <c:order val="0"/>
          <c:tx>
            <c:strRef>
              <c:f>'Граф 1'!$C$3</c:f>
              <c:strCache>
                <c:ptCount val="1"/>
                <c:pt idx="0">
                  <c:v> Population estimates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'Граф 1'!$B$4:$B$19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'Граф 1'!$C$4:$C$19</c:f>
              <c:numCache>
                <c:formatCode>General</c:formatCode>
                <c:ptCount val="16"/>
                <c:pt idx="0">
                  <c:v>7500031</c:v>
                </c:pt>
                <c:pt idx="1">
                  <c:v>7480591</c:v>
                </c:pt>
                <c:pt idx="2">
                  <c:v>7463157</c:v>
                </c:pt>
                <c:pt idx="3">
                  <c:v>7440769</c:v>
                </c:pt>
                <c:pt idx="4">
                  <c:v>7411569</c:v>
                </c:pt>
                <c:pt idx="5">
                  <c:v>7381579</c:v>
                </c:pt>
                <c:pt idx="6">
                  <c:v>7350222</c:v>
                </c:pt>
                <c:pt idx="7">
                  <c:v>7320807</c:v>
                </c:pt>
                <c:pt idx="8">
                  <c:v>7291436</c:v>
                </c:pt>
                <c:pt idx="9">
                  <c:v>7236519</c:v>
                </c:pt>
                <c:pt idx="10">
                  <c:v>7201497</c:v>
                </c:pt>
                <c:pt idx="11">
                  <c:v>7166552</c:v>
                </c:pt>
                <c:pt idx="12">
                  <c:v>7131787</c:v>
                </c:pt>
                <c:pt idx="13">
                  <c:v>7095383</c:v>
                </c:pt>
                <c:pt idx="14">
                  <c:v>7058322</c:v>
                </c:pt>
                <c:pt idx="15">
                  <c:v>7020858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C5-49AE-84FA-49F0873CF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635215"/>
        <c:axId val="281629807"/>
      </c:lineChart>
      <c:catAx>
        <c:axId val="2816352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629807"/>
        <c:crosses val="autoZero"/>
        <c:auto val="1"/>
        <c:lblAlgn val="ctr"/>
        <c:lblOffset val="100"/>
        <c:noMultiLvlLbl val="0"/>
      </c:catAx>
      <c:valAx>
        <c:axId val="281629807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0" i="0" baseline="0">
                    <a:effectLst/>
                  </a:rPr>
                  <a:t>Number of inhabitants in thousands</a:t>
                </a:r>
                <a:endParaRPr lang="en-US" sz="800">
                  <a:effectLst/>
                </a:endParaRPr>
              </a:p>
            </c:rich>
          </c:tx>
          <c:layout>
            <c:manualLayout>
              <c:xMode val="edge"/>
              <c:yMode val="edge"/>
              <c:x val="1.9047643097643095E-2"/>
              <c:y val="0.139674206349206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635215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273181818181819"/>
          <c:y val="0.14644960317460315"/>
          <c:w val="0.234010101010101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77815829528169E-2"/>
          <c:y val="7.6200000000000004E-2"/>
          <c:w val="0.89951046423135461"/>
          <c:h val="0.62598399999999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 2'!$B$2</c:f>
              <c:strCache>
                <c:ptCount val="1"/>
                <c:pt idx="0">
                  <c:v> Share of population aged under 15   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'Граф 2'!$A$3:$A$27</c:f>
              <c:strCache>
                <c:ptCount val="25"/>
                <c:pt idx="0">
                  <c:v>Zaječarska</c:v>
                </c:pt>
                <c:pt idx="1">
                  <c:v>Pirotska</c:v>
                </c:pt>
                <c:pt idx="2">
                  <c:v>Braničevska</c:v>
                </c:pt>
                <c:pt idx="3">
                  <c:v>Borska</c:v>
                </c:pt>
                <c:pt idx="4">
                  <c:v>Pomoravska</c:v>
                </c:pt>
                <c:pt idx="5">
                  <c:v>Rasinska</c:v>
                </c:pt>
                <c:pt idx="6">
                  <c:v>Toplička</c:v>
                </c:pt>
                <c:pt idx="7">
                  <c:v>Nišavska</c:v>
                </c:pt>
                <c:pt idx="8">
                  <c:v>Moravička</c:v>
                </c:pt>
                <c:pt idx="9">
                  <c:v>Zapadnobačka </c:v>
                </c:pt>
                <c:pt idx="10">
                  <c:v>Kolubarska</c:v>
                </c:pt>
                <c:pt idx="11">
                  <c:v>Jablanička</c:v>
                </c:pt>
                <c:pt idx="12">
                  <c:v>Zlatiborska</c:v>
                </c:pt>
                <c:pt idx="13">
                  <c:v>Šumadijska</c:v>
                </c:pt>
                <c:pt idx="14">
                  <c:v>Severnobanatska</c:v>
                </c:pt>
                <c:pt idx="15">
                  <c:v>Podunavska</c:v>
                </c:pt>
                <c:pt idx="16">
                  <c:v>Srednjobanatska</c:v>
                </c:pt>
                <c:pt idx="17">
                  <c:v>Južnobanatska</c:v>
                </c:pt>
                <c:pt idx="18">
                  <c:v>Mačvanska</c:v>
                </c:pt>
                <c:pt idx="19">
                  <c:v>Severnobačka</c:v>
                </c:pt>
                <c:pt idx="20">
                  <c:v>Sremska</c:v>
                </c:pt>
                <c:pt idx="21">
                  <c:v>Beogradska</c:v>
                </c:pt>
                <c:pt idx="22">
                  <c:v>Južnobačka</c:v>
                </c:pt>
                <c:pt idx="23">
                  <c:v>Raška</c:v>
                </c:pt>
                <c:pt idx="24">
                  <c:v>Pčinjska</c:v>
                </c:pt>
              </c:strCache>
            </c:strRef>
          </c:cat>
          <c:val>
            <c:numRef>
              <c:f>'Граф 2'!$B$3:$B$27</c:f>
              <c:numCache>
                <c:formatCode>General</c:formatCode>
                <c:ptCount val="25"/>
                <c:pt idx="0">
                  <c:v>11.474542568911</c:v>
                </c:pt>
                <c:pt idx="1">
                  <c:v>11.803778325810001</c:v>
                </c:pt>
                <c:pt idx="2">
                  <c:v>12.889011615268</c:v>
                </c:pt>
                <c:pt idx="3">
                  <c:v>12.257873467112001</c:v>
                </c:pt>
                <c:pt idx="4">
                  <c:v>13.022645712164</c:v>
                </c:pt>
                <c:pt idx="5">
                  <c:v>13.003509576380999</c:v>
                </c:pt>
                <c:pt idx="6">
                  <c:v>13.993926389719</c:v>
                </c:pt>
                <c:pt idx="7">
                  <c:v>13.507635442953999</c:v>
                </c:pt>
                <c:pt idx="8">
                  <c:v>13.644283409066</c:v>
                </c:pt>
                <c:pt idx="9">
                  <c:v>12.999937267247001</c:v>
                </c:pt>
                <c:pt idx="10">
                  <c:v>13.258668990095</c:v>
                </c:pt>
                <c:pt idx="11">
                  <c:v>13.886565578044999</c:v>
                </c:pt>
                <c:pt idx="12">
                  <c:v>14.095101077172</c:v>
                </c:pt>
                <c:pt idx="13">
                  <c:v>13.939296104324001</c:v>
                </c:pt>
                <c:pt idx="14">
                  <c:v>13.553417984982</c:v>
                </c:pt>
                <c:pt idx="15">
                  <c:v>14.131820128932</c:v>
                </c:pt>
                <c:pt idx="16">
                  <c:v>14.069303133529999</c:v>
                </c:pt>
                <c:pt idx="17">
                  <c:v>14.390315892788999</c:v>
                </c:pt>
                <c:pt idx="18">
                  <c:v>14.198235379335999</c:v>
                </c:pt>
                <c:pt idx="19">
                  <c:v>13.921341399176001</c:v>
                </c:pt>
                <c:pt idx="20">
                  <c:v>14.078634364159999</c:v>
                </c:pt>
                <c:pt idx="21">
                  <c:v>14.907428701488</c:v>
                </c:pt>
                <c:pt idx="22">
                  <c:v>15.539955562675001</c:v>
                </c:pt>
                <c:pt idx="23">
                  <c:v>18.425645685298999</c:v>
                </c:pt>
                <c:pt idx="24">
                  <c:v>16.192599825841999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1-4B6B-856D-15E3D35AF835}"/>
            </c:ext>
          </c:extLst>
        </c:ser>
        <c:ser>
          <c:idx val="1"/>
          <c:order val="1"/>
          <c:tx>
            <c:strRef>
              <c:f>'Граф 2'!$C$2</c:f>
              <c:strCache>
                <c:ptCount val="1"/>
                <c:pt idx="0">
                  <c:v> Share of population aged 65 and over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'Граф 2'!$A$3:$A$27</c:f>
              <c:strCache>
                <c:ptCount val="25"/>
                <c:pt idx="0">
                  <c:v>Zaječarska</c:v>
                </c:pt>
                <c:pt idx="1">
                  <c:v>Pirotska</c:v>
                </c:pt>
                <c:pt idx="2">
                  <c:v>Braničevska</c:v>
                </c:pt>
                <c:pt idx="3">
                  <c:v>Borska</c:v>
                </c:pt>
                <c:pt idx="4">
                  <c:v>Pomoravska</c:v>
                </c:pt>
                <c:pt idx="5">
                  <c:v>Rasinska</c:v>
                </c:pt>
                <c:pt idx="6">
                  <c:v>Toplička</c:v>
                </c:pt>
                <c:pt idx="7">
                  <c:v>Nišavska</c:v>
                </c:pt>
                <c:pt idx="8">
                  <c:v>Moravička</c:v>
                </c:pt>
                <c:pt idx="9">
                  <c:v>Zapadnobačka </c:v>
                </c:pt>
                <c:pt idx="10">
                  <c:v>Kolubarska</c:v>
                </c:pt>
                <c:pt idx="11">
                  <c:v>Jablanička</c:v>
                </c:pt>
                <c:pt idx="12">
                  <c:v>Zlatiborska</c:v>
                </c:pt>
                <c:pt idx="13">
                  <c:v>Šumadijska</c:v>
                </c:pt>
                <c:pt idx="14">
                  <c:v>Severnobanatska</c:v>
                </c:pt>
                <c:pt idx="15">
                  <c:v>Podunavska</c:v>
                </c:pt>
                <c:pt idx="16">
                  <c:v>Srednjobanatska</c:v>
                </c:pt>
                <c:pt idx="17">
                  <c:v>Južnobanatska</c:v>
                </c:pt>
                <c:pt idx="18">
                  <c:v>Mačvanska</c:v>
                </c:pt>
                <c:pt idx="19">
                  <c:v>Severnobačka</c:v>
                </c:pt>
                <c:pt idx="20">
                  <c:v>Sremska</c:v>
                </c:pt>
                <c:pt idx="21">
                  <c:v>Beogradska</c:v>
                </c:pt>
                <c:pt idx="22">
                  <c:v>Južnobačka</c:v>
                </c:pt>
                <c:pt idx="23">
                  <c:v>Raška</c:v>
                </c:pt>
                <c:pt idx="24">
                  <c:v>Pčinjska</c:v>
                </c:pt>
              </c:strCache>
            </c:strRef>
          </c:cat>
          <c:val>
            <c:numRef>
              <c:f>'Граф 2'!$C$3:$C$27</c:f>
              <c:numCache>
                <c:formatCode>General</c:formatCode>
                <c:ptCount val="25"/>
                <c:pt idx="0">
                  <c:v>27.300837331484001</c:v>
                </c:pt>
                <c:pt idx="1">
                  <c:v>24.660322925875001</c:v>
                </c:pt>
                <c:pt idx="2">
                  <c:v>23.731103891143999</c:v>
                </c:pt>
                <c:pt idx="3">
                  <c:v>23.712722965440001</c:v>
                </c:pt>
                <c:pt idx="4">
                  <c:v>22.808068308376999</c:v>
                </c:pt>
                <c:pt idx="5">
                  <c:v>22.404412542766998</c:v>
                </c:pt>
                <c:pt idx="6">
                  <c:v>22.083084174610001</c:v>
                </c:pt>
                <c:pt idx="7">
                  <c:v>21.354251051056998</c:v>
                </c:pt>
                <c:pt idx="8">
                  <c:v>21.229940700701</c:v>
                </c:pt>
                <c:pt idx="9">
                  <c:v>21.081626717309</c:v>
                </c:pt>
                <c:pt idx="10">
                  <c:v>20.782583967133</c:v>
                </c:pt>
                <c:pt idx="11">
                  <c:v>20.413866393772999</c:v>
                </c:pt>
                <c:pt idx="12">
                  <c:v>20.310609414195</c:v>
                </c:pt>
                <c:pt idx="13">
                  <c:v>19.894229655701999</c:v>
                </c:pt>
                <c:pt idx="14">
                  <c:v>19.890728548612</c:v>
                </c:pt>
                <c:pt idx="15">
                  <c:v>19.696336684453001</c:v>
                </c:pt>
                <c:pt idx="16">
                  <c:v>19.552981252959999</c:v>
                </c:pt>
                <c:pt idx="17">
                  <c:v>19.143821367480999</c:v>
                </c:pt>
                <c:pt idx="18">
                  <c:v>19.099527573522</c:v>
                </c:pt>
                <c:pt idx="19">
                  <c:v>18.985411618583001</c:v>
                </c:pt>
                <c:pt idx="20">
                  <c:v>18.960224327879999</c:v>
                </c:pt>
                <c:pt idx="21">
                  <c:v>18.710095001458001</c:v>
                </c:pt>
                <c:pt idx="22">
                  <c:v>17.118241149349998</c:v>
                </c:pt>
                <c:pt idx="23">
                  <c:v>16.010903599887001</c:v>
                </c:pt>
                <c:pt idx="24">
                  <c:v>14.989605931413999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21-4B6B-856D-15E3D35AF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166426896"/>
        <c:axId val="166429808"/>
      </c:barChart>
      <c:catAx>
        <c:axId val="16642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6429808"/>
        <c:crosses val="autoZero"/>
        <c:auto val="1"/>
        <c:lblAlgn val="ctr"/>
        <c:lblOffset val="100"/>
        <c:noMultiLvlLbl val="0"/>
      </c:catAx>
      <c:valAx>
        <c:axId val="16642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317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sr-Latn-RS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6.7656012176560115E-2"/>
              <c:y val="2.637422222222223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in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642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B0F0-DAFC-4B9E-99E1-DBFEEB4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Aleksandra Danilovic</cp:lastModifiedBy>
  <cp:revision>2</cp:revision>
  <cp:lastPrinted>2015-07-14T09:23:00Z</cp:lastPrinted>
  <dcterms:created xsi:type="dcterms:W3CDTF">2018-06-28T10:53:00Z</dcterms:created>
  <dcterms:modified xsi:type="dcterms:W3CDTF">2018-06-28T10:53:00Z</dcterms:modified>
</cp:coreProperties>
</file>