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BD45E01" Type="http://schemas.openxmlformats.org/officeDocument/2006/relationships/officeDocument" Target="/word/document.xml" /><Relationship Id="coreR4BD45E0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rPr>
            </w:pPr>
            <w:r>
              <w:rPr>
                <w:rFonts w:ascii="Tahoma" w:hAnsi="Tahoma"/>
              </w:rPr>
              <w:t>June, 12, 2018</w:t>
            </w:r>
          </w:p>
          <w:p>
            <w:pPr>
              <w:jc w:val="right"/>
              <w:rPr>
                <w:rFonts w:ascii="Tahoma" w:hAnsi="Tahoma"/>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pStyle w:val="P1"/>
                    <w:rPr>
                      <w:sz w:val="24"/>
                    </w:rPr>
                  </w:pPr>
                  <w:r>
                    <w:rPr>
                      <w:sz w:val="24"/>
                    </w:rPr>
                    <w:t xml:space="preserve">                                Consumer Price Indices - CPI COICOP, May 2018  </w:t>
                  </w:r>
                </w:p>
                <w:p>
                  <w:pPr>
                    <w:jc w:val="center"/>
                    <w:rPr>
                      <w:rFonts w:ascii="Tahoma" w:hAnsi="Tahoma"/>
                    </w:rPr>
                  </w:pPr>
                </w:p>
              </w:tc>
            </w:tr>
            <w:tr>
              <w:tc>
                <w:tcPr>
                  <w:tcW w:w="10065" w:type="dxa"/>
                  <w:tcBorders>
                    <w:top w:val="none" w:sz="0" w:space="0" w:shadow="0" w:frame="0"/>
                    <w:left w:val="none" w:sz="0" w:space="0" w:shadow="0" w:frame="0"/>
                    <w:bottom w:val="none" w:sz="0" w:space="0" w:shadow="0" w:frame="0"/>
                    <w:right w:val="none" w:sz="0" w:space="0" w:shadow="0" w:frame="0"/>
                  </w:tcBorders>
                </w:tcPr>
                <w:p>
                  <w:pPr>
                    <w:pStyle w:val="P1"/>
                    <w:rPr>
                      <w:sz w:val="24"/>
                    </w:rPr>
                  </w:pPr>
                </w:p>
              </w:tc>
            </w:tr>
          </w:tbl>
          <w:p>
            <w:pPr>
              <w:jc w:val="both"/>
              <w:rPr>
                <w:rFonts w:ascii="Tahoma" w:hAnsi="Tahoma"/>
              </w:rPr>
            </w:pPr>
          </w:p>
          <w:p>
            <w:pPr>
              <w:jc w:val="both"/>
              <w:rPr>
                <w:rFonts w:ascii="Tahoma" w:hAnsi="Tahoma"/>
              </w:rPr>
            </w:pPr>
          </w:p>
          <w:p>
            <w:pPr>
              <w:jc w:val="both"/>
              <w:rPr>
                <w:rFonts w:ascii="Arial" w:hAnsi="Arial"/>
                <w:sz w:val="22"/>
              </w:rPr>
            </w:pPr>
            <w:r>
              <w:rPr>
                <w:rFonts w:ascii="Arial" w:hAnsi="Arial"/>
              </w:rPr>
              <w:t>CPI COICOP</w:t>
            </w:r>
            <w:r>
              <w:rPr>
                <w:rFonts w:ascii="Arial" w:hAnsi="Arial"/>
                <w:sz w:val="22"/>
              </w:rPr>
              <w:t xml:space="preserve"> is defined as a measure of average change of retail prices of goods and services used for personal consumption. </w:t>
            </w:r>
          </w:p>
          <w:p>
            <w:pPr>
              <w:jc w:val="both"/>
              <w:rPr>
                <w:rFonts w:ascii="Arial" w:hAnsi="Arial"/>
                <w:sz w:val="22"/>
              </w:rPr>
            </w:pPr>
          </w:p>
          <w:p>
            <w:pPr>
              <w:jc w:val="both"/>
              <w:rPr>
                <w:rFonts w:ascii="Arial" w:hAnsi="Arial"/>
                <w:sz w:val="22"/>
              </w:rPr>
            </w:pPr>
            <w:r>
              <w:rPr>
                <w:rFonts w:ascii="Arial" w:hAnsi="Arial"/>
                <w:sz w:val="22"/>
              </w:rPr>
              <w:t xml:space="preserve">Prices of these products and services in May 2018 in relation to April 2018 increased by 0.6% on average. Consumer prices in May 2018 increased, compared with the same month of the previous year, by 2.1%, while in relation to December 2017, the increase of 1.8% was recorded.      </w:t>
            </w:r>
          </w:p>
          <w:p>
            <w:pPr>
              <w:jc w:val="both"/>
              <w:rPr>
                <w:rFonts w:ascii="Tahoma" w:hAnsi="Tahoma"/>
                <w:sz w:val="20"/>
              </w:rPr>
            </w:pPr>
          </w:p>
          <w:p>
            <w:pPr>
              <w:jc w:val="both"/>
              <w:rPr>
                <w:rFonts w:ascii="Arial" w:hAnsi="Arial"/>
                <w:sz w:val="22"/>
              </w:rPr>
            </w:pPr>
            <w:r>
              <w:rPr>
                <w:rFonts w:ascii="Arial" w:hAnsi="Arial"/>
                <w:sz w:val="22"/>
              </w:rPr>
              <w:t xml:space="preserve">Observed by main groups according to destination of consumption in May 2018 in relation to the previous month, the increase of prices was noted in the following groups: </w:t>
            </w:r>
            <w:r>
              <w:rPr>
                <w:rFonts w:ascii="Arial" w:hAnsi="Arial"/>
                <w:i w:val="1"/>
                <w:sz w:val="22"/>
              </w:rPr>
              <w:t>Transport</w:t>
            </w:r>
            <w:r>
              <w:rPr>
                <w:rFonts w:ascii="Arial" w:hAnsi="Arial"/>
                <w:sz w:val="22"/>
              </w:rPr>
              <w:t xml:space="preserve"> (1.4%), </w:t>
            </w:r>
            <w:r>
              <w:rPr>
                <w:rFonts w:ascii="Arial" w:hAnsi="Arial"/>
                <w:i w:val="1"/>
                <w:sz w:val="22"/>
              </w:rPr>
              <w:t>Food and non-alcoholic beverages</w:t>
            </w:r>
            <w:r>
              <w:rPr>
                <w:rFonts w:ascii="Arial" w:hAnsi="Arial"/>
                <w:sz w:val="22"/>
              </w:rPr>
              <w:t xml:space="preserve"> (1.2%), </w:t>
            </w:r>
            <w:r>
              <w:rPr>
                <w:rFonts w:ascii="Arial" w:hAnsi="Arial"/>
                <w:i w:val="1"/>
                <w:sz w:val="22"/>
              </w:rPr>
              <w:t>Health</w:t>
            </w:r>
            <w:r>
              <w:rPr>
                <w:rFonts w:ascii="Arial" w:hAnsi="Arial"/>
                <w:sz w:val="22"/>
              </w:rPr>
              <w:t xml:space="preserve"> and </w:t>
            </w:r>
            <w:r>
              <w:rPr>
                <w:rFonts w:ascii="Arial" w:hAnsi="Arial"/>
                <w:i w:val="1"/>
                <w:sz w:val="22"/>
              </w:rPr>
              <w:t>Restaurants</w:t>
            </w:r>
            <w:r>
              <w:rPr>
                <w:rFonts w:ascii="Arial" w:hAnsi="Arial"/>
                <w:sz w:val="22"/>
              </w:rPr>
              <w:t xml:space="preserve"> and </w:t>
            </w:r>
            <w:r>
              <w:rPr>
                <w:rFonts w:ascii="Arial" w:hAnsi="Arial"/>
                <w:i w:val="1"/>
                <w:sz w:val="22"/>
              </w:rPr>
              <w:t xml:space="preserve">hotels </w:t>
            </w:r>
            <w:r>
              <w:rPr>
                <w:rFonts w:ascii="Arial" w:hAnsi="Arial"/>
                <w:sz w:val="22"/>
              </w:rPr>
              <w:t xml:space="preserve">(by 0,5% each group)  </w:t>
            </w:r>
            <w:r>
              <w:rPr>
                <w:rFonts w:ascii="Arial" w:hAnsi="Arial"/>
                <w:i w:val="1"/>
                <w:sz w:val="22"/>
              </w:rPr>
              <w:t xml:space="preserve">Clothing and footwear </w:t>
            </w:r>
            <w:r>
              <w:rPr>
                <w:rFonts w:ascii="Arial" w:hAnsi="Arial"/>
                <w:sz w:val="22"/>
              </w:rPr>
              <w:t xml:space="preserve">(0.3%), and </w:t>
            </w:r>
            <w:r>
              <w:rPr>
                <w:rFonts w:ascii="Arial" w:hAnsi="Arial"/>
                <w:i w:val="1"/>
                <w:sz w:val="22"/>
              </w:rPr>
              <w:t>Recreation</w:t>
            </w:r>
            <w:r>
              <w:rPr>
                <w:rFonts w:ascii="Arial" w:hAnsi="Arial"/>
                <w:i w:val="1"/>
                <w:sz w:val="22"/>
              </w:rPr>
              <w:t xml:space="preserve"> and culture</w:t>
            </w:r>
            <w:r>
              <w:rPr>
                <w:rFonts w:ascii="Arial" w:hAnsi="Arial"/>
                <w:sz w:val="22"/>
              </w:rPr>
              <w:t xml:space="preserve"> (by 0.2%, each group</w:t>
            </w:r>
            <w:r>
              <w:rPr>
                <w:rFonts w:ascii="Arial" w:hAnsi="Arial"/>
                <w:i w:val="1"/>
                <w:sz w:val="22"/>
              </w:rPr>
              <w:t>)</w:t>
            </w:r>
            <w:r>
              <w:rPr>
                <w:rFonts w:ascii="Arial" w:hAnsi="Arial"/>
                <w:color w:val="000000"/>
                <w:sz w:val="22"/>
                <w:shd w:val="clear" w:color="auto" w:fill="FFFFFF"/>
              </w:rPr>
              <w:t xml:space="preserve">. </w:t>
            </w:r>
            <w:r>
              <w:rPr>
                <w:rFonts w:ascii="Arial" w:hAnsi="Arial"/>
                <w:sz w:val="22"/>
              </w:rPr>
              <w:t xml:space="preserve">Decrease of prices was recorded in the group </w:t>
            </w:r>
            <w:r>
              <w:rPr>
                <w:rFonts w:ascii="Arial" w:hAnsi="Arial"/>
                <w:i w:val="1"/>
                <w:sz w:val="22"/>
              </w:rPr>
              <w:t>Communication</w:t>
            </w:r>
            <w:r>
              <w:rPr>
                <w:rFonts w:ascii="Arial" w:hAnsi="Arial"/>
                <w:i w:val="1"/>
                <w:sz w:val="22"/>
              </w:rPr>
              <w:t xml:space="preserve"> </w:t>
            </w:r>
            <w:r>
              <w:rPr>
                <w:rFonts w:ascii="Arial" w:hAnsi="Arial"/>
                <w:sz w:val="22"/>
              </w:rPr>
              <w:t>(by -0,5%).</w:t>
            </w:r>
          </w:p>
          <w:p>
            <w:pPr>
              <w:jc w:val="both"/>
              <w:rPr>
                <w:rFonts w:ascii="Arial" w:hAnsi="Arial"/>
                <w:sz w:val="22"/>
              </w:rPr>
            </w:pPr>
          </w:p>
          <w:p>
            <w:pPr>
              <w:jc w:val="both"/>
              <w:rPr>
                <w:rFonts w:ascii="Arial" w:hAnsi="Arial"/>
                <w:sz w:val="22"/>
              </w:rPr>
            </w:pPr>
            <w:r>
              <w:rPr>
                <w:rFonts w:ascii="Arial" w:hAnsi="Arial"/>
                <w:sz w:val="22"/>
              </w:rPr>
              <w:t xml:space="preserve">Prices of other products and services mostly remained unchanged. </w:t>
            </w:r>
          </w:p>
          <w:p>
            <w:pPr>
              <w:ind w:left="72"/>
              <w:jc w:val="both"/>
              <w:rPr>
                <w:rFonts w:ascii="Arial" w:hAnsi="Arial"/>
                <w:sz w:val="22"/>
              </w:rPr>
            </w:pPr>
          </w:p>
          <w:p>
            <w:pPr>
              <w:jc w:val="both"/>
              <w:rPr>
                <w:rFonts w:ascii="Arial" w:hAnsi="Arial"/>
                <w:sz w:val="16"/>
              </w:rPr>
            </w:pPr>
            <w:r>
              <w:rPr>
                <w:rFonts w:ascii="Arial" w:hAnsi="Arial"/>
                <w:sz w:val="22"/>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w:t>
            </w:r>
            <w:r>
              <w:rPr>
                <w:rFonts w:ascii="Arial" w:hAnsi="Arial"/>
                <w:sz w:val="16"/>
              </w:rPr>
              <w:t xml:space="preserve">). </w:t>
            </w:r>
          </w:p>
          <w:p>
            <w:pPr>
              <w:ind w:left="72"/>
              <w:jc w:val="both"/>
              <w:rPr>
                <w:rFonts w:ascii="Arial" w:hAnsi="Arial"/>
                <w:sz w:val="22"/>
              </w:rPr>
            </w:pPr>
          </w:p>
          <w:p>
            <w:pPr>
              <w:tabs>
                <w:tab w:val="left" w:pos="-180" w:leader="none"/>
              </w:tabs>
              <w:ind w:hanging="181" w:left="68"/>
              <w:jc w:val="both"/>
              <w:rPr>
                <w:rFonts w:ascii="Arial" w:hAnsi="Arial"/>
                <w:i w:val="1"/>
                <w:sz w:val="20"/>
              </w:rPr>
            </w:pPr>
          </w:p>
          <w:p>
            <w:pPr>
              <w:tabs>
                <w:tab w:val="left" w:pos="-180" w:leader="none"/>
              </w:tabs>
              <w:ind w:firstLine="432"/>
              <w:jc w:val="both"/>
              <w:rPr>
                <w:rFonts w:ascii="Arial" w:hAnsi="Arial"/>
                <w:sz w:val="20"/>
              </w:rPr>
            </w:pPr>
            <w:r>
              <w:rPr>
                <w:rFonts w:ascii="Arial" w:hAnsi="Arial"/>
                <w:i w:val="1"/>
                <w:sz w:val="20"/>
              </w:rPr>
              <w:t xml:space="preserve"> </w:t>
            </w:r>
            <w:r>
              <w:rPr>
                <w:rFonts w:ascii="Arial" w:hAnsi="Arial"/>
                <w:sz w:val="20"/>
              </w:rPr>
              <w:t xml:space="preserve">  </w:t>
            </w:r>
          </w:p>
          <w:p>
            <w:pPr>
              <w:ind w:hanging="181" w:left="68"/>
              <w:jc w:val="both"/>
              <w:rPr>
                <w:rFonts w:ascii="Arial" w:hAnsi="Arial"/>
                <w:sz w:val="20"/>
              </w:rPr>
            </w:pPr>
          </w:p>
          <w:p>
            <w:pPr>
              <w:ind w:hanging="181" w:left="68"/>
              <w:jc w:val="both"/>
              <w:rPr>
                <w:rFonts w:ascii="Arial" w:hAnsi="Arial"/>
                <w:sz w:val="20"/>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032" w:type="dxa"/>
                </w:tcPr>
                <w:p>
                  <w:pPr>
                    <w:rPr>
                      <w:rFonts w:ascii="Tahoma" w:hAnsi="Tahoma"/>
                      <w:sz w:val="20"/>
                    </w:rPr>
                  </w:pPr>
                </w:p>
                <w:p>
                  <w:pPr>
                    <w:rPr>
                      <w:rFonts w:ascii="Tahoma" w:hAnsi="Tahoma"/>
                      <w:sz w:val="20"/>
                    </w:rPr>
                  </w:pPr>
                </w:p>
                <w:p>
                  <w:pPr>
                    <w:rPr>
                      <w:rFonts w:ascii="Tahoma" w:hAnsi="Tahoma"/>
                      <w:sz w:val="20"/>
                    </w:rPr>
                  </w:pPr>
                </w:p>
              </w:tc>
              <w:tc>
                <w:tcPr>
                  <w:tcW w:w="5033" w:type="dxa"/>
                </w:tcPr>
                <w:p>
                  <w:pPr>
                    <w:jc w:val="right"/>
                    <w:rPr>
                      <w:rFonts w:ascii="Tahoma" w:hAnsi="Tahoma"/>
                      <w:sz w:val="20"/>
                    </w:rPr>
                  </w:pPr>
                  <w:r>
                    <w:rPr>
                      <w:rFonts w:ascii="Tahoma" w:hAnsi="Tahoma"/>
                      <w:sz w:val="20"/>
                    </w:rPr>
                    <w:t xml:space="preserve">    </w:t>
                  </w:r>
                </w:p>
              </w:tc>
            </w:tr>
          </w:tbl>
          <w:p>
            <w:pPr>
              <w:jc w:val="both"/>
              <w:rPr>
                <w:rFonts w:ascii="Tahoma" w:hAnsi="Tahoma"/>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Tatjana Savic, Head</w:t>
          </w:r>
        </w:p>
        <w:p>
          <w:pPr>
            <w:jc w:val="both"/>
            <w:rPr>
              <w:rFonts w:ascii="Arial" w:hAnsi="Arial"/>
              <w:color w:val="000000"/>
              <w:sz w:val="22"/>
            </w:rPr>
          </w:pPr>
          <w:r>
            <w:rPr>
              <w:rFonts w:ascii="Tahoma" w:hAnsi="Tahoma"/>
              <w:color w:val="808080"/>
              <w:sz w:val="20"/>
            </w:rPr>
            <w:t>Division for consumer price statistics</w:t>
          </w:r>
          <w:r>
            <w:rPr>
              <w:rFonts w:ascii="Arial" w:hAnsi="Arial"/>
              <w:color w:val="000000"/>
              <w:sz w:val="22"/>
            </w:rPr>
            <w:t xml:space="preserve"> </w:t>
          </w:r>
        </w:p>
        <w:p>
          <w:pPr>
            <w:jc w:val="both"/>
            <w:rPr>
              <w:rFonts w:ascii="Tahoma" w:hAnsi="Tahoma"/>
              <w:color w:val="808080"/>
              <w:sz w:val="20"/>
            </w:rPr>
          </w:pPr>
          <w:r>
            <w:rPr>
              <w:rFonts w:ascii="Tahoma" w:hAnsi="Tahoma"/>
              <w:color w:val="808080"/>
              <w:sz w:val="20"/>
            </w:rPr>
            <w:t>Phone: +381 11 2412-922, ext. 374</w:t>
          </w:r>
        </w:p>
        <w:p>
          <w:pPr>
            <w:jc w:val="both"/>
            <w:rPr>
              <w:rFonts w:ascii="Tahoma" w:hAnsi="Tahoma"/>
              <w:color w:val="808080"/>
              <w:sz w:val="20"/>
            </w:rPr>
          </w:pPr>
          <w:r>
            <w:rPr>
              <w:rFonts w:ascii="Tahoma" w:hAnsi="Tahoma"/>
              <w:color w:val="808080"/>
              <w:sz w:val="20"/>
            </w:rPr>
            <w:t>tatjana.savic@stat.gov.rs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Dr Miladin Kovačević</w:t>
          </w:r>
        </w:p>
        <w:p>
          <w:pPr>
            <w:jc w:val="both"/>
            <w:rPr>
              <w:rFonts w:ascii="Tahoma" w:hAnsi="Tahoma"/>
              <w:color w:val="808080"/>
              <w:sz w:val="20"/>
            </w:rPr>
          </w:pPr>
        </w:p>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2"/>
            <w:rPr>
              <w:rFonts w:ascii="Tahoma" w:hAnsi="Tahoma"/>
              <w:sz w:val="20"/>
            </w:rPr>
          </w:pPr>
          <w:r>
            <w:rPr>
              <w:rFonts w:ascii="Tahoma" w:hAnsi="Tahoma"/>
              <w:sz w:val="20"/>
            </w:rPr>
            <w:t>Statistical Office of the Republic of Serbia</w:t>
          </w:r>
        </w:p>
      </w:tc>
      <w:tc>
        <w:tcPr>
          <w:tcW w:w="6120"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3"/>
              <w:rFonts w:ascii="Tahoma" w:hAnsi="Tahoma"/>
              <w:sz w:val="20"/>
            </w:rPr>
            <w:instrText xml:space="preserve"> NUMPAGES </w:instrText>
          </w:r>
          <w:r>
            <w:rPr>
              <w:rStyle w:val="C3"/>
              <w:rFonts w:ascii="Tahoma" w:hAnsi="Tahoma"/>
              <w:sz w:val="20"/>
            </w:rPr>
            <w:fldChar w:fldCharType="separate"/>
          </w:r>
          <w:r>
            <w:rPr>
              <w:rStyle w:val="C3"/>
              <w:rFonts w:ascii="Tahoma" w:hAnsi="Tahoma"/>
              <w:sz w:val="20"/>
            </w:rPr>
            <w:t>#</w:t>
          </w:r>
          <w:r>
            <w:rPr>
              <w:rStyle w:val="C3"/>
              <w:rFonts w:ascii="Tahoma" w:hAnsi="Tahoma"/>
              <w:sz w:val="20"/>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2018-06-12T09:46:00Z</dcterms:created>
  <cp:lastModifiedBy>Nikola Kapetanovic</cp:lastModifiedBy>
  <dcterms:modified xsi:type="dcterms:W3CDTF">2020-01-10T11:38:04Z</dcterms:modified>
  <cp:revision>3</cp:revision>
  <dc:title>April 12, 2011</dc:title>
</cp:coreProperties>
</file>