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FF8ECB" Type="http://schemas.openxmlformats.org/officeDocument/2006/relationships/officeDocument" Target="/word/document.xml" /><Relationship Id="coreR3FF8E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8908"/>
        </w:trPr>
        <w:tc>
          <w:tcPr>
            <w:tcW w:w="9865" w:type="dxa"/>
          </w:tcPr>
          <w:p>
            <w:pPr>
              <w:jc w:val="right"/>
              <w:rPr>
                <w:rFonts w:ascii="Tahoma" w:hAnsi="Tahoma"/>
                <w:sz w:val="23"/>
              </w:rPr>
            </w:pPr>
            <w:r>
              <w:rPr>
                <w:rFonts w:ascii="Tahoma" w:hAnsi="Tahoma"/>
                <w:sz w:val="23"/>
              </w:rPr>
              <w:t>31.05.2018</w:t>
            </w:r>
          </w:p>
          <w:tbl>
            <w:tblPr>
              <w:tblStyle w:val="T2"/>
              <w:tblW w:w="0" w:type="auto"/>
              <w:tblInd w:w="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1140"/>
              </w:trPr>
              <w:tc>
                <w:tcPr>
                  <w:tcW w:w="9371" w:type="dxa"/>
                  <w:tcBorders>
                    <w:top w:val="none" w:sz="0" w:space="0" w:shadow="0" w:frame="0"/>
                    <w:left w:val="none" w:sz="0" w:space="0" w:shadow="0" w:frame="0"/>
                    <w:bottom w:val="none" w:sz="0" w:space="0" w:shadow="0" w:frame="0"/>
                    <w:right w:val="none" w:sz="0" w:space="0" w:shadow="0" w:frame="0"/>
                  </w:tcBorders>
                </w:tcPr>
                <w:p>
                  <w:pPr>
                    <w:tabs>
                      <w:tab w:val="left" w:pos="684" w:leader="none"/>
                    </w:tabs>
                    <w:jc w:val="center"/>
                    <w:rPr>
                      <w:rFonts w:ascii="Tahoma" w:hAnsi="Tahoma"/>
                      <w:sz w:val="23"/>
                    </w:rPr>
                  </w:pPr>
                </w:p>
                <w:p>
                  <w:pPr>
                    <w:tabs>
                      <w:tab w:val="left" w:pos="684" w:leader="none"/>
                    </w:tabs>
                    <w:jc w:val="center"/>
                    <w:rPr>
                      <w:rFonts w:ascii="Tahoma" w:hAnsi="Tahoma"/>
                      <w:b w:val="1"/>
                      <w:sz w:val="23"/>
                    </w:rPr>
                  </w:pPr>
                </w:p>
                <w:p>
                  <w:pPr>
                    <w:tabs>
                      <w:tab w:val="left" w:pos="684" w:leader="none"/>
                    </w:tabs>
                    <w:jc w:val="center"/>
                    <w:rPr>
                      <w:rFonts w:ascii="Tahoma" w:hAnsi="Tahoma"/>
                      <w:b w:val="1"/>
                      <w:sz w:val="23"/>
                    </w:rPr>
                  </w:pPr>
                </w:p>
                <w:p>
                  <w:pPr>
                    <w:tabs>
                      <w:tab w:val="left" w:pos="684" w:leader="none"/>
                    </w:tabs>
                    <w:jc w:val="center"/>
                    <w:rPr>
                      <w:rFonts w:ascii="Tahoma" w:hAnsi="Tahoma"/>
                      <w:b w:val="1"/>
                      <w:sz w:val="23"/>
                    </w:rPr>
                  </w:pPr>
                  <w:r>
                    <w:rPr>
                      <w:rFonts w:ascii="Tahoma" w:hAnsi="Tahoma"/>
                      <w:b w:val="1"/>
                      <w:sz w:val="23"/>
                    </w:rPr>
                    <w:t>Quarterly Gross Domestic Product in the Republic of Serbia</w:t>
                  </w:r>
                </w:p>
                <w:p>
                  <w:pPr>
                    <w:tabs>
                      <w:tab w:val="left" w:pos="684" w:leader="none"/>
                    </w:tabs>
                    <w:jc w:val="center"/>
                    <w:rPr>
                      <w:rFonts w:ascii="Tahoma" w:hAnsi="Tahoma"/>
                      <w:b w:val="1"/>
                      <w:sz w:val="23"/>
                    </w:rPr>
                  </w:pPr>
                  <w:r>
                    <w:rPr>
                      <w:rFonts w:ascii="Tahoma" w:hAnsi="Tahoma"/>
                      <w:b w:val="1"/>
                      <w:sz w:val="23"/>
                    </w:rPr>
                    <w:t xml:space="preserve">– </w:t>
                  </w:r>
                  <w:r>
                    <w:rPr>
                      <w:rFonts w:ascii="Tahoma" w:hAnsi="Tahoma"/>
                      <w:b w:val="1"/>
                      <w:sz w:val="23"/>
                    </w:rPr>
                    <w:t>1</w:t>
                  </w:r>
                  <w:r>
                    <w:rPr>
                      <w:rFonts w:ascii="Tahoma" w:hAnsi="Tahoma"/>
                      <w:b w:val="1"/>
                      <w:sz w:val="23"/>
                      <w:vertAlign w:val="superscript"/>
                    </w:rPr>
                    <w:t>st</w:t>
                  </w:r>
                  <w:r>
                    <w:rPr>
                      <w:rFonts w:ascii="Tahoma" w:hAnsi="Tahoma"/>
                      <w:b w:val="1"/>
                      <w:sz w:val="23"/>
                    </w:rPr>
                    <w:t xml:space="preserve"> Quarter 201</w:t>
                  </w:r>
                  <w:r>
                    <w:rPr>
                      <w:rFonts w:ascii="Tahoma" w:hAnsi="Tahoma"/>
                      <w:b w:val="1"/>
                      <w:sz w:val="23"/>
                    </w:rPr>
                    <w:t>8</w:t>
                  </w:r>
                  <w:r>
                    <w:rPr>
                      <w:rFonts w:ascii="Tahoma" w:hAnsi="Tahoma"/>
                      <w:b w:val="1"/>
                      <w:sz w:val="23"/>
                    </w:rPr>
                    <w:t xml:space="preserve"> –</w:t>
                  </w:r>
                </w:p>
                <w:p>
                  <w:pPr>
                    <w:jc w:val="center"/>
                    <w:rPr>
                      <w:rFonts w:ascii="Tahoma" w:hAnsi="Tahoma"/>
                      <w:sz w:val="16"/>
                    </w:rPr>
                  </w:pPr>
                </w:p>
              </w:tc>
            </w:tr>
          </w:tbl>
          <w:p>
            <w:pPr>
              <w:jc w:val="both"/>
              <w:rPr>
                <w:rFonts w:ascii="Tahoma" w:hAnsi="Tahoma"/>
                <w:sz w:val="16"/>
              </w:rPr>
            </w:pPr>
          </w:p>
          <w:p>
            <w:pPr>
              <w:spacing w:lineRule="auto" w:line="276"/>
              <w:ind w:firstLine="397"/>
              <w:jc w:val="both"/>
              <w:rPr>
                <w:rFonts w:ascii="Tahoma" w:hAnsi="Tahoma"/>
                <w:sz w:val="22"/>
              </w:rPr>
            </w:pPr>
            <w:r>
              <w:rPr>
                <w:rFonts w:ascii="Tahoma" w:hAnsi="Tahoma"/>
                <w:sz w:val="22"/>
              </w:rPr>
              <w:t xml:space="preserve">In this statistical release Statistical Office of the Republic of Serbia communicates results of the quarterly gross domestic product calculations according to production and expenditure approach, at current and constant prices. </w:t>
            </w:r>
          </w:p>
          <w:p>
            <w:pPr>
              <w:spacing w:lineRule="auto" w:line="276"/>
              <w:ind w:firstLine="397"/>
              <w:jc w:val="both"/>
              <w:rPr>
                <w:sz w:val="22"/>
              </w:rPr>
            </w:pPr>
          </w:p>
          <w:p>
            <w:pPr>
              <w:spacing w:lineRule="auto" w:line="288"/>
              <w:ind w:firstLine="397"/>
              <w:jc w:val="both"/>
              <w:rPr>
                <w:rFonts w:ascii="Tahoma" w:hAnsi="Tahoma"/>
                <w:sz w:val="22"/>
              </w:rPr>
            </w:pPr>
            <w:r>
              <w:rPr>
                <w:rFonts w:ascii="Tahoma" w:hAnsi="Tahoma"/>
                <w:sz w:val="22"/>
              </w:rPr>
              <w:t xml:space="preserve">The real GDP growth in the first quarter of 2018, compared to the corresponding period of the previous year, amounted to 4.6%. </w:t>
            </w:r>
          </w:p>
          <w:p>
            <w:pPr>
              <w:spacing w:lineRule="auto" w:line="288" w:before="120"/>
              <w:ind w:firstLine="403"/>
              <w:jc w:val="both"/>
              <w:rPr>
                <w:rFonts w:ascii="Tahoma" w:hAnsi="Tahoma"/>
                <w:sz w:val="22"/>
              </w:rPr>
            </w:pPr>
            <w:r>
              <w:rPr>
                <w:rFonts w:ascii="Tahoma" w:hAnsi="Tahoma"/>
                <w:sz w:val="22"/>
              </w:rPr>
              <w:t xml:space="preserve">According to seasonally adjusted GDP data, gross domestic product increased by 1.5% in the first quarter of 2018, compared to the previous quarter. </w:t>
            </w:r>
          </w:p>
          <w:p>
            <w:pPr>
              <w:spacing w:lineRule="auto" w:line="288" w:before="120"/>
              <w:ind w:firstLine="403"/>
              <w:jc w:val="both"/>
              <w:rPr>
                <w:rFonts w:ascii="Tahoma" w:hAnsi="Tahoma"/>
                <w:sz w:val="22"/>
              </w:rPr>
            </w:pPr>
            <w:r>
              <w:rPr>
                <w:rFonts w:ascii="Tahoma" w:hAnsi="Tahoma"/>
                <w:sz w:val="22"/>
              </w:rPr>
              <w:t xml:space="preserve">Observed by activities, in the first quarter of 2018, compared to the same quarter of the previous year, significant real growth in the gross value added was recorded in the section of construction – 26.4%, the section of industry; water supply, sewerage, waste management and remediation – 5.3%, the section of information and communication – 5.1% and the section of wholesale and retail trade; repair of motor vehicles and motorcycles; transportation and storage and accommodation and food service activities – 4.6%. </w:t>
            </w:r>
          </w:p>
          <w:p>
            <w:pPr>
              <w:spacing w:lineRule="auto" w:line="288" w:before="120"/>
              <w:ind w:firstLine="403"/>
              <w:jc w:val="both"/>
              <w:rPr>
                <w:rFonts w:ascii="Tahoma" w:hAnsi="Tahoma"/>
                <w:sz w:val="22"/>
              </w:rPr>
            </w:pPr>
            <w:r>
              <w:rPr>
                <w:rFonts w:ascii="Tahoma" w:hAnsi="Tahoma"/>
                <w:sz w:val="22"/>
              </w:rPr>
              <w:t xml:space="preserve">Observed by expenditure aggregates, in the first quarter of 2018, compared to the same quarter of the previous year, real growth was noted as follows: the household final consumption expenditure – 3.0%, the non-profit institutions serving households (NPISH) final consumption expenditure – 3.1%, the general government final consumption expenditure – 2.3%, gross fixed capital formation – 14.9%, the exports of goods and services – 9.3% and the import of goods and services – 12.5%. </w:t>
            </w:r>
          </w:p>
          <w:p>
            <w:pPr>
              <w:spacing w:lineRule="auto" w:line="276"/>
              <w:ind w:firstLine="397"/>
              <w:jc w:val="both"/>
              <w:rPr>
                <w:rFonts w:ascii="Tahoma" w:hAnsi="Tahoma"/>
                <w:sz w:val="23"/>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Mirjana Smolčić, Head</w:t>
          </w:r>
        </w:p>
        <w:p>
          <w:pPr>
            <w:rPr>
              <w:rFonts w:ascii="Tahoma" w:hAnsi="Tahoma"/>
              <w:color w:val="808080"/>
              <w:sz w:val="20"/>
            </w:rPr>
          </w:pPr>
          <w:r>
            <w:rPr>
              <w:rFonts w:ascii="Tahoma" w:hAnsi="Tahoma"/>
              <w:color w:val="808080"/>
              <w:sz w:val="20"/>
            </w:rPr>
            <w:t>Quarterly National Accounts Division</w:t>
          </w:r>
        </w:p>
        <w:p>
          <w:pPr>
            <w:jc w:val="both"/>
            <w:rPr>
              <w:rFonts w:ascii="Tahoma" w:hAnsi="Tahoma"/>
              <w:color w:val="808080"/>
              <w:sz w:val="20"/>
            </w:rPr>
          </w:pPr>
          <w:r>
            <w:rPr>
              <w:rFonts w:ascii="Tahoma" w:hAnsi="Tahoma"/>
              <w:color w:val="808080"/>
              <w:sz w:val="20"/>
            </w:rPr>
            <w:t>Phone: +381 11 2-412-922 ext. 256</w:t>
          </w:r>
        </w:p>
        <w:p>
          <w:pPr>
            <w:jc w:val="both"/>
            <w:rPr>
              <w:rFonts w:ascii="Tahoma" w:hAnsi="Tahoma"/>
              <w:color w:val="808080"/>
              <w:sz w:val="20"/>
            </w:rPr>
          </w:pPr>
          <w:r>
            <w:rPr>
              <w:rFonts w:ascii="Tahoma" w:hAnsi="Tahoma"/>
              <w:color w:val="808080"/>
              <w:sz w:val="20"/>
            </w:rPr>
            <w:t>e-mail: mirjana.smolcic@stat.gov.rs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Miladin Kovačević, PhD</w:t>
          </w:r>
        </w:p>
        <w:p>
          <w:pPr>
            <w:jc w:val="both"/>
            <w:rPr>
              <w:rFonts w:ascii="Tahoma" w:hAnsi="Tahoma"/>
              <w:color w:val="808080"/>
              <w:sz w:val="20"/>
            </w:rPr>
          </w:pPr>
        </w:p>
        <w:p>
          <w:pPr>
            <w:jc w:val="both"/>
            <w:rPr>
              <w:rFonts w:ascii="Tahoma" w:hAnsi="Tahoma"/>
              <w:sz w:val="20"/>
            </w:rPr>
          </w:pPr>
        </w:p>
      </w:tc>
    </w:tr>
  </w:tbl>
  <w:p>
    <w:pPr>
      <w:rPr>
        <w:rFonts w:ascii="Arial" w:hAnsi="Arial"/>
        <w:sz w:val="16"/>
      </w:rPr>
    </w:pPr>
    <w:r>
      <w:rPr>
        <w:rFonts w:ascii="Arial" w:hAnsi="Arial"/>
        <w:sz w:val="16"/>
        <w:vertAlign w:val="superscript"/>
      </w:rPr>
      <w:t xml:space="preserve">1) </w:t>
    </w:r>
    <w:r>
      <w:rPr>
        <w:rFonts w:ascii="Arial" w:hAnsi="Arial"/>
        <w:sz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1"/>
            <w:rPr>
              <w:rFonts w:ascii="Tahoma" w:hAnsi="Tahoma"/>
              <w:sz w:val="20"/>
            </w:rPr>
          </w:pPr>
          <w:r>
            <w:rPr>
              <w:rFonts w:ascii="Tahoma" w:hAnsi="Tahoma"/>
              <w:sz w:val="20"/>
            </w:rPr>
            <w:t>Statistical Office of the Republic of Serbia</w:t>
          </w:r>
        </w:p>
      </w:tc>
      <w:tc>
        <w:tcPr>
          <w:tcW w:w="6120" w:type="dxa"/>
        </w:tcPr>
        <w:p>
          <w:pPr>
            <w:pStyle w:val="P1"/>
            <w:jc w:val="right"/>
            <w:rPr>
              <w:rFonts w:ascii="Tahoma" w:hAnsi="Tahoma"/>
              <w:sz w:val="32"/>
            </w:rPr>
          </w:pPr>
          <w:r>
            <w:rPr>
              <w:rFonts w:ascii="Tahoma" w:hAnsi="Tahoma"/>
              <w:sz w:val="32"/>
            </w:rPr>
            <w:t>Press Release</w:t>
          </w:r>
        </w:p>
        <w:p>
          <w:pPr>
            <w:pStyle w:val="P1"/>
            <w:jc w:val="right"/>
            <w:rPr>
              <w:rFonts w:ascii="Tahoma" w:hAnsi="Tahoma"/>
            </w:rPr>
          </w:pPr>
        </w:p>
        <w:p>
          <w:pPr>
            <w:pStyle w:val="P1"/>
            <w:jc w:val="right"/>
            <w:rPr>
              <w:rFonts w:ascii="Tahoma" w:hAnsi="Tahoma"/>
              <w:sz w:val="20"/>
            </w:rPr>
          </w:pPr>
          <w:r>
            <w:rPr>
              <w:rFonts w:ascii="Tahoma" w:hAnsi="Tahoma"/>
              <w:sz w:val="20"/>
            </w:rPr>
            <w:t>Belgrade, Milana Rakica 5</w:t>
          </w:r>
        </w:p>
        <w:p>
          <w:pPr>
            <w:pStyle w:val="P1"/>
            <w:jc w:val="right"/>
            <w:rPr>
              <w:rFonts w:ascii="Tahoma" w:hAnsi="Tahoma"/>
              <w:sz w:val="20"/>
            </w:rPr>
          </w:pPr>
          <w:r>
            <w:rPr>
              <w:rFonts w:ascii="Tahoma" w:hAnsi="Tahoma"/>
              <w:sz w:val="20"/>
            </w:rPr>
            <w:t>Phone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5"/>
              <w:rFonts w:ascii="Tahoma" w:hAnsi="Tahoma"/>
              <w:sz w:val="20"/>
            </w:rPr>
            <w:instrText xml:space="preserve"> NUMPAGES </w:instrText>
          </w:r>
          <w:r>
            <w:rPr>
              <w:rStyle w:val="C5"/>
              <w:rFonts w:ascii="Tahoma" w:hAnsi="Tahoma"/>
              <w:sz w:val="20"/>
            </w:rPr>
            <w:fldChar w:fldCharType="separate"/>
          </w:r>
          <w:r>
            <w:rPr>
              <w:rStyle w:val="C5"/>
              <w:rFonts w:ascii="Tahoma" w:hAnsi="Tahoma"/>
              <w:sz w:val="20"/>
            </w:rPr>
            <w:t>#</w:t>
          </w:r>
          <w:r>
            <w:rPr>
              <w:rStyle w:val="C5"/>
              <w:rFonts w:ascii="Tahoma" w:hAnsi="Tahoma"/>
              <w:sz w:val="20"/>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w:abstractNum w:abstractNumId="0">
    <w:nsid w:val="35D67E91"/>
    <w:multiLevelType w:val="hybridMultilevel"/>
    <w:lvl w:ilvl="0" w:tplc="10B79344">
      <w:start w:val="30"/>
      <w:numFmt w:val="bullet"/>
      <w:suff w:val="tab"/>
      <w:lvlText w:val="-"/>
      <w:lvlJc w:val="left"/>
      <w:pPr>
        <w:ind w:hanging="360" w:left="720"/>
        <w:tabs>
          <w:tab w:val="left" w:pos="720" w:leader="none"/>
        </w:tabs>
      </w:pPr>
      <w:rPr>
        <w:rFonts w:ascii="Tahoma" w:hAnsi="Tahoma"/>
      </w:rPr>
    </w:lvl>
    <w:lvl w:ilvl="1" w:tplc="3FCF2CE6">
      <w:start w:val="1"/>
      <w:numFmt w:val="bullet"/>
      <w:suff w:val="tab"/>
      <w:lvlText w:val="o"/>
      <w:lvlJc w:val="left"/>
      <w:pPr>
        <w:ind w:hanging="360" w:left="1440"/>
        <w:tabs>
          <w:tab w:val="left" w:pos="1440" w:leader="none"/>
        </w:tabs>
      </w:pPr>
      <w:rPr>
        <w:rFonts w:ascii="Courier New" w:hAnsi="Courier New"/>
      </w:rPr>
    </w:lvl>
    <w:lvl w:ilvl="2" w:tplc="3AF9C72E">
      <w:start w:val="1"/>
      <w:numFmt w:val="bullet"/>
      <w:suff w:val="tab"/>
      <w:lvlText w:val=""/>
      <w:lvlJc w:val="left"/>
      <w:pPr>
        <w:ind w:hanging="360" w:left="2160"/>
        <w:tabs>
          <w:tab w:val="left" w:pos="2160" w:leader="none"/>
        </w:tabs>
      </w:pPr>
      <w:rPr>
        <w:rFonts w:ascii="Wingdings" w:hAnsi="Wingdings"/>
      </w:rPr>
    </w:lvl>
    <w:lvl w:ilvl="3" w:tplc="45D3B31D">
      <w:start w:val="1"/>
      <w:numFmt w:val="bullet"/>
      <w:suff w:val="tab"/>
      <w:lvlText w:val=""/>
      <w:lvlJc w:val="left"/>
      <w:pPr>
        <w:ind w:hanging="360" w:left="2880"/>
        <w:tabs>
          <w:tab w:val="left" w:pos="2880" w:leader="none"/>
        </w:tabs>
      </w:pPr>
      <w:rPr>
        <w:rFonts w:ascii="Symbol" w:hAnsi="Symbol"/>
      </w:rPr>
    </w:lvl>
    <w:lvl w:ilvl="4" w:tplc="7BAC5BE7">
      <w:start w:val="1"/>
      <w:numFmt w:val="bullet"/>
      <w:suff w:val="tab"/>
      <w:lvlText w:val="o"/>
      <w:lvlJc w:val="left"/>
      <w:pPr>
        <w:ind w:hanging="360" w:left="3600"/>
        <w:tabs>
          <w:tab w:val="left" w:pos="3600" w:leader="none"/>
        </w:tabs>
      </w:pPr>
      <w:rPr>
        <w:rFonts w:ascii="Courier New" w:hAnsi="Courier New"/>
      </w:rPr>
    </w:lvl>
    <w:lvl w:ilvl="5" w:tplc="221C505C">
      <w:start w:val="1"/>
      <w:numFmt w:val="bullet"/>
      <w:suff w:val="tab"/>
      <w:lvlText w:val=""/>
      <w:lvlJc w:val="left"/>
      <w:pPr>
        <w:ind w:hanging="360" w:left="4320"/>
        <w:tabs>
          <w:tab w:val="left" w:pos="4320" w:leader="none"/>
        </w:tabs>
      </w:pPr>
      <w:rPr>
        <w:rFonts w:ascii="Wingdings" w:hAnsi="Wingdings"/>
      </w:rPr>
    </w:lvl>
    <w:lvl w:ilvl="6" w:tplc="2894F908">
      <w:start w:val="1"/>
      <w:numFmt w:val="bullet"/>
      <w:suff w:val="tab"/>
      <w:lvlText w:val=""/>
      <w:lvlJc w:val="left"/>
      <w:pPr>
        <w:ind w:hanging="360" w:left="5040"/>
        <w:tabs>
          <w:tab w:val="left" w:pos="5040" w:leader="none"/>
        </w:tabs>
      </w:pPr>
      <w:rPr>
        <w:rFonts w:ascii="Symbol" w:hAnsi="Symbol"/>
      </w:rPr>
    </w:lvl>
    <w:lvl w:ilvl="7" w:tplc="44882C02">
      <w:start w:val="1"/>
      <w:numFmt w:val="bullet"/>
      <w:suff w:val="tab"/>
      <w:lvlText w:val="o"/>
      <w:lvlJc w:val="left"/>
      <w:pPr>
        <w:ind w:hanging="360" w:left="5760"/>
        <w:tabs>
          <w:tab w:val="left" w:pos="5760" w:leader="none"/>
        </w:tabs>
      </w:pPr>
      <w:rPr>
        <w:rFonts w:ascii="Courier New" w:hAnsi="Courier New"/>
      </w:rPr>
    </w:lvl>
    <w:lvl w:ilvl="8" w:tplc="054E892F">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Car Car"/>
    <w:basedOn w:val="P0"/>
    <w:next w:val="P3"/>
    <w:pPr>
      <w:spacing w:lineRule="exact" w:line="240" w:after="160"/>
    </w:pPr>
    <w:rPr>
      <w:rFonts w:ascii="Verdana" w:hAnsi="Verdana"/>
      <w:i w:val="1"/>
      <w:sz w:val="20"/>
    </w:rPr>
  </w:style>
  <w:style w:type="paragraph" w:styleId="P4">
    <w:name w:val="Normal (Web)"/>
    <w:basedOn w:val="P0"/>
    <w:next w:val="P4"/>
    <w:pPr>
      <w:spacing w:before="100" w:after="100" w:beforeAutospacing="1" w:afterAutospacing="1"/>
    </w:pPr>
    <w:rPr/>
  </w:style>
  <w:style w:type="paragraph" w:styleId="P5">
    <w:name w:val="Balloon Text"/>
    <w:basedOn w:val="P0"/>
    <w:next w:val="P5"/>
    <w:link w:val="C4"/>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Balloon Text Char"/>
    <w:link w:val="P5"/>
    <w:rPr>
      <w:rFonts w:ascii="Segoe UI" w:hAnsi="Segoe UI"/>
      <w:sz w:val="18"/>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2018-05-31T09:23:00Z</dcterms:created>
  <cp:lastModifiedBy>Nikola Kapetanovic</cp:lastModifiedBy>
  <cp:lastPrinted>2018-05-31T07:45:00Z</cp:lastPrinted>
  <dcterms:modified xsi:type="dcterms:W3CDTF">2020-01-10T11:38:04Z</dcterms:modified>
  <cp:revision>3</cp:revision>
  <dc:title>29</dc:title>
</cp:coreProperties>
</file>