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2B337C8" Type="http://schemas.openxmlformats.org/officeDocument/2006/relationships/officeDocument" Target="/word/document.xml" /><Relationship Id="coreR42B337C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  <w:trHeight w:hRule="atLeast" w:val="10785"/>
        </w:trPr>
        <w:tc>
          <w:tcPr>
            <w:tcW w:w="5000" w:type="pct"/>
          </w:tcPr>
          <w:p>
            <w:pPr>
              <w:jc w:val="right"/>
              <w:rPr>
                <w:rStyle w:val="C3"/>
                <w:rFonts w:ascii="Tahoma" w:hAnsi="Tahoma"/>
                <w:sz w:val="22"/>
              </w:rPr>
            </w:pPr>
            <w:r>
              <w:rPr>
                <w:rStyle w:val="C3"/>
                <w:rFonts w:ascii="Tahoma" w:hAnsi="Tahoma"/>
                <w:sz w:val="22"/>
              </w:rPr>
              <w:t>30.03.2018</w:t>
            </w:r>
          </w:p>
          <w:tbl>
            <w:tblPr>
              <w:tblStyle w:val="T2"/>
              <w:tblW w:w="5000" w:type="pct"/>
              <w:tblBorders>
                <w:top w:val="single" w:sz="4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autofit"/>
            </w:tblPr>
            <w:tblGrid/>
            <w:tr>
              <w:trPr>
                <w:wAfter w:w="0" w:type="dxa"/>
                <w:trHeight w:hRule="atLeast" w:val="488"/>
              </w:trPr>
              <w:tc>
                <w:tcPr>
                  <w:tcW w:w="5000" w:type="pct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Style w:val="C3"/>
                      <w:rFonts w:ascii="Tahoma" w:hAnsi="Tahoma"/>
                      <w:b w:val="1"/>
                      <w:sz w:val="22"/>
                    </w:rPr>
                  </w:pPr>
                </w:p>
                <w:p>
                  <w:pPr>
                    <w:jc w:val="center"/>
                    <w:rPr>
                      <w:rStyle w:val="C3"/>
                      <w:rFonts w:ascii="Tahoma" w:hAnsi="Tahoma"/>
                      <w:b w:val="1"/>
                      <w:sz w:val="22"/>
                    </w:rPr>
                  </w:pPr>
                  <w:r>
                    <w:rPr>
                      <w:rStyle w:val="C3"/>
                      <w:rFonts w:ascii="Tahoma" w:hAnsi="Tahoma"/>
                      <w:b w:val="1"/>
                      <w:sz w:val="22"/>
                    </w:rPr>
                    <w:t>Income in money and in kind and</w:t>
                  </w:r>
                  <w:r>
                    <w:rPr>
                      <w:rStyle w:val="C3"/>
                      <w:rFonts w:ascii="Tahoma" w:hAnsi="Tahoma"/>
                      <w:b w:val="1"/>
                      <w:sz w:val="22"/>
                    </w:rPr>
                    <w:t xml:space="preserve"> </w:t>
                  </w:r>
                  <w:r>
                    <w:rPr>
                      <w:rStyle w:val="C3"/>
                      <w:rFonts w:ascii="Tahoma" w:hAnsi="Tahoma"/>
                      <w:b w:val="1"/>
                      <w:sz w:val="22"/>
                    </w:rPr>
                    <w:t>individual consumption of households,</w:t>
                  </w:r>
                  <w:r>
                    <w:rPr>
                      <w:rStyle w:val="C3"/>
                      <w:rFonts w:ascii="Tahoma" w:hAnsi="Tahoma"/>
                      <w:b w:val="1"/>
                      <w:sz w:val="22"/>
                    </w:rPr>
                    <w:t xml:space="preserve"> </w:t>
                  </w:r>
                  <w:r>
                    <w:rPr>
                      <w:rStyle w:val="C3"/>
                      <w:rFonts w:ascii="Tahoma" w:hAnsi="Tahoma"/>
                      <w:b w:val="1"/>
                      <w:sz w:val="22"/>
                    </w:rPr>
                    <w:t>201</w:t>
                  </w:r>
                  <w:r>
                    <w:rPr>
                      <w:rStyle w:val="C3"/>
                      <w:rFonts w:ascii="Tahoma" w:hAnsi="Tahoma"/>
                      <w:b w:val="1"/>
                      <w:sz w:val="22"/>
                    </w:rPr>
                    <w:t>7</w:t>
                  </w:r>
                </w:p>
                <w:p>
                  <w:pPr>
                    <w:jc w:val="center"/>
                    <w:rPr>
                      <w:rStyle w:val="C3"/>
                      <w:rFonts w:ascii="Tahoma" w:hAnsi="Tahoma"/>
                      <w:b w:val="1"/>
                      <w:sz w:val="22"/>
                    </w:rPr>
                  </w:pPr>
                  <w:r>
                    <w:rPr>
                      <w:rStyle w:val="C3"/>
                      <w:rFonts w:ascii="Tahoma" w:hAnsi="Tahoma"/>
                      <w:b w:val="1"/>
                      <w:sz w:val="22"/>
                    </w:rPr>
                    <w:t xml:space="preserve">- </w:t>
                  </w:r>
                  <w:r>
                    <w:rPr>
                      <w:rStyle w:val="C3"/>
                      <w:rFonts w:ascii="Tahoma" w:hAnsi="Tahoma"/>
                      <w:b w:val="1"/>
                      <w:sz w:val="22"/>
                    </w:rPr>
                    <w:t>F</w:t>
                  </w:r>
                  <w:r>
                    <w:rPr>
                      <w:rStyle w:val="C3"/>
                      <w:rFonts w:ascii="Tahoma" w:hAnsi="Tahoma"/>
                      <w:b w:val="1"/>
                      <w:sz w:val="22"/>
                    </w:rPr>
                    <w:t>inal data</w:t>
                  </w:r>
                  <w:r>
                    <w:rPr>
                      <w:rStyle w:val="C3"/>
                      <w:rFonts w:ascii="Tahoma" w:hAnsi="Tahoma"/>
                      <w:b w:val="1"/>
                      <w:sz w:val="22"/>
                    </w:rPr>
                    <w:t xml:space="preserve"> </w:t>
                  </w:r>
                  <w:r>
                    <w:rPr>
                      <w:rStyle w:val="C3"/>
                      <w:rFonts w:ascii="Tahoma" w:hAnsi="Tahoma"/>
                      <w:b w:val="1"/>
                      <w:sz w:val="22"/>
                    </w:rPr>
                    <w:t>-</w:t>
                  </w:r>
                </w:p>
              </w:tc>
            </w:tr>
          </w:tbl>
          <w:p>
            <w:pPr>
              <w:jc w:val="both"/>
              <w:rPr>
                <w:rStyle w:val="C3"/>
                <w:rFonts w:ascii="Tahoma" w:hAnsi="Tahoma"/>
              </w:rPr>
            </w:pPr>
          </w:p>
          <w:p>
            <w:pPr>
              <w:jc w:val="both"/>
              <w:rPr>
                <w:rStyle w:val="C3"/>
                <w:rFonts w:ascii="Tahoma" w:hAnsi="Tahoma"/>
                <w:sz w:val="10"/>
              </w:rPr>
            </w:pPr>
          </w:p>
          <w:p>
            <w:pPr>
              <w:jc w:val="both"/>
              <w:rPr>
                <w:rStyle w:val="C3"/>
                <w:rFonts w:ascii="Tahoma" w:hAnsi="Tahoma"/>
                <w:sz w:val="18"/>
              </w:rPr>
            </w:pPr>
            <w:r>
              <w:rPr>
                <w:rStyle w:val="C3"/>
                <w:rFonts w:ascii="Tahoma" w:hAnsi="Tahoma"/>
                <w:sz w:val="18"/>
              </w:rPr>
              <w:t xml:space="preserve">The survey collects the data on income, expenditure and household consumption, i.e. the data on basic elements of individual consumption. </w:t>
            </w:r>
          </w:p>
          <w:p>
            <w:pPr>
              <w:jc w:val="both"/>
              <w:rPr>
                <w:rStyle w:val="C3"/>
                <w:rFonts w:ascii="Tahoma" w:hAnsi="Tahoma"/>
                <w:sz w:val="8"/>
              </w:rPr>
            </w:pPr>
          </w:p>
          <w:p>
            <w:pPr>
              <w:jc w:val="both"/>
              <w:rPr>
                <w:rStyle w:val="C3"/>
                <w:rFonts w:ascii="Tahoma" w:hAnsi="Tahoma"/>
                <w:sz w:val="12"/>
              </w:rPr>
            </w:pPr>
          </w:p>
          <w:p>
            <w:pPr>
              <w:jc w:val="center"/>
              <w:rPr>
                <w:rStyle w:val="C3"/>
                <w:rFonts w:ascii="Tahoma" w:hAnsi="Tahoma"/>
                <w:b w:val="1"/>
                <w:sz w:val="19"/>
              </w:rPr>
            </w:pPr>
            <w:r>
              <w:rPr>
                <w:rStyle w:val="C3"/>
                <w:rFonts w:ascii="Tahoma" w:hAnsi="Tahoma"/>
                <w:b w:val="1"/>
                <w:sz w:val="19"/>
              </w:rPr>
              <w:t>Comparative review of income in money and in kind and individual consumption of households</w:t>
            </w:r>
            <w:r>
              <w:rPr>
                <w:rStyle w:val="C3"/>
                <w:rFonts w:ascii="Tahoma" w:hAnsi="Tahoma"/>
                <w:b w:val="1"/>
                <w:sz w:val="19"/>
              </w:rPr>
              <w:t xml:space="preserve"> </w:t>
            </w:r>
          </w:p>
          <w:p>
            <w:pPr>
              <w:jc w:val="center"/>
              <w:rPr>
                <w:rStyle w:val="C3"/>
                <w:rFonts w:ascii="Tahoma" w:hAnsi="Tahoma"/>
                <w:b w:val="1"/>
                <w:sz w:val="8"/>
              </w:rPr>
            </w:pPr>
          </w:p>
          <w:p>
            <w:pPr>
              <w:jc w:val="both"/>
              <w:rPr>
                <w:rStyle w:val="C3"/>
                <w:rFonts w:ascii="Tahoma" w:hAnsi="Tahoma"/>
                <w:sz w:val="19"/>
              </w:rPr>
            </w:pPr>
            <w:r>
              <w:rPr>
                <w:rStyle w:val="C3"/>
                <w:rFonts w:ascii="Tahoma" w:hAnsi="Tahoma"/>
                <w:sz w:val="20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rStyle w:val="C3"/>
                <w:rFonts w:ascii="Tahoma" w:hAnsi="Tahoma"/>
                <w:sz w:val="19"/>
              </w:rPr>
              <w:t>RSD</w:t>
            </w:r>
          </w:p>
          <w:tbl>
            <w:tblPr>
              <w:tblStyle w:val="T2"/>
              <w:tblW w:w="5000" w:type="pct"/>
              <w:jc w:val="center"/>
              <w:tblLayout w:type="autofit"/>
              <w:tblCellMar>
                <w:left w:w="28" w:type="dxa"/>
                <w:right w:w="28" w:type="dxa"/>
              </w:tblCellMar>
            </w:tblPr>
            <w:tblGrid/>
            <w:tr>
              <w:trPr>
                <w:wAfter w:w="0" w:type="dxa"/>
                <w:trHeight w:hRule="atLeast" w:val="340"/>
              </w:trPr>
              <w:tc>
                <w:tcPr>
                  <w:tcW w:w="3180" w:type="dxa"/>
                  <w:vMerge w:val="restart"/>
                  <w:tcBorders>
                    <w:top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Style w:val="C3"/>
                      <w:rFonts w:ascii="Tahoma" w:hAnsi="Tahoma"/>
                      <w:sz w:val="18"/>
                    </w:rPr>
                  </w:pPr>
                </w:p>
              </w:tc>
              <w:tc>
                <w:tcPr>
                  <w:tcW w:w="1165" w:type="dxa"/>
                  <w:vMerge w:val="restart"/>
                  <w:tcBorders>
                    <w:top w:val="single" w:sz="4" w:space="0" w:shadow="0" w:frame="0"/>
                    <w:left w:val="single" w:sz="4" w:space="0" w:shadow="0" w:frame="0"/>
                    <w:right w:val="single" w:sz="4" w:space="0" w:shadow="0" w:frame="0"/>
                  </w:tcBorders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Style w:val="C3"/>
                      <w:rFonts w:ascii="Tahoma" w:hAnsi="Tahoma"/>
                      <w:b w:val="1"/>
                      <w:sz w:val="18"/>
                    </w:rPr>
                  </w:pPr>
                  <w:r>
                    <w:rPr>
                      <w:rStyle w:val="C3"/>
                      <w:rFonts w:ascii="Tahoma" w:hAnsi="Tahoma"/>
                      <w:b w:val="1"/>
                      <w:sz w:val="18"/>
                    </w:rPr>
                    <w:t>201</w:t>
                  </w:r>
                  <w:r>
                    <w:rPr>
                      <w:rStyle w:val="C3"/>
                      <w:rFonts w:ascii="Tahoma" w:hAnsi="Tahoma"/>
                      <w:b w:val="1"/>
                      <w:sz w:val="18"/>
                    </w:rPr>
                    <w:t>6</w:t>
                  </w:r>
                </w:p>
              </w:tc>
              <w:tc>
                <w:tcPr>
                  <w:tcW w:w="4660" w:type="dxa"/>
                  <w:gridSpan w:val="4"/>
                  <w:tcBorders>
                    <w:top w:val="single" w:sz="4" w:space="0" w:shadow="0" w:frame="0"/>
                    <w:left w:val="single" w:sz="4" w:space="0" w:shadow="0" w:frame="0"/>
                    <w:bottom w:val="single" w:sz="4" w:space="0" w:shadow="0" w:frame="0"/>
                  </w:tcBorders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Style w:val="C3"/>
                      <w:rFonts w:ascii="Tahoma" w:hAnsi="Tahoma"/>
                      <w:b w:val="1"/>
                      <w:sz w:val="18"/>
                    </w:rPr>
                  </w:pPr>
                  <w:r>
                    <w:rPr>
                      <w:rStyle w:val="C3"/>
                      <w:rFonts w:ascii="Tahoma" w:hAnsi="Tahoma"/>
                      <w:b w:val="1"/>
                      <w:sz w:val="18"/>
                    </w:rPr>
                    <w:t>201</w:t>
                  </w:r>
                  <w:r>
                    <w:rPr>
                      <w:rStyle w:val="C3"/>
                      <w:rFonts w:ascii="Tahoma" w:hAnsi="Tahoma"/>
                      <w:b w:val="1"/>
                      <w:sz w:val="18"/>
                    </w:rPr>
                    <w:t>7</w:t>
                  </w:r>
                </w:p>
              </w:tc>
              <w:tc>
                <w:tcPr>
                  <w:tcW w:w="1165" w:type="dxa"/>
                  <w:vMerge w:val="restart"/>
                  <w:tcBorders>
                    <w:top w:val="single" w:sz="4" w:space="0" w:shadow="0" w:frame="0"/>
                    <w:left w:val="single" w:sz="4" w:space="0" w:shadow="0" w:frame="0"/>
                  </w:tcBorders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Style w:val="C3"/>
                      <w:rFonts w:ascii="Tahoma" w:hAnsi="Tahoma"/>
                      <w:b w:val="1"/>
                      <w:sz w:val="18"/>
                    </w:rPr>
                  </w:pPr>
                  <w:r>
                    <w:rPr>
                      <w:rStyle w:val="C3"/>
                      <w:rFonts w:ascii="Tahoma" w:hAnsi="Tahoma"/>
                      <w:b w:val="1"/>
                      <w:sz w:val="18"/>
                    </w:rPr>
                    <w:t>201</w:t>
                  </w:r>
                  <w:r>
                    <w:rPr>
                      <w:rStyle w:val="C3"/>
                      <w:rFonts w:ascii="Tahoma" w:hAnsi="Tahoma"/>
                      <w:b w:val="1"/>
                      <w:sz w:val="18"/>
                    </w:rPr>
                    <w:t>7</w:t>
                  </w:r>
                </w:p>
              </w:tc>
            </w:tr>
            <w:tr>
              <w:trPr>
                <w:wAfter w:w="0" w:type="dxa"/>
                <w:trHeight w:hRule="atLeast" w:val="20"/>
              </w:trPr>
              <w:tc>
                <w:tcPr>
                  <w:tcW w:w="3180" w:type="dxa"/>
                  <w:vMerge w:val="continue"/>
                  <w:tcBorders>
                    <w:top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Style w:val="C3"/>
                      <w:rFonts w:ascii="Tahoma" w:hAnsi="Tahoma"/>
                      <w:sz w:val="18"/>
                    </w:rPr>
                  </w:pPr>
                </w:p>
              </w:tc>
              <w:tc>
                <w:tcPr>
                  <w:tcW w:w="1165" w:type="dxa"/>
                  <w:vMerge w:val="continue"/>
                  <w:tcBorders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Style w:val="C3"/>
                      <w:rFonts w:ascii="Tahoma" w:hAnsi="Tahoma"/>
                      <w:sz w:val="18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Style w:val="C3"/>
                      <w:rFonts w:ascii="Tahoma" w:hAnsi="Tahoma"/>
                      <w:b w:val="1"/>
                      <w:sz w:val="18"/>
                    </w:rPr>
                  </w:pPr>
                  <w:r>
                    <w:rPr>
                      <w:rStyle w:val="C3"/>
                      <w:rFonts w:ascii="Tahoma" w:hAnsi="Tahoma"/>
                      <w:b w:val="1"/>
                      <w:sz w:val="18"/>
                    </w:rPr>
                    <w:t>I quarter</w:t>
                  </w:r>
                </w:p>
              </w:tc>
              <w:tc>
                <w:tcPr>
                  <w:tcW w:w="1165" w:type="dxa"/>
                  <w:tcBorders>
                    <w:top w:val="single" w:sz="4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Style w:val="C3"/>
                      <w:rFonts w:ascii="Tahoma" w:hAnsi="Tahoma"/>
                      <w:b w:val="1"/>
                      <w:sz w:val="18"/>
                    </w:rPr>
                  </w:pPr>
                  <w:r>
                    <w:rPr>
                      <w:rStyle w:val="C3"/>
                      <w:rFonts w:ascii="Tahoma" w:hAnsi="Tahoma"/>
                      <w:b w:val="1"/>
                      <w:sz w:val="18"/>
                    </w:rPr>
                    <w:t>II quarter</w:t>
                  </w:r>
                </w:p>
              </w:tc>
              <w:tc>
                <w:tcPr>
                  <w:tcW w:w="1165" w:type="dxa"/>
                  <w:tcBorders>
                    <w:top w:val="single" w:sz="4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Style w:val="C3"/>
                      <w:rFonts w:ascii="Tahoma" w:hAnsi="Tahoma"/>
                      <w:b w:val="1"/>
                      <w:sz w:val="18"/>
                    </w:rPr>
                  </w:pPr>
                  <w:r>
                    <w:rPr>
                      <w:rStyle w:val="C3"/>
                      <w:rFonts w:ascii="Tahoma" w:hAnsi="Tahoma"/>
                      <w:b w:val="1"/>
                      <w:sz w:val="18"/>
                    </w:rPr>
                    <w:t>III quarter</w:t>
                  </w:r>
                </w:p>
              </w:tc>
              <w:tc>
                <w:tcPr>
                  <w:tcW w:w="1165" w:type="dxa"/>
                  <w:tcBorders>
                    <w:top w:val="single" w:sz="4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Style w:val="C3"/>
                      <w:rFonts w:ascii="Tahoma" w:hAnsi="Tahoma"/>
                      <w:b w:val="1"/>
                      <w:sz w:val="18"/>
                    </w:rPr>
                  </w:pPr>
                  <w:r>
                    <w:rPr>
                      <w:rStyle w:val="C3"/>
                      <w:rFonts w:ascii="Tahoma" w:hAnsi="Tahoma"/>
                      <w:b w:val="1"/>
                      <w:sz w:val="18"/>
                    </w:rPr>
                    <w:t>IV quarter</w:t>
                  </w:r>
                </w:p>
              </w:tc>
              <w:tc>
                <w:tcPr>
                  <w:tcW w:w="1165" w:type="dxa"/>
                  <w:vMerge w:val="continue"/>
                  <w:tcBorders>
                    <w:left w:val="single" w:sz="4" w:space="0" w:shadow="0" w:frame="0"/>
                    <w:bottom w:val="single" w:sz="4" w:space="0" w:shadow="0" w:frame="0"/>
                  </w:tcBorders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Style w:val="C3"/>
                      <w:rFonts w:ascii="Tahoma" w:hAnsi="Tahoma"/>
                      <w:sz w:val="18"/>
                    </w:rPr>
                  </w:pPr>
                </w:p>
              </w:tc>
            </w:tr>
            <w:tr>
              <w:trPr>
                <w:wAfter w:w="0" w:type="dxa"/>
                <w:trHeight w:hRule="atLeast" w:val="340"/>
              </w:trPr>
              <w:tc>
                <w:tcPr>
                  <w:tcW w:w="3180" w:type="dxa"/>
                  <w:tcBorders>
                    <w:right w:val="single" w:sz="4" w:space="0" w:shadow="0" w:frame="0"/>
                  </w:tcBorders>
                  <w:vAlign w:val="center"/>
                </w:tcPr>
                <w:p>
                  <w:pPr>
                    <w:spacing w:lineRule="auto" w:line="324" w:before="120"/>
                    <w:rPr>
                      <w:rStyle w:val="C3"/>
                      <w:rFonts w:ascii="Tahoma" w:hAnsi="Tahoma"/>
                      <w:sz w:val="18"/>
                    </w:rPr>
                  </w:pPr>
                  <w:r>
                    <w:rPr>
                      <w:rStyle w:val="C3"/>
                      <w:rFonts w:ascii="Tahoma" w:hAnsi="Tahoma"/>
                      <w:sz w:val="18"/>
                    </w:rPr>
                    <w:t>Income in money and in kind – total</w:t>
                  </w:r>
                </w:p>
              </w:tc>
              <w:tc>
                <w:tcPr>
                  <w:tcW w:w="1165" w:type="dxa"/>
                  <w:tcBorders>
                    <w:top w:val="none" w:sz="0" w:space="0" w:shadow="0" w:frame="0"/>
                    <w:right w:val="single" w:sz="4" w:space="0" w:shadow="0" w:frame="0"/>
                  </w:tcBorders>
                  <w:shd w:val="nil" w:color="auto" w:fill="auto"/>
                  <w:vAlign w:val="bottom"/>
                </w:tcPr>
                <w:p>
                  <w:pPr>
                    <w:spacing w:lineRule="auto" w:line="324" w:before="120"/>
                    <w:ind w:right="170"/>
                    <w:jc w:val="right"/>
                    <w:rPr>
                      <w:rStyle w:val="C3"/>
                      <w:rFonts w:ascii="Tahoma" w:hAnsi="Tahoma"/>
                      <w:sz w:val="18"/>
                    </w:rPr>
                  </w:pPr>
                  <w:r>
                    <w:rPr>
                      <w:rStyle w:val="C3"/>
                      <w:rFonts w:ascii="Tahoma" w:hAnsi="Tahoma"/>
                      <w:sz w:val="18"/>
                    </w:rPr>
                    <w:t>59624</w:t>
                  </w:r>
                </w:p>
              </w:tc>
              <w:tc>
                <w:tcPr>
                  <w:tcW w:w="1165" w:type="dxa"/>
                  <w:tcBorders>
                    <w:top w:val="none" w:sz="0" w:space="0" w:shadow="0" w:frame="0"/>
                    <w:left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spacing w:lineRule="auto" w:line="324" w:before="120"/>
                    <w:ind w:right="170"/>
                    <w:jc w:val="right"/>
                    <w:rPr>
                      <w:rStyle w:val="C3"/>
                      <w:rFonts w:ascii="Tahoma" w:hAnsi="Tahoma"/>
                      <w:sz w:val="18"/>
                    </w:rPr>
                  </w:pPr>
                  <w:r>
                    <w:rPr>
                      <w:rStyle w:val="C3"/>
                      <w:rFonts w:ascii="Tahoma" w:hAnsi="Tahoma"/>
                      <w:color w:val="000000"/>
                      <w:sz w:val="18"/>
                    </w:rPr>
                    <w:t>60065</w:t>
                  </w:r>
                </w:p>
              </w:tc>
              <w:tc>
                <w:tcPr>
                  <w:tcW w:w="1165" w:type="dxa"/>
                  <w:tcBorders>
                    <w:top w:val="none" w:sz="0" w:space="0" w:shadow="0" w:frame="0"/>
                    <w:left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spacing w:lineRule="auto" w:line="324" w:before="120"/>
                    <w:ind w:right="170"/>
                    <w:jc w:val="right"/>
                    <w:rPr>
                      <w:rStyle w:val="C3"/>
                      <w:rFonts w:ascii="Tahoma" w:hAnsi="Tahoma"/>
                      <w:color w:val="000000"/>
                      <w:sz w:val="18"/>
                    </w:rPr>
                  </w:pPr>
                  <w:r>
                    <w:rPr>
                      <w:rStyle w:val="C3"/>
                      <w:rFonts w:ascii="Tahoma" w:hAnsi="Tahoma"/>
                      <w:color w:val="000000"/>
                      <w:sz w:val="18"/>
                    </w:rPr>
                    <w:t>60195</w:t>
                  </w:r>
                </w:p>
              </w:tc>
              <w:tc>
                <w:tcPr>
                  <w:tcW w:w="1165" w:type="dxa"/>
                  <w:tcBorders>
                    <w:top w:val="none" w:sz="0" w:space="0" w:shadow="0" w:frame="0"/>
                    <w:left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spacing w:lineRule="auto" w:line="324" w:before="120"/>
                    <w:ind w:right="170"/>
                    <w:jc w:val="right"/>
                    <w:rPr>
                      <w:rStyle w:val="C3"/>
                      <w:rFonts w:ascii="Tahoma" w:hAnsi="Tahoma"/>
                      <w:color w:val="000000"/>
                      <w:sz w:val="18"/>
                    </w:rPr>
                  </w:pPr>
                  <w:r>
                    <w:rPr>
                      <w:rStyle w:val="C3"/>
                      <w:rFonts w:ascii="Tahoma" w:hAnsi="Tahoma"/>
                      <w:color w:val="000000"/>
                      <w:sz w:val="18"/>
                    </w:rPr>
                    <w:t>61729</w:t>
                  </w:r>
                </w:p>
              </w:tc>
              <w:tc>
                <w:tcPr>
                  <w:tcW w:w="1165" w:type="dxa"/>
                  <w:tcBorders>
                    <w:top w:val="none" w:sz="0" w:space="0" w:shadow="0" w:frame="0"/>
                    <w:left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spacing w:lineRule="auto" w:line="324" w:before="120"/>
                    <w:ind w:right="170"/>
                    <w:jc w:val="right"/>
                    <w:rPr>
                      <w:rStyle w:val="C3"/>
                      <w:rFonts w:ascii="Tahoma" w:hAnsi="Tahoma"/>
                      <w:color w:val="000000"/>
                      <w:sz w:val="18"/>
                    </w:rPr>
                  </w:pPr>
                  <w:r>
                    <w:rPr>
                      <w:rStyle w:val="C3"/>
                      <w:rFonts w:ascii="Tahoma" w:hAnsi="Tahoma"/>
                      <w:color w:val="000000"/>
                      <w:sz w:val="18"/>
                    </w:rPr>
                    <w:t>63674</w:t>
                  </w:r>
                </w:p>
              </w:tc>
              <w:tc>
                <w:tcPr>
                  <w:tcW w:w="1165" w:type="dxa"/>
                  <w:tcBorders>
                    <w:top w:val="none" w:sz="0" w:space="0" w:shadow="0" w:frame="0"/>
                    <w:left w:val="single" w:sz="4" w:space="0" w:shadow="0" w:frame="0"/>
                  </w:tcBorders>
                  <w:vAlign w:val="bottom"/>
                </w:tcPr>
                <w:p>
                  <w:pPr>
                    <w:spacing w:lineRule="auto" w:line="324" w:before="120"/>
                    <w:ind w:right="170"/>
                    <w:jc w:val="right"/>
                    <w:rPr>
                      <w:rStyle w:val="C3"/>
                      <w:rFonts w:ascii="Tahoma" w:hAnsi="Tahoma"/>
                      <w:sz w:val="18"/>
                    </w:rPr>
                  </w:pPr>
                  <w:r>
                    <w:rPr>
                      <w:rStyle w:val="C3"/>
                      <w:rFonts w:ascii="Tahoma" w:hAnsi="Tahoma"/>
                      <w:sz w:val="18"/>
                    </w:rPr>
                    <w:t>61407</w:t>
                  </w:r>
                </w:p>
              </w:tc>
            </w:tr>
            <w:tr>
              <w:trPr>
                <w:wAfter w:w="0" w:type="dxa"/>
                <w:trHeight w:hRule="atLeast" w:val="340"/>
              </w:trPr>
              <w:tc>
                <w:tcPr>
                  <w:tcW w:w="3180" w:type="dxa"/>
                  <w:tcBorders>
                    <w:bottom w:val="single" w:sz="4" w:space="0" w:shadow="0" w:frame="0"/>
                    <w:right w:val="single" w:sz="4" w:space="0" w:shadow="0" w:frame="0"/>
                  </w:tcBorders>
                  <w:vAlign w:val="center"/>
                </w:tcPr>
                <w:p>
                  <w:pPr>
                    <w:spacing w:after="60"/>
                    <w:rPr>
                      <w:rStyle w:val="C3"/>
                      <w:rFonts w:ascii="Tahoma" w:hAnsi="Tahoma"/>
                      <w:sz w:val="18"/>
                    </w:rPr>
                  </w:pPr>
                  <w:r>
                    <w:rPr>
                      <w:rStyle w:val="C3"/>
                      <w:rFonts w:ascii="Tahoma" w:hAnsi="Tahoma"/>
                      <w:sz w:val="18"/>
                    </w:rPr>
                    <w:t xml:space="preserve">Individual consumption – total </w:t>
                  </w:r>
                </w:p>
              </w:tc>
              <w:tc>
                <w:tcPr>
                  <w:tcW w:w="1165" w:type="dxa"/>
                  <w:tcBorders>
                    <w:top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shd w:val="nil" w:color="auto" w:fill="auto"/>
                  <w:vAlign w:val="bottom"/>
                </w:tcPr>
                <w:p>
                  <w:pPr>
                    <w:spacing w:after="60"/>
                    <w:ind w:right="170"/>
                    <w:jc w:val="right"/>
                    <w:rPr>
                      <w:rStyle w:val="C3"/>
                      <w:rFonts w:ascii="Tahoma" w:hAnsi="Tahoma"/>
                      <w:sz w:val="18"/>
                    </w:rPr>
                  </w:pPr>
                  <w:r>
                    <w:rPr>
                      <w:rStyle w:val="C3"/>
                      <w:rFonts w:ascii="Tahoma" w:hAnsi="Tahoma"/>
                      <w:sz w:val="18"/>
                    </w:rPr>
                    <w:t>60720</w:t>
                  </w:r>
                </w:p>
              </w:tc>
              <w:tc>
                <w:tcPr>
                  <w:tcW w:w="1165" w:type="dxa"/>
                  <w:tcBorders>
                    <w:top w:val="none" w:sz="0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spacing w:after="60"/>
                    <w:ind w:right="170"/>
                    <w:jc w:val="right"/>
                    <w:rPr>
                      <w:rStyle w:val="C3"/>
                      <w:rFonts w:ascii="Tahoma" w:hAnsi="Tahoma"/>
                      <w:sz w:val="18"/>
                    </w:rPr>
                  </w:pPr>
                  <w:r>
                    <w:rPr>
                      <w:rStyle w:val="C3"/>
                      <w:rFonts w:ascii="Tahoma" w:hAnsi="Tahoma"/>
                      <w:color w:val="000000"/>
                      <w:sz w:val="18"/>
                    </w:rPr>
                    <w:t>61370</w:t>
                  </w:r>
                </w:p>
              </w:tc>
              <w:tc>
                <w:tcPr>
                  <w:tcW w:w="1165" w:type="dxa"/>
                  <w:tcBorders>
                    <w:top w:val="none" w:sz="0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spacing w:after="60"/>
                    <w:ind w:right="170"/>
                    <w:jc w:val="right"/>
                    <w:rPr>
                      <w:rStyle w:val="C3"/>
                      <w:rFonts w:ascii="Tahoma" w:hAnsi="Tahoma"/>
                      <w:color w:val="000000"/>
                      <w:sz w:val="18"/>
                    </w:rPr>
                  </w:pPr>
                  <w:r>
                    <w:rPr>
                      <w:rStyle w:val="C3"/>
                      <w:rFonts w:ascii="Tahoma" w:hAnsi="Tahoma"/>
                      <w:color w:val="000000"/>
                      <w:sz w:val="18"/>
                    </w:rPr>
                    <w:t>61477</w:t>
                  </w:r>
                </w:p>
              </w:tc>
              <w:tc>
                <w:tcPr>
                  <w:tcW w:w="1165" w:type="dxa"/>
                  <w:tcBorders>
                    <w:top w:val="none" w:sz="0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spacing w:after="60"/>
                    <w:ind w:right="170"/>
                    <w:jc w:val="right"/>
                    <w:rPr>
                      <w:rStyle w:val="C3"/>
                      <w:rFonts w:ascii="Tahoma" w:hAnsi="Tahoma"/>
                      <w:color w:val="000000"/>
                      <w:sz w:val="18"/>
                    </w:rPr>
                  </w:pPr>
                  <w:r>
                    <w:rPr>
                      <w:rStyle w:val="C3"/>
                      <w:rFonts w:ascii="Tahoma" w:hAnsi="Tahoma"/>
                      <w:color w:val="000000"/>
                      <w:sz w:val="18"/>
                    </w:rPr>
                    <w:t>62190</w:t>
                  </w:r>
                </w:p>
              </w:tc>
              <w:tc>
                <w:tcPr>
                  <w:tcW w:w="1165" w:type="dxa"/>
                  <w:tcBorders>
                    <w:top w:val="none" w:sz="0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spacing w:after="60"/>
                    <w:ind w:right="170"/>
                    <w:jc w:val="right"/>
                    <w:rPr>
                      <w:rStyle w:val="C3"/>
                      <w:rFonts w:ascii="Tahoma" w:hAnsi="Tahoma"/>
                      <w:color w:val="000000"/>
                      <w:sz w:val="18"/>
                    </w:rPr>
                  </w:pPr>
                  <w:r>
                    <w:rPr>
                      <w:rStyle w:val="C3"/>
                      <w:rFonts w:ascii="Tahoma" w:hAnsi="Tahoma"/>
                      <w:color w:val="000000"/>
                      <w:sz w:val="18"/>
                    </w:rPr>
                    <w:t>64086</w:t>
                  </w:r>
                </w:p>
              </w:tc>
              <w:tc>
                <w:tcPr>
                  <w:tcW w:w="1165" w:type="dxa"/>
                  <w:tcBorders>
                    <w:top w:val="none" w:sz="0" w:space="0" w:shadow="0" w:frame="0"/>
                    <w:left w:val="single" w:sz="4" w:space="0" w:shadow="0" w:frame="0"/>
                    <w:bottom w:val="single" w:sz="4" w:space="0" w:shadow="0" w:frame="0"/>
                  </w:tcBorders>
                  <w:vAlign w:val="bottom"/>
                </w:tcPr>
                <w:p>
                  <w:pPr>
                    <w:spacing w:after="60"/>
                    <w:ind w:right="170"/>
                    <w:jc w:val="right"/>
                    <w:rPr>
                      <w:rStyle w:val="C3"/>
                      <w:rFonts w:ascii="Tahoma" w:hAnsi="Tahoma"/>
                      <w:sz w:val="18"/>
                    </w:rPr>
                  </w:pPr>
                  <w:r>
                    <w:rPr>
                      <w:rStyle w:val="C3"/>
                      <w:rFonts w:ascii="Tahoma" w:hAnsi="Tahoma"/>
                      <w:sz w:val="18"/>
                    </w:rPr>
                    <w:t>62275</w:t>
                  </w:r>
                </w:p>
              </w:tc>
            </w:tr>
          </w:tbl>
          <w:p>
            <w:pPr>
              <w:jc w:val="both"/>
              <w:rPr>
                <w:rStyle w:val="C3"/>
                <w:rFonts w:ascii="Tahoma" w:hAnsi="Tahoma"/>
                <w:sz w:val="18"/>
              </w:rPr>
            </w:pPr>
          </w:p>
          <w:p>
            <w:pPr>
              <w:jc w:val="both"/>
              <w:rPr>
                <w:rStyle w:val="C3"/>
                <w:rFonts w:ascii="Tahoma" w:hAnsi="Tahoma"/>
                <w:sz w:val="18"/>
              </w:rPr>
            </w:pPr>
            <w:r>
              <w:rPr>
                <w:rStyle w:val="C3"/>
                <w:rFonts w:ascii="Tahoma" w:hAnsi="Tahoma"/>
                <w:sz w:val="18"/>
              </w:rPr>
              <w:t xml:space="preserve">In 2017, average monthly income in money and in kind per household (all households) amounted to 61407 RSD, and relative to 2016, it is the increase of 3.0% in nominal terms. Average monthly income in money and in kind of the households in the urban area amounted to 63906 RSD (2.5% increase, nominally, relative to 2016), while average monthly income in money and in kind of the households from other area amounted to 57343 RSD (3.9% increase, nominally, relative to 2016). </w:t>
            </w:r>
          </w:p>
          <w:p>
            <w:pPr>
              <w:jc w:val="both"/>
              <w:rPr>
                <w:rStyle w:val="C3"/>
                <w:rFonts w:ascii="Tahoma" w:hAnsi="Tahoma"/>
                <w:sz w:val="18"/>
              </w:rPr>
            </w:pPr>
          </w:p>
          <w:p>
            <w:pPr>
              <w:jc w:val="both"/>
              <w:rPr>
                <w:rStyle w:val="C3"/>
                <w:rFonts w:ascii="Tahoma" w:hAnsi="Tahoma"/>
                <w:sz w:val="18"/>
              </w:rPr>
            </w:pPr>
            <w:r>
              <w:rPr>
                <w:rStyle w:val="C3"/>
                <w:rFonts w:ascii="Tahoma" w:hAnsi="Tahoma"/>
                <w:sz w:val="18"/>
              </w:rPr>
              <w:t xml:space="preserve">The individual consumption expenditures of the households, in 2017 (all households) amounted to 62275 RSD, and relative to 2016, this was the increase of 2.6% in nominal terms. The individual consumption expenditures of the households in the urban area, in 2017, amounted to 64011 RSD (increase of 2.7%, nominally, relative to 2016), while individual consumption expenditures of the households from other area amounted to 59442 RSD (increase of 2.3%, nominally, relative to 2016). </w:t>
            </w:r>
          </w:p>
          <w:p>
            <w:pPr>
              <w:jc w:val="both"/>
              <w:rPr>
                <w:rStyle w:val="C3"/>
                <w:rFonts w:ascii="Tahoma" w:hAnsi="Tahoma"/>
                <w:sz w:val="14"/>
              </w:rPr>
            </w:pPr>
          </w:p>
          <w:p>
            <w:pPr>
              <w:jc w:val="both"/>
              <w:rPr>
                <w:rStyle w:val="C3"/>
                <w:rFonts w:ascii="Tahoma" w:hAnsi="Tahoma"/>
                <w:sz w:val="18"/>
              </w:rPr>
            </w:pPr>
            <w:r>
              <w:rPr>
                <w:rStyle w:val="C3"/>
                <w:rFonts w:ascii="Tahoma" w:hAnsi="Tahoma"/>
                <w:sz w:val="18"/>
              </w:rPr>
              <w:t>The largest share of income in money and in kind (all households) refers to the salaries and wages of the employed – 49.6%, pensions – 31.9%, income from agriculture, hunting and fishing – 4.3%, natural consumption</w:t>
            </w:r>
            <w:r>
              <w:rPr>
                <w:rStyle w:val="C3"/>
                <w:rFonts w:ascii="Arial" w:hAnsi="Arial"/>
                <w:sz w:val="18"/>
              </w:rPr>
              <w:t xml:space="preserve"> </w:t>
            </w:r>
            <w:r>
              <w:rPr>
                <w:rStyle w:val="C3"/>
                <w:rFonts w:ascii="Tahoma" w:hAnsi="Tahoma"/>
                <w:sz w:val="18"/>
              </w:rPr>
              <w:t>– 3.6%,</w:t>
            </w:r>
            <w:r>
              <w:rPr>
                <w:rStyle w:val="C3"/>
                <w:rFonts w:ascii="Arial" w:hAnsi="Arial"/>
                <w:sz w:val="18"/>
              </w:rPr>
              <w:t xml:space="preserve"> other income – 2.8%, </w:t>
            </w:r>
            <w:r>
              <w:rPr>
                <w:rStyle w:val="C3"/>
                <w:rFonts w:ascii="Tahoma" w:hAnsi="Tahoma"/>
                <w:sz w:val="18"/>
              </w:rPr>
              <w:t xml:space="preserve">other social insurance receipts – 2.6% and 5.2% refers to other receipts. </w:t>
            </w:r>
          </w:p>
          <w:p>
            <w:pPr>
              <w:jc w:val="both"/>
              <w:rPr>
                <w:rStyle w:val="C3"/>
                <w:rFonts w:ascii="Tahoma" w:hAnsi="Tahoma"/>
                <w:sz w:val="18"/>
              </w:rPr>
            </w:pPr>
          </w:p>
          <w:p>
            <w:pPr>
              <w:jc w:val="both"/>
              <w:rPr>
                <w:rStyle w:val="C3"/>
                <w:rFonts w:ascii="Tahoma" w:hAnsi="Tahoma"/>
                <w:sz w:val="18"/>
              </w:rPr>
            </w:pPr>
            <w:r>
              <w:rPr>
                <w:rStyle w:val="C3"/>
                <w:rFonts w:ascii="Tahoma" w:hAnsi="Tahoma"/>
                <w:sz w:val="18"/>
              </w:rPr>
              <w:t xml:space="preserve">Regarding the individual consumption expenditures of the households (all households) food and non-alcoholic beverages make the largest share of 34.5%, followed by expenditures related to housing, water, electricity, gas and other fuels – 17.1%. Expenditures for transport amounted to 8.9%, for miscellaneous goods and services – 5.9%, for clothing and footwear – 5.3%, for communication – 5.3%, for recreation and culture – 5.2%, for alcoholic beverages and tobacco – 4.7% and 13.1% refers to other groups of individual consumption.  </w:t>
            </w:r>
          </w:p>
          <w:p>
            <w:pPr>
              <w:jc w:val="both"/>
              <w:rPr>
                <w:rStyle w:val="C3"/>
                <w:rFonts w:ascii="Tahoma" w:hAnsi="Tahoma"/>
                <w:sz w:val="18"/>
              </w:rPr>
            </w:pPr>
          </w:p>
          <w:p>
            <w:pPr>
              <w:jc w:val="both"/>
              <w:rPr>
                <w:rStyle w:val="C3"/>
                <w:rFonts w:ascii="Tahoma" w:hAnsi="Tahoma"/>
                <w:sz w:val="18"/>
              </w:rPr>
            </w:pPr>
            <w:r>
              <w:rPr>
                <w:rStyle w:val="C3"/>
                <w:rFonts w:ascii="Tahoma" w:hAnsi="Tahoma"/>
                <w:sz w:val="18"/>
              </w:rPr>
              <w:t xml:space="preserve">Of the total number of households envisaged for interview in 2017, (8856 for the Republic of Serbia), the number of 6403 households (72%) were interviewed. </w:t>
            </w:r>
          </w:p>
          <w:p>
            <w:pPr>
              <w:jc w:val="both"/>
              <w:rPr>
                <w:rStyle w:val="C3"/>
                <w:rFonts w:ascii="Tahoma" w:hAnsi="Tahoma"/>
                <w:sz w:val="18"/>
              </w:rPr>
            </w:pPr>
          </w:p>
          <w:p>
            <w:pPr>
              <w:jc w:val="both"/>
              <w:rPr>
                <w:rStyle w:val="C3"/>
                <w:rFonts w:ascii="Tahoma" w:hAnsi="Tahoma"/>
                <w:sz w:val="18"/>
              </w:rPr>
            </w:pPr>
            <w:r>
              <w:rPr>
                <w:rStyle w:val="C3"/>
                <w:rFonts w:ascii="Tahoma" w:hAnsi="Tahoma"/>
                <w:sz w:val="18"/>
              </w:rPr>
              <w:t>More detailed information is available in the Statistical Release LP11 (No 078, as of 30.03.2018), “Income in money and in kind</w:t>
            </w:r>
            <w:r>
              <w:rPr>
                <w:rStyle w:val="C3"/>
                <w:rFonts w:ascii="Tahoma" w:hAnsi="Tahoma"/>
                <w:b w:val="1"/>
                <w:sz w:val="22"/>
              </w:rPr>
              <w:t xml:space="preserve"> </w:t>
            </w:r>
            <w:r>
              <w:rPr>
                <w:rStyle w:val="C3"/>
                <w:rFonts w:ascii="Tahoma" w:hAnsi="Tahoma"/>
                <w:sz w:val="18"/>
              </w:rPr>
              <w:t xml:space="preserve">and individual consumption of households, 2017 - final data”. </w:t>
            </w:r>
          </w:p>
          <w:p>
            <w:pPr>
              <w:jc w:val="both"/>
              <w:rPr>
                <w:rStyle w:val="C3"/>
                <w:rFonts w:ascii="Tahoma" w:hAnsi="Tahoma"/>
                <w:sz w:val="18"/>
              </w:rPr>
            </w:pPr>
          </w:p>
          <w:p>
            <w:pPr>
              <w:jc w:val="both"/>
              <w:rPr>
                <w:rStyle w:val="C3"/>
                <w:rFonts w:ascii="Tahoma" w:hAnsi="Tahoma"/>
                <w:sz w:val="20"/>
              </w:rPr>
            </w:pPr>
          </w:p>
        </w:tc>
      </w:tr>
    </w:tbl>
    <w:p>
      <w:pPr>
        <w:rPr>
          <w:rStyle w:val="C3"/>
        </w:rPr>
      </w:pPr>
    </w:p>
    <w:sectPr>
      <w:headerReference xmlns:r="http://schemas.openxmlformats.org/officeDocument/2006/relationships" w:type="first" r:id="RelHdr1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type w:val="nextPage"/>
      <w:pgMar w:left="1077" w:right="1077" w:top="357" w:bottom="357" w:header="431" w:footer="0" w:gutter="0"/>
      <w:cols w:equalWidth="1" w:space="720"/>
      <w:vAlign w:val="both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10368" w:type="dxa"/>
      <w:tblLayout w:type="autofit"/>
    </w:tblPr>
    <w:tblGrid/>
    <w:tr>
      <w:trPr>
        <w:trHeight w:hRule="atLeast" w:val="1445"/>
      </w:trPr>
      <w:tc>
        <w:tcPr>
          <w:tcW w:w="5328" w:type="dxa"/>
        </w:tcPr>
        <w:p>
          <w:pPr>
            <w:jc w:val="both"/>
            <w:rPr>
              <w:rStyle w:val="C3"/>
              <w:rFonts w:ascii="Tahoma" w:hAnsi="Tahoma"/>
              <w:sz w:val="18"/>
            </w:rPr>
          </w:pPr>
          <w:r>
            <w:rPr>
              <w:rStyle w:val="C3"/>
              <w:rFonts w:ascii="Tahoma" w:hAnsi="Tahoma"/>
              <w:sz w:val="18"/>
            </w:rPr>
            <w:t>Contact:</w:t>
          </w:r>
        </w:p>
        <w:p>
          <w:pPr>
            <w:jc w:val="both"/>
            <w:rPr>
              <w:rStyle w:val="C3"/>
              <w:rFonts w:ascii="Tahoma" w:hAnsi="Tahoma"/>
              <w:sz w:val="18"/>
            </w:rPr>
          </w:pPr>
          <w:r>
            <w:rPr>
              <w:rStyle w:val="C3"/>
              <w:rFonts w:ascii="Tahoma" w:hAnsi="Tahoma"/>
              <w:sz w:val="18"/>
            </w:rPr>
            <w:t>Natasa Mijakovac, Head</w:t>
          </w:r>
        </w:p>
        <w:p>
          <w:pPr>
            <w:rPr>
              <w:rStyle w:val="C3"/>
              <w:rFonts w:ascii="Tahoma" w:hAnsi="Tahoma"/>
              <w:sz w:val="18"/>
            </w:rPr>
          </w:pPr>
          <w:r>
            <w:rPr>
              <w:rStyle w:val="C3"/>
              <w:rFonts w:ascii="Tahoma" w:hAnsi="Tahoma"/>
              <w:sz w:val="18"/>
            </w:rPr>
            <w:t xml:space="preserve">Household budget survey and standard unit </w:t>
          </w:r>
        </w:p>
        <w:p>
          <w:pPr>
            <w:jc w:val="both"/>
            <w:rPr>
              <w:rStyle w:val="C3"/>
              <w:rFonts w:ascii="Tahoma" w:hAnsi="Tahoma"/>
              <w:sz w:val="18"/>
            </w:rPr>
          </w:pPr>
          <w:r>
            <w:rPr>
              <w:rStyle w:val="C3"/>
              <w:rFonts w:ascii="Tahoma" w:hAnsi="Tahoma"/>
              <w:sz w:val="18"/>
            </w:rPr>
            <w:t>Phone: +381 11 2412- 922, ext. 242</w:t>
          </w:r>
        </w:p>
        <w:p>
          <w:pPr>
            <w:jc w:val="both"/>
            <w:rPr>
              <w:rStyle w:val="C3"/>
              <w:rFonts w:ascii="Tahoma" w:hAnsi="Tahoma"/>
              <w:sz w:val="18"/>
            </w:rPr>
          </w:pPr>
        </w:p>
        <w:p>
          <w:pPr>
            <w:jc w:val="both"/>
            <w:rPr>
              <w:rStyle w:val="C3"/>
              <w:rFonts w:ascii="Tahoma" w:hAnsi="Tahoma"/>
              <w:color w:val="808080"/>
              <w:sz w:val="18"/>
            </w:rPr>
          </w:pPr>
          <w:r>
            <w:rPr>
              <w:rStyle w:val="C3"/>
              <w:rFonts w:ascii="Tahoma" w:hAnsi="Tahoma"/>
              <w:color w:val="808080"/>
              <w:sz w:val="18"/>
            </w:rPr>
            <w:t>Information and Dissemination Unit</w:t>
          </w:r>
        </w:p>
        <w:p>
          <w:pPr>
            <w:jc w:val="both"/>
            <w:rPr>
              <w:rStyle w:val="C3"/>
              <w:rFonts w:ascii="Tahoma" w:hAnsi="Tahoma"/>
              <w:color w:val="808080"/>
              <w:sz w:val="18"/>
            </w:rPr>
          </w:pPr>
          <w:r>
            <w:rPr>
              <w:rStyle w:val="C3"/>
              <w:rFonts w:ascii="Tahoma" w:hAnsi="Tahoma"/>
              <w:color w:val="808080"/>
              <w:sz w:val="18"/>
            </w:rPr>
            <w:t>Phone: +381 11 2401-284</w:t>
          </w:r>
        </w:p>
        <w:p>
          <w:pPr>
            <w:jc w:val="both"/>
            <w:rPr>
              <w:rStyle w:val="C3"/>
              <w:rFonts w:ascii="Tahoma" w:hAnsi="Tahoma"/>
              <w:sz w:val="18"/>
            </w:rPr>
          </w:pPr>
          <w:r>
            <w:rPr>
              <w:rStyle w:val="C3"/>
              <w:rFonts w:ascii="Tahoma" w:hAnsi="Tahoma"/>
              <w:color w:val="808080"/>
              <w:sz w:val="18"/>
            </w:rPr>
            <w:t>stat@stat.gov.rs</w:t>
          </w:r>
        </w:p>
      </w:tc>
      <w:tc>
        <w:tcPr>
          <w:tcW w:w="5040" w:type="dxa"/>
        </w:tcPr>
        <w:p>
          <w:pPr>
            <w:jc w:val="center"/>
            <w:rPr>
              <w:rStyle w:val="C3"/>
              <w:rFonts w:ascii="Tahoma" w:hAnsi="Tahoma"/>
              <w:sz w:val="18"/>
            </w:rPr>
          </w:pPr>
          <w:r>
            <w:rPr>
              <w:rStyle w:val="C3"/>
              <w:rFonts w:ascii="Tahoma" w:hAnsi="Tahoma"/>
              <w:sz w:val="20"/>
            </w:rPr>
            <w:t xml:space="preserve">                          </w:t>
          </w:r>
          <w:r>
            <w:rPr>
              <w:rStyle w:val="C3"/>
              <w:rFonts w:ascii="Tahoma" w:hAnsi="Tahoma"/>
              <w:sz w:val="18"/>
            </w:rPr>
            <w:t>Director</w:t>
          </w:r>
        </w:p>
        <w:p>
          <w:pPr>
            <w:jc w:val="both"/>
            <w:rPr>
              <w:rStyle w:val="C3"/>
              <w:rFonts w:ascii="Tahoma" w:hAnsi="Tahoma"/>
              <w:sz w:val="20"/>
            </w:rPr>
          </w:pPr>
          <w:r>
            <w:rPr>
              <w:rStyle w:val="C3"/>
              <w:rFonts w:ascii="Tahoma" w:hAnsi="Tahoma"/>
              <w:sz w:val="18"/>
            </w:rPr>
            <w:t xml:space="preserve">                                        Dr Miladin Kovačević</w:t>
          </w:r>
          <w:r>
            <w:rPr>
              <w:rStyle w:val="C3"/>
              <w:rFonts w:ascii="Tahoma" w:hAnsi="Tahoma"/>
              <w:sz w:val="20"/>
            </w:rPr>
            <w:t xml:space="preserve"> </w:t>
          </w:r>
        </w:p>
      </w:tc>
    </w:tr>
  </w:tbl>
  <w:p>
    <w:pPr>
      <w:pStyle w:val="P3"/>
      <w:rPr>
        <w:rStyle w:val="C3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29340" w:type="dxa"/>
      <w:tblLayout w:type="autofit"/>
    </w:tblPr>
    <w:tblGrid/>
    <w:tr>
      <w:tc>
        <w:tcPr>
          <w:tcW w:w="4788" w:type="dxa"/>
        </w:tcPr>
        <w:p>
          <w:pPr>
            <w:jc w:val="both"/>
            <w:rPr>
              <w:rStyle w:val="C3"/>
              <w:rFonts w:ascii="Tahoma" w:hAnsi="Tahoma"/>
              <w:sz w:val="18"/>
            </w:rPr>
          </w:pPr>
          <w:r>
            <w:rPr>
              <w:rStyle w:val="C3"/>
              <w:rFonts w:ascii="Tahoma" w:hAnsi="Tahoma"/>
              <w:sz w:val="18"/>
            </w:rPr>
            <w:t>Contact:</w:t>
          </w:r>
        </w:p>
        <w:p>
          <w:pPr>
            <w:jc w:val="both"/>
            <w:rPr>
              <w:rStyle w:val="C3"/>
              <w:rFonts w:ascii="Tahoma" w:hAnsi="Tahoma"/>
              <w:sz w:val="18"/>
            </w:rPr>
          </w:pPr>
          <w:r>
            <w:rPr>
              <w:rStyle w:val="C3"/>
              <w:rFonts w:ascii="Tahoma" w:hAnsi="Tahoma"/>
              <w:sz w:val="18"/>
            </w:rPr>
            <w:t>Natasa Mijakovac, Head</w:t>
          </w:r>
        </w:p>
        <w:p>
          <w:pPr>
            <w:rPr>
              <w:rStyle w:val="C3"/>
              <w:rFonts w:ascii="Arial" w:hAnsi="Arial"/>
              <w:sz w:val="20"/>
            </w:rPr>
          </w:pPr>
          <w:r>
            <w:rPr>
              <w:rStyle w:val="C3"/>
              <w:rFonts w:ascii="Arial" w:hAnsi="Arial"/>
              <w:sz w:val="20"/>
            </w:rPr>
            <w:t xml:space="preserve">Household budget survey and standard unit </w:t>
          </w:r>
        </w:p>
        <w:p>
          <w:pPr>
            <w:jc w:val="both"/>
            <w:rPr>
              <w:rStyle w:val="C3"/>
              <w:rFonts w:ascii="Tahoma" w:hAnsi="Tahoma"/>
              <w:sz w:val="18"/>
            </w:rPr>
          </w:pPr>
          <w:r>
            <w:rPr>
              <w:rStyle w:val="C3"/>
              <w:rFonts w:ascii="Tahoma" w:hAnsi="Tahoma"/>
              <w:sz w:val="18"/>
            </w:rPr>
            <w:t>Phone: +381 11 2412- 922, ext. 242</w:t>
          </w:r>
        </w:p>
        <w:p>
          <w:pPr>
            <w:jc w:val="both"/>
            <w:rPr>
              <w:rStyle w:val="C3"/>
              <w:rFonts w:ascii="Tahoma" w:hAnsi="Tahoma"/>
              <w:sz w:val="18"/>
            </w:rPr>
          </w:pPr>
        </w:p>
        <w:p>
          <w:pPr>
            <w:jc w:val="both"/>
            <w:rPr>
              <w:rStyle w:val="C3"/>
              <w:rFonts w:ascii="Tahoma" w:hAnsi="Tahoma"/>
              <w:color w:val="808080"/>
              <w:sz w:val="18"/>
            </w:rPr>
          </w:pPr>
          <w:r>
            <w:rPr>
              <w:rStyle w:val="C3"/>
              <w:rFonts w:ascii="Tahoma" w:hAnsi="Tahoma"/>
              <w:color w:val="808080"/>
              <w:sz w:val="18"/>
            </w:rPr>
            <w:t>Information and Dissemination Unit</w:t>
          </w:r>
        </w:p>
        <w:p>
          <w:pPr>
            <w:jc w:val="both"/>
            <w:rPr>
              <w:rStyle w:val="C3"/>
              <w:rFonts w:ascii="Tahoma" w:hAnsi="Tahoma"/>
              <w:color w:val="808080"/>
              <w:sz w:val="18"/>
            </w:rPr>
          </w:pPr>
          <w:r>
            <w:rPr>
              <w:rStyle w:val="C3"/>
              <w:rFonts w:ascii="Tahoma" w:hAnsi="Tahoma"/>
              <w:color w:val="808080"/>
              <w:sz w:val="18"/>
            </w:rPr>
            <w:t>Phone: +381 11 2401-284</w:t>
          </w:r>
        </w:p>
        <w:p>
          <w:pPr>
            <w:jc w:val="both"/>
            <w:rPr>
              <w:rStyle w:val="C3"/>
              <w:rFonts w:ascii="Tahoma" w:hAnsi="Tahoma"/>
              <w:sz w:val="18"/>
            </w:rPr>
          </w:pPr>
          <w:r>
            <w:rPr>
              <w:rStyle w:val="C3"/>
              <w:rFonts w:ascii="Tahoma" w:hAnsi="Tahoma"/>
              <w:color w:val="808080"/>
              <w:sz w:val="18"/>
            </w:rPr>
            <w:t>stat@stat.gov.rs</w:t>
          </w:r>
        </w:p>
        <w:p>
          <w:pPr>
            <w:jc w:val="both"/>
            <w:rPr>
              <w:rStyle w:val="C3"/>
              <w:rFonts w:ascii="Tahoma" w:hAnsi="Tahoma"/>
              <w:sz w:val="22"/>
            </w:rPr>
          </w:pPr>
        </w:p>
      </w:tc>
      <w:tc>
        <w:tcPr>
          <w:tcW w:w="4788" w:type="dxa"/>
        </w:tcPr>
        <w:p>
          <w:pPr>
            <w:jc w:val="center"/>
            <w:rPr>
              <w:rStyle w:val="C3"/>
              <w:rFonts w:ascii="Tahoma" w:hAnsi="Tahoma"/>
              <w:sz w:val="18"/>
            </w:rPr>
          </w:pPr>
          <w:r>
            <w:rPr>
              <w:rStyle w:val="C3"/>
              <w:rFonts w:ascii="Tahoma" w:hAnsi="Tahoma"/>
              <w:sz w:val="20"/>
            </w:rPr>
            <w:t xml:space="preserve">                          </w:t>
          </w:r>
          <w:r>
            <w:rPr>
              <w:rStyle w:val="C3"/>
              <w:rFonts w:ascii="Tahoma" w:hAnsi="Tahoma"/>
              <w:sz w:val="18"/>
            </w:rPr>
            <w:t>Director</w:t>
          </w:r>
        </w:p>
        <w:p>
          <w:pPr>
            <w:jc w:val="both"/>
            <w:rPr>
              <w:rStyle w:val="C3"/>
              <w:rFonts w:ascii="Tahoma" w:hAnsi="Tahoma"/>
              <w:sz w:val="20"/>
            </w:rPr>
          </w:pPr>
          <w:r>
            <w:rPr>
              <w:rStyle w:val="C3"/>
              <w:rFonts w:ascii="Tahoma" w:hAnsi="Tahoma"/>
              <w:sz w:val="18"/>
            </w:rPr>
            <w:t xml:space="preserve">                                        Dr Miladin Kovačević</w:t>
          </w:r>
          <w:r>
            <w:rPr>
              <w:rStyle w:val="C3"/>
              <w:rFonts w:ascii="Tahoma" w:hAnsi="Tahoma"/>
              <w:sz w:val="20"/>
            </w:rPr>
            <w:t xml:space="preserve"> </w:t>
          </w:r>
        </w:p>
      </w:tc>
      <w:tc>
        <w:tcPr>
          <w:tcW w:w="4788" w:type="dxa"/>
        </w:tcPr>
        <w:p>
          <w:pPr>
            <w:jc w:val="both"/>
            <w:rPr>
              <w:rStyle w:val="C3"/>
              <w:rFonts w:ascii="Tahoma" w:hAnsi="Tahoma"/>
              <w:sz w:val="22"/>
            </w:rPr>
          </w:pPr>
        </w:p>
      </w:tc>
      <w:tc>
        <w:tcPr>
          <w:tcW w:w="4788" w:type="dxa"/>
        </w:tcPr>
        <w:p>
          <w:pPr>
            <w:jc w:val="both"/>
            <w:rPr>
              <w:rStyle w:val="C3"/>
              <w:rFonts w:ascii="Tahoma" w:hAnsi="Tahoma"/>
              <w:color w:val="808080"/>
              <w:sz w:val="20"/>
            </w:rPr>
          </w:pPr>
        </w:p>
        <w:p>
          <w:pPr>
            <w:jc w:val="both"/>
            <w:rPr>
              <w:rStyle w:val="C3"/>
              <w:rFonts w:ascii="Tahoma" w:hAnsi="Tahoma"/>
              <w:sz w:val="20"/>
            </w:rPr>
          </w:pPr>
        </w:p>
      </w:tc>
      <w:tc>
        <w:tcPr>
          <w:tcW w:w="4788" w:type="dxa"/>
        </w:tcPr>
        <w:p>
          <w:pPr>
            <w:jc w:val="both"/>
            <w:rPr>
              <w:rStyle w:val="C3"/>
              <w:rFonts w:ascii="Tahoma" w:hAnsi="Tahoma"/>
              <w:color w:val="333333"/>
              <w:sz w:val="22"/>
            </w:rPr>
          </w:pPr>
        </w:p>
      </w:tc>
      <w:tc>
        <w:tcPr>
          <w:tcW w:w="5400" w:type="dxa"/>
        </w:tcPr>
        <w:p>
          <w:pPr>
            <w:rPr>
              <w:rStyle w:val="C3"/>
              <w:rFonts w:ascii="Tahoma" w:hAnsi="Tahoma"/>
              <w:color w:val="333333"/>
              <w:sz w:val="22"/>
            </w:rPr>
          </w:pPr>
        </w:p>
      </w:tc>
    </w:tr>
    <w:tr>
      <w:tblPrEx>
        <w:tblW w:w="2934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Ex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Style w:val="C3"/>
              <w:rFonts w:ascii="Tahoma" w:hAnsi="Tahoma"/>
              <w:sz w:val="22"/>
            </w:rPr>
          </w:pPr>
        </w:p>
      </w:tc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Style w:val="C3"/>
              <w:rFonts w:ascii="Tahoma" w:hAnsi="Tahoma"/>
              <w:sz w:val="22"/>
            </w:rPr>
          </w:pPr>
        </w:p>
      </w:tc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Style w:val="C3"/>
              <w:rFonts w:ascii="Tahoma" w:hAnsi="Tahoma"/>
              <w:sz w:val="22"/>
            </w:rPr>
          </w:pPr>
        </w:p>
      </w:tc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Style w:val="C3"/>
              <w:rFonts w:ascii="Tahoma" w:hAnsi="Tahoma"/>
              <w:sz w:val="22"/>
            </w:rPr>
          </w:pPr>
        </w:p>
      </w:tc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Style w:val="C3"/>
              <w:rFonts w:ascii="Tahoma" w:hAnsi="Tahoma"/>
              <w:sz w:val="22"/>
            </w:rPr>
          </w:pPr>
        </w:p>
      </w:tc>
      <w:tc>
        <w:tcPr>
          <w:tcW w:w="5400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ind w:left="972"/>
            <w:jc w:val="both"/>
            <w:rPr>
              <w:rStyle w:val="C3"/>
              <w:rFonts w:ascii="Tahoma" w:hAnsi="Tahoma"/>
              <w:sz w:val="20"/>
            </w:rPr>
          </w:pPr>
        </w:p>
      </w:tc>
    </w:tr>
  </w:tbl>
  <w:p>
    <w:pPr>
      <w:pStyle w:val="P3"/>
      <w:rPr>
        <w:rStyle w:val="C3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5000" w:type="pct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rPr>
        <w:wAfter w:w="0" w:type="dxa"/>
        <w:trHeight w:hRule="atLeast" w:val="1361"/>
      </w:trPr>
      <w:tc>
        <w:tcPr>
          <w:tcW w:w="1977" w:type="pct"/>
        </w:tcPr>
        <w:p>
          <w:pPr>
            <w:pStyle w:val="P2"/>
            <w:ind w:right="972"/>
            <w:rPr>
              <w:rStyle w:val="C3"/>
              <w:rFonts w:ascii="Tahoma" w:hAnsi="Tahoma"/>
              <w:sz w:val="20"/>
            </w:rPr>
          </w:pPr>
          <w:r>
            <w:drawing>
              <wp:inline xmlns:wp="http://schemas.openxmlformats.org/drawingml/2006/wordprocessingDrawing">
                <wp:extent cx="1564005" cy="70993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005" cy="70993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Style w:val="C3"/>
              <w:rFonts w:ascii="Tahoma" w:hAnsi="Tahoma"/>
              <w:sz w:val="20"/>
            </w:rPr>
            <w:t xml:space="preserve"> Republic of Serbia</w:t>
          </w:r>
        </w:p>
        <w:p>
          <w:pPr>
            <w:pStyle w:val="P2"/>
            <w:rPr>
              <w:rStyle w:val="C3"/>
              <w:rFonts w:ascii="Tahoma" w:hAnsi="Tahoma"/>
              <w:sz w:val="20"/>
            </w:rPr>
          </w:pPr>
          <w:r>
            <w:rPr>
              <w:rStyle w:val="C3"/>
              <w:rFonts w:ascii="Tahoma" w:hAnsi="Tahoma"/>
              <w:sz w:val="20"/>
            </w:rPr>
            <w:t>Statistical Office of the Republic of Serbia</w:t>
          </w:r>
        </w:p>
      </w:tc>
      <w:tc>
        <w:tcPr>
          <w:tcW w:w="3023" w:type="pct"/>
        </w:tcPr>
        <w:p>
          <w:pPr>
            <w:pStyle w:val="P2"/>
            <w:jc w:val="right"/>
            <w:rPr>
              <w:rStyle w:val="C3"/>
              <w:rFonts w:ascii="Tahoma" w:hAnsi="Tahoma"/>
              <w:sz w:val="32"/>
            </w:rPr>
          </w:pPr>
          <w:r>
            <w:rPr>
              <w:rStyle w:val="C3"/>
              <w:rFonts w:ascii="Tahoma" w:hAnsi="Tahoma"/>
              <w:sz w:val="32"/>
            </w:rPr>
            <w:t>Press Release</w:t>
          </w:r>
        </w:p>
        <w:p>
          <w:pPr>
            <w:pStyle w:val="P2"/>
            <w:jc w:val="right"/>
            <w:rPr>
              <w:rStyle w:val="C3"/>
              <w:rFonts w:ascii="Tahoma" w:hAnsi="Tahoma"/>
            </w:rPr>
          </w:pPr>
        </w:p>
        <w:p>
          <w:pPr>
            <w:pStyle w:val="P2"/>
            <w:jc w:val="right"/>
            <w:rPr>
              <w:rStyle w:val="C3"/>
              <w:rFonts w:ascii="Tahoma" w:hAnsi="Tahoma"/>
              <w:sz w:val="20"/>
            </w:rPr>
          </w:pPr>
          <w:r>
            <w:rPr>
              <w:rStyle w:val="C3"/>
              <w:rFonts w:ascii="Tahoma" w:hAnsi="Tahoma"/>
              <w:sz w:val="20"/>
            </w:rPr>
            <w:t>Belgrade, Milana Rakica 5</w:t>
          </w:r>
        </w:p>
        <w:p>
          <w:pPr>
            <w:pStyle w:val="P2"/>
            <w:jc w:val="right"/>
            <w:rPr>
              <w:rStyle w:val="C3"/>
              <w:rFonts w:ascii="Tahoma" w:hAnsi="Tahoma"/>
              <w:sz w:val="20"/>
            </w:rPr>
          </w:pPr>
          <w:r>
            <w:rPr>
              <w:rStyle w:val="C3"/>
              <w:rFonts w:ascii="Tahoma" w:hAnsi="Tahoma"/>
              <w:sz w:val="20"/>
            </w:rPr>
            <w:t>Phone +381 11 2412-922</w:t>
          </w:r>
        </w:p>
        <w:p>
          <w:pPr>
            <w:pStyle w:val="P2"/>
            <w:jc w:val="right"/>
            <w:rPr>
              <w:rStyle w:val="C3"/>
              <w:rFonts w:ascii="Tahoma" w:hAnsi="Tahoma"/>
              <w:sz w:val="20"/>
            </w:rPr>
          </w:pPr>
          <w:r>
            <w:rPr>
              <w:rStyle w:val="C3"/>
              <w:rFonts w:ascii="Tahoma" w:hAnsi="Tahoma"/>
              <w:sz w:val="20"/>
            </w:rPr>
            <w:t>www.stat.gov.rs</w:t>
          </w:r>
        </w:p>
        <w:p>
          <w:pPr>
            <w:pStyle w:val="P2"/>
            <w:jc w:val="right"/>
            <w:rPr>
              <w:rStyle w:val="C3"/>
              <w:rFonts w:ascii="Tahoma" w:hAnsi="Tahoma"/>
              <w:sz w:val="20"/>
            </w:rPr>
          </w:pPr>
          <w:r>
            <w:rPr>
              <w:rStyle w:val="C3"/>
              <w:rFonts w:ascii="Tahoma" w:hAnsi="Tahoma"/>
              <w:sz w:val="20"/>
            </w:rPr>
            <w:t>stat@stat.gov.rs</w:t>
          </w:r>
        </w:p>
      </w:tc>
    </w:tr>
  </w:tbl>
  <w:p>
    <w:pPr>
      <w:pStyle w:val="P2"/>
      <w:rPr>
        <w:rStyle w:val="C3"/>
      </w:rPr>
    </w:pPr>
  </w:p>
</w:hdr>
</file>

<file path=word/numbering.xml><?xml version="1.0" encoding="utf-8"?>
<w:numbering xmlns:w="http://schemas.openxmlformats.org/wordprocessingml/2006/main">
  <w:abstractNum w:abstractNumId="0">
    <w:nsid w:val="0D7C7C46"/>
    <w:multiLevelType w:val="hybridMultilevel"/>
    <w:lvl w:ilvl="0" w:tplc="0AAFA64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11494533"/>
    <w:multiLevelType w:val="hybridMultilevel"/>
    <w:lvl w:ilvl="0" w:tplc="0A5969B7">
      <w:start w:val="1"/>
      <w:numFmt w:val="bullet"/>
      <w:suff w:val="tab"/>
      <w:lvlText w:val="–"/>
      <w:lvlJc w:val="left"/>
      <w:pPr>
        <w:ind w:hanging="360" w:left="720"/>
        <w:tabs>
          <w:tab w:val="left" w:pos="720" w:leader="none"/>
        </w:tabs>
      </w:pPr>
      <w:rPr>
        <w:rFonts w:ascii="Tahoma" w:hAnsi="Tahoma"/>
      </w:rPr>
    </w:lvl>
    <w:lvl w:ilvl="1" w:tplc="327A3CA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FA30AF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DF419A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0B9EDF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CDB82C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1C5E3E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7F44B9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A6721C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166B4D0A"/>
    <w:multiLevelType w:val="hybridMultilevel"/>
    <w:lvl w:ilvl="0" w:tplc="2F3EB4B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">
    <w:nsid w:val="1E75374A"/>
    <w:multiLevelType w:val="hybridMultilevel"/>
    <w:lvl w:ilvl="0" w:tplc="05964F33">
      <w:start w:val="0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31B5CC7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 w:tplc="79D446F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DD74BE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B3EE33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E8BD4F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521ABE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27A47A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6790CC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ing 5"/>
    <w:basedOn w:val="P0"/>
    <w:next w:val="P0"/>
    <w:qFormat/>
    <w:pPr>
      <w:keepNext w:val="1"/>
      <w:jc w:val="both"/>
      <w:outlineLvl w:val="4"/>
    </w:pPr>
    <w:rPr>
      <w:rFonts w:ascii="Arial" w:hAnsi="Arial"/>
      <w:b w:val="1"/>
      <w:sz w:val="22"/>
    </w:rPr>
  </w:style>
  <w:style w:type="paragraph" w:styleId="P2">
    <w:name w:val="Head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next w:val="P3"/>
    <w:pPr>
      <w:tabs>
        <w:tab w:val="center" w:pos="4320" w:leader="none"/>
        <w:tab w:val="right" w:pos="8640" w:leader="none"/>
      </w:tabs>
    </w:pPr>
    <w:rPr/>
  </w:style>
  <w:style w:type="paragraph" w:styleId="P4">
    <w:name w:val="Body Text"/>
    <w:basedOn w:val="P0"/>
    <w:next w:val="P4"/>
    <w:pPr>
      <w:spacing w:after="120"/>
    </w:pPr>
    <w:rPr/>
  </w:style>
  <w:style w:type="paragraph" w:styleId="P5">
    <w:name w:val="Balloon Text"/>
    <w:basedOn w:val="P0"/>
    <w:next w:val="P5"/>
    <w:pPr/>
    <w:rPr>
      <w:rFonts w:ascii="Tahoma" w:hAnsi="Tahoma"/>
      <w:sz w:val="16"/>
    </w:rPr>
  </w:style>
  <w:style w:type="paragraph" w:styleId="P6">
    <w:name w:val=""/>
    <w:basedOn w:val="P0"/>
    <w:next w:val="P6"/>
    <w:link w:val="C3"/>
    <w:pPr>
      <w:spacing w:lineRule="exact" w:line="240" w:after="160"/>
    </w:pPr>
    <w:rPr>
      <w:rFonts w:ascii="Verdana" w:hAnsi="Verdana"/>
      <w:i w:val="1"/>
      <w:sz w:val="20"/>
    </w:rPr>
  </w:style>
  <w:style w:type="paragraph" w:styleId="P7">
    <w:name w:val="Car Car"/>
    <w:basedOn w:val="P0"/>
    <w:next w:val="P7"/>
    <w:pPr>
      <w:spacing w:lineRule="exact" w:line="240" w:after="160"/>
    </w:pPr>
    <w:rPr>
      <w:rFonts w:ascii="Verdana" w:hAnsi="Verdana"/>
      <w:i w:val="1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Default Paragraph Font"/>
    <w:aliases w:val=" Char Char"/>
    <w:link w:val="P6"/>
    <w:rPr>
      <w:rFonts w:ascii="Verdana" w:hAnsi="Verdana"/>
      <w:i w:val="1"/>
      <w:sz w:val="20"/>
    </w:rPr>
  </w:style>
  <w:style w:type="character" w:styleId="C4">
    <w:name w:val="Page Number"/>
    <w:basedOn w:val="C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Aleksandra Danilovic</dc:creator>
  <dcterms:created xsi:type="dcterms:W3CDTF">2016-04-04T08:15:00Z</dcterms:created>
  <cp:lastModifiedBy>Nikola Kapetanovic</cp:lastModifiedBy>
  <cp:lastPrinted>2018-03-28T07:59:00Z</cp:lastPrinted>
  <dcterms:modified xsi:type="dcterms:W3CDTF">2020-01-10T11:38:03Z</dcterms:modified>
  <cp:revision>42</cp:revision>
  <dc:title>ДАТУМ</dc:title>
</cp:coreProperties>
</file>