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E1F3F32" Type="http://schemas.openxmlformats.org/officeDocument/2006/relationships/officeDocument" Target="/word/document.xml" /><Relationship Id="coreR3E1F3F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jc w:val="right"/>
              <w:rPr>
                <w:rFonts w:ascii="Tahoma" w:hAnsi="Tahoma"/>
                <w:sz w:val="22"/>
              </w:rPr>
            </w:pPr>
            <w:r>
              <w:rPr>
                <w:rFonts w:ascii="Tahoma" w:hAnsi="Tahoma"/>
                <w:sz w:val="22"/>
              </w:rPr>
              <w:t>March 12,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p>
          <w:p>
            <w:pPr>
              <w:jc w:val="center"/>
              <w:rPr>
                <w:rFonts w:ascii="Arial" w:hAnsi="Arial"/>
                <w:b w:val="1"/>
                <w:sz w:val="22"/>
              </w:rPr>
            </w:pPr>
            <w:r>
              <w:rPr>
                <w:rFonts w:ascii="Arial" w:hAnsi="Arial"/>
                <w:b w:val="1"/>
                <w:sz w:val="22"/>
              </w:rPr>
              <w:t>EXTERNAL TRADE</w:t>
            </w:r>
            <w:r>
              <w:rPr>
                <w:rFonts w:ascii="Arial" w:hAnsi="Arial"/>
                <w:b w:val="1"/>
                <w:sz w:val="22"/>
              </w:rPr>
              <w:t xml:space="preserve">, </w:t>
            </w:r>
            <w:r>
              <w:rPr>
                <w:rFonts w:ascii="Arial" w:hAnsi="Arial"/>
                <w:b w:val="1"/>
                <w:sz w:val="22"/>
              </w:rPr>
              <w:t xml:space="preserve">January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January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3189</w:t>
            </w:r>
            <w:r>
              <w:rPr>
                <w:rFonts w:ascii="Arial" w:hAnsi="Arial"/>
                <w:b w:val="1"/>
                <w:sz w:val="18"/>
              </w:rPr>
              <w:t>.</w:t>
            </w:r>
            <w:r>
              <w:rPr>
                <w:rFonts w:ascii="Arial" w:hAnsi="Arial"/>
                <w:b w:val="1"/>
                <w:sz w:val="18"/>
              </w:rPr>
              <w:t>4</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39</w:t>
            </w:r>
            <w:r>
              <w:rPr>
                <w:rFonts w:ascii="Arial" w:hAnsi="Arial"/>
                <w:b w:val="1"/>
                <w:sz w:val="18"/>
              </w:rPr>
              <w:t>.</w:t>
            </w:r>
            <w:r>
              <w:rPr>
                <w:rFonts w:ascii="Arial" w:hAnsi="Arial"/>
                <w:b w:val="1"/>
                <w:sz w:val="18"/>
              </w:rPr>
              <w:t>1</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2623</w:t>
            </w:r>
            <w:r>
              <w:rPr>
                <w:rFonts w:ascii="Arial" w:hAnsi="Arial"/>
                <w:b w:val="1"/>
                <w:sz w:val="18"/>
              </w:rPr>
              <w:t>.</w:t>
            </w:r>
            <w:r>
              <w:rPr>
                <w:rFonts w:ascii="Arial" w:hAnsi="Arial"/>
                <w:b w:val="1"/>
                <w:sz w:val="18"/>
              </w:rPr>
              <w:t>0</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2</w:t>
            </w:r>
            <w:r>
              <w:rPr>
                <w:rFonts w:ascii="Arial" w:hAnsi="Arial"/>
                <w:b w:val="1"/>
                <w:sz w:val="18"/>
              </w:rPr>
              <w:t>1</w:t>
            </w:r>
            <w:r>
              <w:rPr>
                <w:rFonts w:ascii="Arial" w:hAnsi="Arial"/>
                <w:b w:val="1"/>
                <w:sz w:val="18"/>
              </w:rPr>
              <w:t>.</w:t>
            </w:r>
            <w:r>
              <w:rPr>
                <w:rFonts w:ascii="Arial" w:hAnsi="Arial"/>
                <w:b w:val="1"/>
                <w:sz w:val="18"/>
              </w:rPr>
              <w:t>6</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w:t>
            </w:r>
            <w:r>
              <w:rPr>
                <w:rFonts w:ascii="Tahoma" w:hAnsi="Tahoma"/>
                <w:b w:val="1"/>
                <w:sz w:val="18"/>
              </w:rPr>
              <w:t>3</w:t>
            </w:r>
            <w:r>
              <w:rPr>
                <w:rFonts w:ascii="Tahoma" w:hAnsi="Tahoma"/>
                <w:b w:val="1"/>
                <w:sz w:val="18"/>
              </w:rPr>
              <w:t>9</w:t>
            </w:r>
            <w:r>
              <w:rPr>
                <w:rFonts w:ascii="Tahoma" w:hAnsi="Tahoma"/>
                <w:b w:val="1"/>
                <w:sz w:val="18"/>
              </w:rPr>
              <w:t>0</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39.2%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1</w:t>
            </w:r>
            <w:r>
              <w:rPr>
                <w:rFonts w:ascii="Tahoma" w:hAnsi="Tahoma"/>
                <w:b w:val="1"/>
                <w:sz w:val="18"/>
              </w:rPr>
              <w:t>7</w:t>
            </w:r>
            <w:r>
              <w:rPr>
                <w:rFonts w:ascii="Tahoma" w:hAnsi="Tahoma"/>
                <w:b w:val="1"/>
                <w:sz w:val="18"/>
              </w:rPr>
              <w:t>9</w:t>
            </w:r>
            <w:r>
              <w:rPr>
                <w:rFonts w:ascii="Tahoma" w:hAnsi="Tahoma"/>
                <w:b w:val="1"/>
                <w:sz w:val="18"/>
              </w:rPr>
              <w:t>9</w:t>
            </w:r>
            <w:r>
              <w:rPr>
                <w:rFonts w:ascii="Tahoma" w:hAnsi="Tahoma"/>
                <w:b w:val="1"/>
                <w:sz w:val="18"/>
              </w:rPr>
              <w:t>.</w:t>
            </w:r>
            <w:r>
              <w:rPr>
                <w:rFonts w:ascii="Tahoma" w:hAnsi="Tahoma"/>
                <w:b w:val="1"/>
                <w:sz w:val="18"/>
              </w:rPr>
              <w:t>0</w:t>
            </w:r>
            <w:r>
              <w:rPr>
                <w:rFonts w:ascii="Tahoma" w:hAnsi="Tahoma"/>
                <w:b w:val="1"/>
                <w:sz w:val="18"/>
              </w:rPr>
              <w:t xml:space="preserve"> </w:t>
            </w:r>
            <w:r>
              <w:rPr>
                <w:rFonts w:ascii="Tahoma" w:hAnsi="Tahoma"/>
                <w:b w:val="1"/>
                <w:sz w:val="18"/>
              </w:rPr>
              <w:t>million</w:t>
            </w:r>
            <w:r>
              <w:rPr>
                <w:rFonts w:ascii="Tahoma" w:hAnsi="Tahoma"/>
                <w:sz w:val="18"/>
              </w:rPr>
              <w:t xml:space="preserve">, which was 39.1%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143</w:t>
            </w:r>
            <w:r>
              <w:rPr>
                <w:rFonts w:ascii="Tahoma" w:hAnsi="Tahoma"/>
                <w:b w:val="1"/>
                <w:sz w:val="18"/>
              </w:rPr>
              <w:t>.</w:t>
            </w:r>
            <w:r>
              <w:rPr>
                <w:rFonts w:ascii="Tahoma" w:hAnsi="Tahoma"/>
                <w:b w:val="1"/>
                <w:sz w:val="18"/>
              </w:rPr>
              <w:t>3</w:t>
            </w:r>
            <w:r>
              <w:rPr>
                <w:rFonts w:ascii="Tahoma" w:hAnsi="Tahoma"/>
                <w:b w:val="1"/>
                <w:sz w:val="18"/>
              </w:rPr>
              <w:t xml:space="preserve"> million</w:t>
            </w:r>
            <w:r>
              <w:rPr>
                <w:rFonts w:ascii="Tahoma" w:hAnsi="Tahoma"/>
                <w:sz w:val="18"/>
              </w:rPr>
              <w:t xml:space="preserve">, which was the increase of 21.6%,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4</w:t>
            </w:r>
            <w:r>
              <w:rPr>
                <w:rFonts w:ascii="Tahoma" w:hAnsi="Tahoma"/>
                <w:b w:val="1"/>
                <w:sz w:val="18"/>
              </w:rPr>
              <w:t>79</w:t>
            </w:r>
            <w:r>
              <w:rPr>
                <w:rFonts w:ascii="Tahoma" w:hAnsi="Tahoma"/>
                <w:b w:val="1"/>
                <w:sz w:val="18"/>
              </w:rPr>
              <w:t>.</w:t>
            </w:r>
            <w:r>
              <w:rPr>
                <w:rFonts w:ascii="Tahoma" w:hAnsi="Tahoma"/>
                <w:b w:val="1"/>
                <w:sz w:val="18"/>
              </w:rPr>
              <w:t>7</w:t>
            </w:r>
            <w:r>
              <w:rPr>
                <w:rFonts w:ascii="Tahoma" w:hAnsi="Tahoma"/>
                <w:b w:val="1"/>
                <w:sz w:val="18"/>
              </w:rPr>
              <w:t xml:space="preserve"> million</w:t>
            </w:r>
            <w:r>
              <w:rPr>
                <w:rFonts w:ascii="Tahoma" w:hAnsi="Tahoma"/>
                <w:sz w:val="18"/>
              </w:rPr>
              <w:t xml:space="preserve">, which was 21.6%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4</w:t>
            </w:r>
            <w:r>
              <w:rPr>
                <w:rFonts w:ascii="Tahoma" w:hAnsi="Tahoma"/>
                <w:b w:val="1"/>
                <w:sz w:val="18"/>
              </w:rPr>
              <w:t>08</w:t>
            </w:r>
            <w:r>
              <w:rPr>
                <w:rFonts w:ascii="Tahoma" w:hAnsi="Tahoma"/>
                <w:b w:val="1"/>
                <w:sz w:val="18"/>
              </w:rPr>
              <w:t>.</w:t>
            </w:r>
            <w:r>
              <w:rPr>
                <w:rFonts w:ascii="Tahoma" w:hAnsi="Tahoma"/>
                <w:b w:val="1"/>
                <w:sz w:val="18"/>
              </w:rPr>
              <w:t>6</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3</w:t>
            </w:r>
            <w:r>
              <w:rPr>
                <w:rFonts w:ascii="Tahoma" w:hAnsi="Tahoma"/>
                <w:b w:val="1"/>
                <w:sz w:val="18"/>
              </w:rPr>
              <w:t>8</w:t>
            </w:r>
            <w:r>
              <w:rPr>
                <w:rFonts w:ascii="Tahoma" w:hAnsi="Tahoma"/>
                <w:b w:val="1"/>
                <w:sz w:val="18"/>
              </w:rPr>
              <w:t>.</w:t>
            </w:r>
            <w:r>
              <w:rPr>
                <w:rFonts w:ascii="Tahoma" w:hAnsi="Tahoma"/>
                <w:b w:val="1"/>
                <w:sz w:val="18"/>
              </w:rPr>
              <w:t>8</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336.4 million, which was an increase of 21.8%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7</w:t>
            </w:r>
            <w:r>
              <w:rPr>
                <w:rFonts w:ascii="Tahoma" w:hAnsi="Tahoma"/>
                <w:b w:val="1"/>
                <w:sz w:val="18"/>
              </w:rPr>
              <w:t>.</w:t>
            </w:r>
            <w:r>
              <w:rPr>
                <w:rFonts w:ascii="Tahoma" w:hAnsi="Tahoma"/>
                <w:b w:val="1"/>
                <w:sz w:val="18"/>
              </w:rPr>
              <w:t>3</w:t>
            </w:r>
            <w:r>
              <w:rPr>
                <w:rFonts w:ascii="Tahoma" w:hAnsi="Tahoma"/>
                <w:b w:val="1"/>
                <w:sz w:val="18"/>
              </w:rPr>
              <w:t>%</w:t>
            </w:r>
            <w:r>
              <w:rPr>
                <w:rFonts w:ascii="Tahoma" w:hAnsi="Tahoma"/>
                <w:sz w:val="18"/>
              </w:rPr>
              <w:t xml:space="preserve"> and was lower if compared to the same period last year when it was 77.2%.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(33.2%), followed by Beogradski region (26.6%), Region Šumadije i Zapadne Srbije (23.4%), Region Južne i Istočne Srbije (16.7%), and approximately 0.1% of total exports is not classified by territories. </w:t>
            </w:r>
          </w:p>
          <w:p>
            <w:pPr>
              <w:jc w:val="both"/>
              <w:rPr>
                <w:rFonts w:ascii="Tahoma" w:hAnsi="Tahoma"/>
                <w:color w:val="000000"/>
                <w:sz w:val="18"/>
              </w:rPr>
            </w:pP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(45.2%), followed by </w:t>
            </w:r>
            <w:r>
              <w:rPr>
                <w:rFonts w:ascii="Tahoma" w:hAnsi="Tahoma"/>
                <w:sz w:val="18"/>
              </w:rPr>
              <w:t xml:space="preserve">Region Vojvodine </w:t>
            </w:r>
            <w:r>
              <w:rPr>
                <w:rFonts w:ascii="Tahoma" w:hAnsi="Tahoma"/>
                <w:color w:val="000000"/>
                <w:sz w:val="18"/>
              </w:rPr>
              <w:t xml:space="preserve">(29.7%),  </w:t>
            </w:r>
            <w:r>
              <w:rPr>
                <w:rFonts w:ascii="Tahoma" w:hAnsi="Tahoma"/>
                <w:sz w:val="18"/>
              </w:rPr>
              <w:t xml:space="preserve">Region Šumadije i Zapadne Srbije </w:t>
            </w:r>
            <w:r>
              <w:rPr>
                <w:rFonts w:ascii="Tahoma" w:hAnsi="Tahoma"/>
                <w:color w:val="000000"/>
                <w:sz w:val="18"/>
              </w:rPr>
              <w:t xml:space="preserve">(15.1%), </w:t>
            </w:r>
            <w:r>
              <w:rPr>
                <w:rFonts w:ascii="Tahoma" w:hAnsi="Tahoma"/>
                <w:sz w:val="18"/>
              </w:rPr>
              <w:t xml:space="preserve">Region Južne i Istočne Srbije </w:t>
            </w:r>
            <w:r>
              <w:rPr>
                <w:rFonts w:ascii="Tahoma" w:hAnsi="Tahoma"/>
                <w:color w:val="000000"/>
                <w:sz w:val="18"/>
              </w:rPr>
              <w:t xml:space="preserve">(9.2%), </w:t>
            </w:r>
            <w:r>
              <w:rPr>
                <w:rFonts w:ascii="Tahoma" w:hAnsi="Tahoma"/>
                <w:sz w:val="18"/>
              </w:rPr>
              <w:t>and approximately 0.8%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w:t>
            </w:r>
            <w:r>
              <w:rPr>
                <w:rFonts w:ascii="Tahoma" w:hAnsi="Tahoma"/>
                <w:b w:val="1"/>
                <w:color w:val="000000"/>
                <w:sz w:val="18"/>
              </w:rPr>
              <w:t>ners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60.1% (USD 835.0 million), then consumer goods 30.7% (USD 426.5 million) and equipment 9.3% (USD 129.0 million). Unclassified goods according to destination amounted to 0.0% (USD 0.0 million). </w:t>
            </w:r>
          </w:p>
          <w:p>
            <w:pPr>
              <w:jc w:val="both"/>
              <w:rPr>
                <w:rFonts w:ascii="Arial" w:hAnsi="Arial"/>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58.1% (USD 1046.1 million), then consumer goods 17.1% (USD 306.9 million) and equipment 10.4% (USD 186.6 million). Unclassified goods according to destination amounted to 14.4% (USD 259.4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63.9% of total external trade.</w:t>
            </w: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200.8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165.0</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207.3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170.3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187.3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154.1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183.1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151.7</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102.1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83.9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161.8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133.1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80.2</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66.0</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122.1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Hungary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59.0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48.5</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105.2</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86.6</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132.4 million, resulting mainly from the exports of agricultural products (cereals and produces thereof and various sorts of drinks), iron and steel, non-metallic mineral products, medical and pharmaceutical products. Our exports in the referent period amounted to USD 200.7 million, while the imports were USD 68.3 million. The export– import ratio equalled 293.9 %. Expressed in </w:t>
            </w:r>
            <w:r>
              <w:rPr>
                <w:rFonts w:ascii="Tahoma" w:hAnsi="Tahoma"/>
                <w:b w:val="1"/>
                <w:sz w:val="18"/>
              </w:rPr>
              <w:t>EUR</w:t>
            </w:r>
            <w:r>
              <w:rPr>
                <w:rFonts w:ascii="Tahoma" w:hAnsi="Tahoma"/>
                <w:sz w:val="18"/>
              </w:rPr>
              <w:t xml:space="preserve">, exports amounted to </w:t>
            </w:r>
            <w:r>
              <w:rPr>
                <w:rFonts w:ascii="Tahoma" w:hAnsi="Tahoma"/>
                <w:b w:val="1"/>
                <w:sz w:val="18"/>
              </w:rPr>
              <w:t>164</w:t>
            </w:r>
            <w:r>
              <w:rPr>
                <w:rFonts w:ascii="Tahoma" w:hAnsi="Tahoma"/>
                <w:b w:val="1"/>
                <w:sz w:val="18"/>
              </w:rPr>
              <w:t>.</w:t>
            </w:r>
            <w:r>
              <w:rPr>
                <w:rFonts w:ascii="Tahoma" w:hAnsi="Tahoma"/>
                <w:b w:val="1"/>
                <w:sz w:val="18"/>
              </w:rPr>
              <w:t>9</w:t>
            </w:r>
            <w:r>
              <w:rPr>
                <w:rFonts w:ascii="Tahoma" w:hAnsi="Tahoma"/>
                <w:sz w:val="18"/>
              </w:rPr>
              <w:t xml:space="preserve"> and imports to </w:t>
            </w:r>
            <w:r>
              <w:rPr>
                <w:rFonts w:ascii="Tahoma" w:hAnsi="Tahoma"/>
                <w:b w:val="1"/>
                <w:sz w:val="18"/>
              </w:rPr>
              <w:t>56</w:t>
            </w:r>
            <w:r>
              <w:rPr>
                <w:rFonts w:ascii="Tahoma" w:hAnsi="Tahoma"/>
                <w:b w:val="1"/>
                <w:sz w:val="18"/>
              </w:rPr>
              <w:t>.</w:t>
            </w:r>
            <w:r>
              <w:rPr>
                <w:rFonts w:ascii="Tahoma" w:hAnsi="Tahoma"/>
                <w:b w:val="1"/>
                <w:sz w:val="18"/>
              </w:rPr>
              <w:t>1</w:t>
            </w:r>
            <w:r>
              <w:rPr>
                <w:rFonts w:ascii="Tahoma" w:hAnsi="Tahoma"/>
                <w:sz w:val="18"/>
              </w:rPr>
              <w:t xml:space="preserve"> million (surplus amounted to EUR 108.8 million and export – import ratio equalled 293.9%).    </w:t>
            </w:r>
          </w:p>
          <w:p>
            <w:pPr>
              <w:jc w:val="both"/>
              <w:rPr>
                <w:rFonts w:ascii="Arial" w:hAnsi="Arial"/>
                <w:color w:val="242424"/>
                <w:sz w:val="18"/>
                <w:shd w:val="clear" w:color="auto" w:fill="FFFFFF"/>
              </w:rPr>
            </w:pPr>
          </w:p>
          <w:p>
            <w:pPr>
              <w:jc w:val="both"/>
              <w:rPr>
                <w:rFonts w:ascii="Arial" w:hAnsi="Arial"/>
                <w:sz w:val="18"/>
              </w:rPr>
            </w:pPr>
            <w:r>
              <w:rPr>
                <w:rFonts w:ascii="Arial" w:hAnsi="Arial"/>
                <w:color w:val="242424"/>
                <w:sz w:val="18"/>
                <w:shd w:val="clear" w:color="auto" w:fill="FFFFFF"/>
              </w:rPr>
              <w:t xml:space="preserve">Observed by countries, the largest surplus in the external trade was gained with the surrounding countries – Bosnia and Herzegovina (exports mostly related to gaseous oils and sports footwear, and the most imported are coke and semi-coke obtained from hard coal and wire of iron and steel), Montenegro (exports </w:t>
            </w:r>
            <w:r>
              <w:rPr>
                <w:rFonts w:ascii="Arial" w:hAnsi="Arial"/>
                <w:sz w:val="18"/>
                <w:shd w:val="clear" w:color="auto" w:fill="FFFFFF"/>
              </w:rPr>
              <w:t>of medicaments and iron ores and concentrates,</w:t>
            </w:r>
            <w:r>
              <w:rPr>
                <w:rFonts w:ascii="Arial" w:hAnsi="Arial"/>
                <w:color w:val="242424"/>
                <w:sz w:val="18"/>
                <w:shd w:val="clear" w:color="auto" w:fill="FFFFFF"/>
              </w:rPr>
              <w:t xml:space="preserve"> imported were lignite and smoked pork) and Macedonia (exports of hot rolled sheets in coils, and sunflower oil; imports of hot rolled products and other welded pipes). Regarding other countries, surplus was also noted in trade with Italy, Bulgaria, Slovakia, Great Britain, Croatia, Slovenia and Sweden. The greatest deficit marked the trade with China (due to imports of phones for network stations and laptops) and with the Russian Federation (due to imports of energy commodities, mainly oil and gas), followed by deficit with Hungary, Turkey, Belgium, Poland (imports of motor vehicles’ parts), Germany, Iraq, Korea, Ukraine (imports of iron ore and concentrates).</w:t>
            </w:r>
            <w:r>
              <w:rPr>
                <w:rFonts w:ascii="Arial" w:hAnsi="Arial"/>
                <w:sz w:val="18"/>
              </w:rPr>
              <w:t xml:space="preserve"> </w:t>
            </w:r>
          </w:p>
          <w:p>
            <w:pPr>
              <w:jc w:val="both"/>
              <w:rPr>
                <w:rFonts w:ascii="Arial" w:hAnsi="Arial"/>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36.7% of the overall exports. Imports of the first five sections accounted for 25.6%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14.5% in total imports. </w:t>
            </w:r>
          </w:p>
          <w:p>
            <w:pPr>
              <w:pStyle w:val="P8"/>
              <w:spacing w:lineRule="auto" w:line="240" w:after="0"/>
              <w:ind w:left="0"/>
              <w:jc w:val="both"/>
              <w:rPr>
                <w:rFonts w:ascii="Arial" w:hAnsi="Arial"/>
                <w:b w:val="1"/>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155.8</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128.1</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Oil and oil derivatives </w:t>
                  </w:r>
                </w:p>
                <w:p>
                  <w:pPr>
                    <w:rPr>
                      <w:rFonts w:ascii="Arial" w:hAnsi="Arial"/>
                      <w:sz w:val="18"/>
                    </w:rPr>
                  </w:pP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101.9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110.6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90.8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111.3</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91.6</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96.4</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79.3</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97.5</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80.0</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77.0</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63.4</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Gas, natural and industrial</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64.4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53.4</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70.1</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57.7</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63.4</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52.1</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January 2018/ December 2017 shows that exports increase by 9.8% and imports increase by 9.4%, calculated/ expressed in USD. Seasonally adjusted index January 2018/ December 2017, expressed in EUR, shows that exports increase by 8.5% and imports increase by 3.5%. </w:t>
            </w:r>
          </w:p>
          <w:p>
            <w:pPr>
              <w:jc w:val="both"/>
              <w:rPr>
                <w:rFonts w:ascii="Arial" w:hAnsi="Arial"/>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January</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91 million), followed by </w:t>
            </w:r>
            <w:r>
              <w:rPr>
                <w:rFonts w:ascii="Tahoma" w:hAnsi="Tahoma"/>
                <w:i w:val="1"/>
                <w:sz w:val="18"/>
              </w:rPr>
              <w:t>hot rolled products (iron and non-alloyed steel) in coils</w:t>
            </w:r>
            <w:r>
              <w:rPr>
                <w:rFonts w:ascii="Tahoma" w:hAnsi="Tahoma"/>
                <w:sz w:val="18"/>
              </w:rPr>
              <w:t xml:space="preserve"> (USD 55 million);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were on the third place, with the value of USD 41 million, followed by </w:t>
            </w:r>
            <w:r>
              <w:rPr>
                <w:rFonts w:ascii="Tahoma" w:hAnsi="Tahoma"/>
                <w:i w:val="1"/>
                <w:sz w:val="18"/>
              </w:rPr>
              <w:t>new tyres for passengers’ car</w:t>
            </w:r>
            <w:r>
              <w:rPr>
                <w:rFonts w:ascii="Tahoma" w:hAnsi="Tahoma"/>
                <w:sz w:val="18"/>
              </w:rPr>
              <w:t xml:space="preserve"> (USD 38 million) and the last item related to </w:t>
            </w:r>
            <w:r>
              <w:rPr>
                <w:rFonts w:ascii="Tahoma" w:hAnsi="Tahoma"/>
                <w:i w:val="1"/>
                <w:sz w:val="18"/>
              </w:rPr>
              <w:t xml:space="preserve">copper refined </w:t>
            </w:r>
            <w:r>
              <w:rPr>
                <w:rFonts w:ascii="Tahoma" w:hAnsi="Tahoma"/>
                <w:sz w:val="18"/>
              </w:rPr>
              <w:t xml:space="preserve"> (USD 36 million). </w:t>
            </w:r>
          </w:p>
          <w:p>
            <w:pPr>
              <w:tabs>
                <w:tab w:val="center" w:pos="0" w:leader="none"/>
              </w:tabs>
              <w:jc w:val="both"/>
              <w:rPr>
                <w:rFonts w:ascii="Tahoma" w:hAnsi="Tahoma"/>
                <w:b w:val="1"/>
                <w:sz w:val="18"/>
              </w:rPr>
            </w:pPr>
          </w:p>
          <w:p>
            <w:pPr>
              <w:tabs>
                <w:tab w:val="center" w:pos="0" w:leader="none"/>
              </w:tabs>
              <w:jc w:val="both"/>
              <w:rPr>
                <w:rFonts w:ascii="Tahoma" w:hAnsi="Tahoma"/>
                <w:sz w:val="18"/>
              </w:rPr>
            </w:pPr>
            <w:r>
              <w:rPr>
                <w:rFonts w:ascii="Tahoma" w:hAnsi="Tahoma"/>
                <w:b w:val="1"/>
                <w:sz w:val="18"/>
              </w:rPr>
              <w:t>January</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86 million) was the first imported product, followed by </w:t>
            </w:r>
            <w:r>
              <w:rPr>
                <w:rFonts w:ascii="Tahoma" w:hAnsi="Tahoma"/>
                <w:i w:val="1"/>
                <w:sz w:val="18"/>
              </w:rPr>
              <w:t xml:space="preserve">natural gas </w:t>
            </w:r>
            <w:r>
              <w:rPr>
                <w:rFonts w:ascii="Tahoma" w:hAnsi="Tahoma"/>
                <w:sz w:val="18"/>
              </w:rPr>
              <w:t xml:space="preserve">(USD 59 million); </w:t>
            </w:r>
            <w:r>
              <w:rPr>
                <w:rFonts w:ascii="Tahoma" w:hAnsi="Tahoma"/>
                <w:i w:val="1"/>
                <w:sz w:val="18"/>
              </w:rPr>
              <w:t>parts and accessories for motor vehicles</w:t>
            </w:r>
            <w:r>
              <w:rPr>
                <w:rFonts w:ascii="Tahoma" w:hAnsi="Tahoma"/>
                <w:sz w:val="18"/>
              </w:rPr>
              <w:t xml:space="preserve"> were on the third place with the value of USD 55 million, followed by </w:t>
            </w:r>
            <w:r>
              <w:rPr>
                <w:rFonts w:ascii="Tahoma" w:hAnsi="Tahoma"/>
                <w:i w:val="1"/>
                <w:sz w:val="18"/>
              </w:rPr>
              <w:t xml:space="preserve">retail trade medicaments </w:t>
            </w:r>
            <w:r>
              <w:rPr>
                <w:rFonts w:ascii="Tahoma" w:hAnsi="Tahoma"/>
                <w:sz w:val="18"/>
              </w:rPr>
              <w:t xml:space="preserve">(USD 49 million); the last item on the list related to </w:t>
            </w:r>
            <w:r>
              <w:rPr>
                <w:rFonts w:ascii="Tahoma" w:hAnsi="Tahoma"/>
                <w:i w:val="1"/>
                <w:sz w:val="18"/>
              </w:rPr>
              <w:t xml:space="preserve">other electrical </w:t>
            </w:r>
            <w:r>
              <w:rPr>
                <w:rFonts w:ascii="Tahoma" w:hAnsi="Tahoma"/>
                <w:i w:val="1"/>
                <w:sz w:val="18"/>
              </w:rPr>
              <w:t>conductors</w:t>
            </w:r>
            <w:r>
              <w:rPr>
                <w:rFonts w:ascii="Tahoma" w:hAnsi="Tahoma"/>
                <w:sz w:val="18"/>
              </w:rPr>
              <w:t xml:space="preserve">, </w:t>
            </w:r>
            <w:r>
              <w:rPr>
                <w:rFonts w:ascii="Tahoma" w:hAnsi="Tahoma"/>
                <w:i w:val="1"/>
                <w:sz w:val="18"/>
              </w:rPr>
              <w:t>below</w:t>
            </w:r>
            <w:r>
              <w:rPr>
                <w:rFonts w:ascii="Tahoma" w:hAnsi="Tahoma"/>
                <w:i w:val="1"/>
                <w:sz w:val="18"/>
              </w:rPr>
              <w:t xml:space="preserve"> 1000V</w:t>
            </w:r>
            <w:r>
              <w:rPr>
                <w:rFonts w:ascii="Tahoma" w:hAnsi="Tahoma"/>
                <w:sz w:val="18"/>
              </w:rPr>
              <w:t xml:space="preserve">, with the value of USD 24 million. </w:t>
            </w:r>
          </w:p>
          <w:p>
            <w:pPr>
              <w:tabs>
                <w:tab w:val="center" w:pos="0" w:leader="none"/>
              </w:tabs>
              <w:jc w:val="both"/>
              <w:rPr>
                <w:rFonts w:ascii="Tahoma" w:hAnsi="Tahoma"/>
                <w:sz w:val="18"/>
              </w:rPr>
            </w:pP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sz w:val="18"/>
              </w:rPr>
            </w:pPr>
          </w:p>
          <w:p>
            <w:pPr>
              <w:tabs>
                <w:tab w:val="center" w:pos="0" w:leader="none"/>
              </w:tabs>
              <w:jc w:val="both"/>
              <w:rPr>
                <w:rFonts w:ascii="Tahoma" w:hAnsi="Tahoma"/>
                <w:sz w:val="18"/>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Tahoma" w:hAnsi="Tahoma"/>
                      <w:sz w:val="20"/>
                    </w:rPr>
                  </w:pPr>
                  <w:r>
                    <w:rPr>
                      <w:rFonts w:ascii="Tahoma" w:hAnsi="Tahoma"/>
                      <w:sz w:val="20"/>
                    </w:rPr>
                    <w:t>Jasmina Crnomarković, Head</w:t>
                  </w:r>
                </w:p>
                <w:p>
                  <w:pPr>
                    <w:rPr>
                      <w:rFonts w:ascii="Tahoma" w:hAnsi="Tahoma"/>
                      <w:sz w:val="20"/>
                    </w:rPr>
                  </w:pPr>
                  <w:r>
                    <w:rPr>
                      <w:rFonts w:ascii="Tahoma" w:hAnsi="Tahoma"/>
                      <w:sz w:val="20"/>
                    </w:rPr>
                    <w:t>Section of external trade statistics</w:t>
                  </w:r>
                </w:p>
                <w:p>
                  <w:pPr>
                    <w:rPr>
                      <w:rFonts w:ascii="Tahoma" w:hAnsi="Tahoma"/>
                      <w:sz w:val="20"/>
                    </w:rPr>
                  </w:pPr>
                  <w:r>
                    <w:rPr>
                      <w:rFonts w:ascii="Tahoma" w:hAnsi="Tahoma"/>
                      <w:sz w:val="20"/>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0"/>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tabs>
                <w:tab w:val="center" w:pos="0" w:leader="none"/>
              </w:tabs>
              <w:jc w:val="both"/>
              <w:rPr>
                <w:rFonts w:ascii="Tahoma" w:hAnsi="Tahoma"/>
                <w:sz w:val="18"/>
              </w:rPr>
            </w:pP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rPr>
          <w:wAfter w:w="0" w:type="dxa"/>
        </w:trP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sz w:val="22"/>
                  </w:rPr>
                </w:pPr>
              </w:p>
            </w:tc>
            <w:tc>
              <w:tcPr>
                <w:tcW w:w="5400" w:type="dxa"/>
              </w:tcPr>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2020-01-10T11:38:03Z</dcterms:modified>
  <cp:revision>498</cp:revision>
  <dc:title>December 29, 2011</dc:title>
</cp:coreProperties>
</file>