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D5ABC2F" Type="http://schemas.openxmlformats.org/officeDocument/2006/relationships/officeDocument" Target="/word/document.xml" /><Relationship Id="coreR6D5ABC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Pr>
        <w:tc>
          <w:tcPr>
            <w:tcW w:w="10296" w:type="dxa"/>
          </w:tcPr>
          <w:p>
            <w:pPr>
              <w:tabs>
                <w:tab w:val="left" w:pos="3225" w:leader="none"/>
              </w:tabs>
              <w:jc w:val="right"/>
              <w:rPr>
                <w:rStyle w:val="C3"/>
                <w:rFonts w:ascii="Arial" w:hAnsi="Arial"/>
                <w:color w:val="404040"/>
                <w:sz w:val="20"/>
              </w:rPr>
            </w:pPr>
            <w:r>
              <w:rPr>
                <w:rStyle w:val="C3"/>
                <w:rFonts w:ascii="Arial" w:hAnsi="Arial"/>
                <w:color w:val="404040"/>
                <w:sz w:val="20"/>
              </w:rPr>
              <w:t>05.03.2018</w:t>
            </w:r>
          </w:p>
        </w:tc>
      </w:tr>
    </w:tbl>
    <w:p>
      <w:pPr>
        <w:pStyle w:val="P6"/>
        <w:spacing w:lineRule="auto" w:line="228" w:before="120" w:after="0" w:beforeAutospacing="0" w:afterAutospacing="0"/>
        <w:ind w:firstLine="357"/>
        <w:jc w:val="both"/>
        <w:rPr>
          <w:rStyle w:val="C3"/>
          <w:rFonts w:ascii="Arial" w:hAnsi="Arial"/>
          <w:sz w:val="28"/>
        </w:rPr>
      </w:pPr>
    </w:p>
    <w:p>
      <w:pPr>
        <w:spacing w:before="80" w:after="120"/>
        <w:jc w:val="center"/>
        <w:rPr>
          <w:rStyle w:val="C3"/>
          <w:rFonts w:ascii="Arial" w:hAnsi="Arial"/>
          <w:color w:val="4F81BD"/>
          <w:sz w:val="28"/>
        </w:rPr>
      </w:pPr>
      <w:r>
        <w:rPr>
          <w:rStyle w:val="C3"/>
          <w:rFonts w:ascii="Arial" w:hAnsi="Arial"/>
          <w:color w:val="4F81BD"/>
          <w:sz w:val="28"/>
        </w:rPr>
        <w:t xml:space="preserve">Labour Force Survey, IV quarter 2017 </w:t>
      </w:r>
    </w:p>
    <w:p>
      <w:pPr>
        <w:spacing w:before="80" w:after="120"/>
        <w:jc w:val="center"/>
        <w:rPr>
          <w:rStyle w:val="C3"/>
          <w:rFonts w:ascii="Arial" w:hAnsi="Arial"/>
          <w:b w:val="1"/>
          <w:color w:val="5B9BD5"/>
          <w:sz w:val="32"/>
        </w:rPr>
      </w:pPr>
    </w:p>
    <w:p>
      <w:pPr>
        <w:pStyle w:val="P6"/>
        <w:spacing w:lineRule="auto" w:line="300" w:before="120" w:after="120"/>
        <w:ind w:firstLine="397"/>
        <w:jc w:val="both"/>
        <w:rPr>
          <w:rStyle w:val="C3"/>
          <w:rFonts w:ascii="Arial" w:hAnsi="Arial"/>
          <w:sz w:val="20"/>
        </w:rPr>
      </w:pPr>
      <w:r>
        <w:rPr>
          <w:rStyle w:val="C3"/>
          <w:rFonts w:ascii="Arial" w:hAnsi="Arial"/>
          <w:sz w:val="20"/>
        </w:rPr>
        <w:t>In the fourth quarter of 2017, number of the employed amounted to 2 763 600, and number of the unemployed to 475 600. Employment rate of population aged 15 and over amounted to 46.3%, unemployment rate to 14.7%, resulting in activity rate of 54.2%, while inactivity rate was 45.8%.</w:t>
      </w:r>
    </w:p>
    <w:p>
      <w:pPr>
        <w:pStyle w:val="P6"/>
        <w:spacing w:before="360" w:after="2"/>
        <w:jc w:val="center"/>
        <w:rPr>
          <w:rStyle w:val="C3"/>
          <w:rFonts w:ascii="Arial" w:hAnsi="Arial"/>
        </w:rPr>
      </w:pPr>
      <w:r>
        <w:rPr>
          <w:rStyle w:val="C3"/>
          <w:rFonts w:ascii="Arial" w:hAnsi="Arial"/>
          <w:b w:val="1"/>
          <w:sz w:val="20"/>
        </w:rPr>
        <w:t>Graph 1</w:t>
      </w:r>
      <w:r>
        <w:rPr>
          <w:rStyle w:val="C3"/>
          <w:rFonts w:ascii="Arial" w:hAnsi="Arial"/>
          <w:sz w:val="20"/>
        </w:rPr>
        <w:t xml:space="preserve"> Trend of employment/unemployment rates (in %), population 15+, 2014-2017</w:t>
      </w:r>
      <w:r>
        <w:rPr>
          <w:rStyle w:val="C3"/>
          <w:rFonts w:ascii="Arial" w:hAnsi="Arial"/>
        </w:rPr>
        <w:t xml:space="preserve"> </w:t>
      </w:r>
    </w:p>
    <w:p>
      <w:pPr>
        <w:spacing w:before="240"/>
        <w:jc w:val="center"/>
        <w:rPr>
          <w:rStyle w:val="C3"/>
          <w:rFonts w:ascii="Arial" w:hAnsi="Arial"/>
          <w:sz w:val="20"/>
        </w:rPr>
      </w:pPr>
      <w:r>
        <w:drawing>
          <wp:inline xmlns:wp="http://schemas.openxmlformats.org/drawingml/2006/wordprocessingDrawing">
            <wp:extent cx="6450330" cy="223012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450330" cy="2230120"/>
                    </a:xfrm>
                    <a:prstGeom prst="rect"/>
                    <a:noFill/>
                  </pic:spPr>
                </pic:pic>
              </a:graphicData>
            </a:graphic>
          </wp:inline>
        </w:drawing>
      </w:r>
    </w:p>
    <w:p>
      <w:pPr>
        <w:pStyle w:val="P6"/>
        <w:spacing w:before="0" w:after="0" w:beforeAutospacing="0" w:afterAutospacing="0"/>
        <w:ind w:firstLine="284"/>
        <w:rPr>
          <w:rStyle w:val="C3"/>
          <w:rFonts w:ascii="Arial" w:hAnsi="Arial"/>
          <w:b w:val="1"/>
          <w:sz w:val="20"/>
        </w:rPr>
      </w:pPr>
    </w:p>
    <w:p>
      <w:pPr>
        <w:pStyle w:val="P6"/>
        <w:spacing w:before="120" w:after="120" w:beforeAutospacing="0" w:afterAutospacing="0"/>
        <w:ind w:firstLine="284"/>
        <w:rPr>
          <w:rStyle w:val="C3"/>
          <w:rFonts w:ascii="Arial" w:hAnsi="Arial"/>
          <w:b w:val="1"/>
          <w:sz w:val="20"/>
        </w:rPr>
      </w:pPr>
    </w:p>
    <w:p>
      <w:pPr>
        <w:spacing w:lineRule="auto" w:line="300" w:before="120" w:after="120"/>
        <w:ind w:firstLine="403"/>
        <w:jc w:val="both"/>
        <w:rPr>
          <w:rStyle w:val="C3"/>
          <w:rFonts w:ascii="Arial" w:hAnsi="Arial"/>
          <w:sz w:val="20"/>
        </w:rPr>
      </w:pPr>
      <w:r>
        <w:rPr>
          <w:rStyle w:val="C3"/>
          <w:rFonts w:ascii="Arial" w:hAnsi="Arial"/>
          <w:b w:val="1"/>
          <w:sz w:val="20"/>
        </w:rPr>
        <w:t>Activity rate</w:t>
      </w:r>
      <w:r>
        <w:rPr>
          <w:rStyle w:val="C3"/>
          <w:rFonts w:ascii="Arial" w:hAnsi="Arial"/>
          <w:sz w:val="20"/>
        </w:rPr>
        <w:t xml:space="preserve"> of population aged 15 and over amounted to 54.2%, i.e. 62.8% (males) and 46.2% (females). The greatest activity rate is in Beogradski Region (56.3%) and in Region Šumadije I Zapadne Srbije (56.1%). It amounted to 52.5% in Region Vojvodine, and was the lowest in Region Južne i Istočne Srbije (51.5%). </w:t>
      </w:r>
    </w:p>
    <w:p>
      <w:pPr>
        <w:spacing w:lineRule="auto" w:line="300" w:before="120" w:after="120"/>
        <w:ind w:firstLine="403"/>
        <w:jc w:val="both"/>
        <w:rPr>
          <w:rStyle w:val="C3"/>
          <w:rFonts w:ascii="Arial" w:hAnsi="Arial"/>
          <w:sz w:val="20"/>
        </w:rPr>
      </w:pPr>
      <w:r>
        <w:rPr>
          <w:rStyle w:val="C3"/>
          <w:rFonts w:ascii="Arial" w:hAnsi="Arial"/>
          <w:b w:val="1"/>
          <w:sz w:val="20"/>
        </w:rPr>
        <w:t>Employment rate</w:t>
      </w:r>
      <w:r>
        <w:rPr>
          <w:rStyle w:val="C3"/>
          <w:rFonts w:ascii="Arial" w:hAnsi="Arial"/>
          <w:sz w:val="20"/>
        </w:rPr>
        <w:t xml:space="preserve"> of population aged 15 and over amounted to 46.3%, i.e. 54.0% (males) and 39.1% (females). The greatest employment rate is noted in Beogradski Region (48.3%) and in Region Šumadije I Zapadne Srbije (47.6%). It amounted to 45.6% in Region Vojvodine, and was the lowest in Region Južne i Istočne Srbije (43.1%).</w:t>
      </w:r>
    </w:p>
    <w:p>
      <w:pPr>
        <w:spacing w:lineRule="auto" w:line="300" w:before="120" w:after="120"/>
        <w:ind w:firstLine="403"/>
        <w:jc w:val="both"/>
        <w:rPr>
          <w:rStyle w:val="C3"/>
          <w:rFonts w:ascii="Arial" w:hAnsi="Arial"/>
          <w:sz w:val="20"/>
        </w:rPr>
      </w:pPr>
      <w:r>
        <w:rPr>
          <w:rStyle w:val="C3"/>
          <w:rFonts w:ascii="Arial" w:hAnsi="Arial"/>
          <w:b w:val="1"/>
          <w:sz w:val="20"/>
        </w:rPr>
        <w:t>Informal employment rate</w:t>
      </w:r>
      <w:r>
        <w:rPr>
          <w:rStyle w:val="C3"/>
          <w:rFonts w:ascii="Arial" w:hAnsi="Arial"/>
          <w:sz w:val="20"/>
        </w:rPr>
        <w:t xml:space="preserve"> on the level of all activities amounted to 19.8%, out of which two thirds of informal section referred to employment in agricultural activities. </w:t>
      </w:r>
    </w:p>
    <w:p>
      <w:pPr>
        <w:spacing w:lineRule="auto" w:line="300" w:before="120" w:after="120"/>
        <w:ind w:firstLine="403"/>
        <w:jc w:val="both"/>
        <w:rPr>
          <w:rStyle w:val="C3"/>
          <w:rFonts w:ascii="Arial" w:hAnsi="Arial"/>
          <w:sz w:val="20"/>
        </w:rPr>
      </w:pPr>
      <w:r>
        <w:rPr>
          <w:rStyle w:val="C3"/>
          <w:rFonts w:ascii="Arial" w:hAnsi="Arial"/>
          <w:b w:val="1"/>
          <w:sz w:val="20"/>
        </w:rPr>
        <w:t>Unemployment rate</w:t>
      </w:r>
      <w:r>
        <w:rPr>
          <w:rStyle w:val="C3"/>
          <w:rFonts w:ascii="Arial" w:hAnsi="Arial"/>
          <w:sz w:val="20"/>
        </w:rPr>
        <w:t xml:space="preserve"> of population aged 15 and over amounted to 14.7% (14.1% - males and 15.4% - females). Observed by regions, the highest value was recorded in Region Južne i Istočne Srbije (16.4%). In Region Šumadije i Zapadne Srbije it amounted to 15.1%, in Beogradski Region to 14.3% and was the lowest in Region Vojvodine, 13.2%. </w:t>
      </w:r>
    </w:p>
    <w:p>
      <w:pPr>
        <w:spacing w:lineRule="auto" w:line="300" w:before="120" w:after="120"/>
        <w:ind w:firstLine="403"/>
        <w:jc w:val="both"/>
        <w:rPr>
          <w:rStyle w:val="C3"/>
          <w:rFonts w:ascii="Arial" w:hAnsi="Arial"/>
          <w:b w:val="1"/>
          <w:sz w:val="20"/>
        </w:rPr>
      </w:pPr>
    </w:p>
    <w:p>
      <w:pPr>
        <w:pStyle w:val="P8"/>
        <w:spacing w:lineRule="auto" w:line="300" w:before="240" w:after="120"/>
        <w:ind w:firstLine="403"/>
        <w:jc w:val="both"/>
        <w:rPr>
          <w:rStyle w:val="C9"/>
          <w:rFonts w:ascii="Arial" w:hAnsi="Arial"/>
          <w:i w:val="0"/>
          <w:sz w:val="22"/>
        </w:rPr>
      </w:pPr>
    </w:p>
    <w:p>
      <w:pPr>
        <w:pStyle w:val="P8"/>
        <w:spacing w:lineRule="auto" w:line="300" w:before="240" w:after="120"/>
        <w:ind w:firstLine="403"/>
        <w:jc w:val="both"/>
        <w:rPr>
          <w:rStyle w:val="C9"/>
          <w:rFonts w:ascii="Arial" w:hAnsi="Arial"/>
          <w:i w:val="0"/>
          <w:sz w:val="22"/>
        </w:rPr>
      </w:pPr>
    </w:p>
    <w:p>
      <w:pPr>
        <w:pStyle w:val="P8"/>
        <w:spacing w:lineRule="auto" w:line="300" w:before="240" w:after="120"/>
        <w:ind w:firstLine="403"/>
        <w:jc w:val="both"/>
        <w:rPr>
          <w:rStyle w:val="C9"/>
          <w:i w:val="0"/>
          <w:sz w:val="22"/>
        </w:rPr>
      </w:pPr>
      <w:r>
        <w:rPr>
          <w:rStyle w:val="C9"/>
          <w:rFonts w:ascii="Arial" w:hAnsi="Arial"/>
          <w:i w:val="1"/>
          <w:sz w:val="22"/>
        </w:rPr>
        <w:t xml:space="preserve">Comparison with the previous quarter </w:t>
      </w:r>
    </w:p>
    <w:p>
      <w:pPr>
        <w:spacing w:lineRule="auto" w:line="300" w:before="120" w:after="120"/>
        <w:ind w:firstLine="403"/>
        <w:jc w:val="both"/>
        <w:rPr>
          <w:rStyle w:val="C3"/>
          <w:rFonts w:ascii="Arial" w:hAnsi="Arial"/>
          <w:sz w:val="20"/>
        </w:rPr>
      </w:pPr>
      <w:r>
        <w:rPr>
          <w:rStyle w:val="C3"/>
          <w:rFonts w:ascii="Arial" w:hAnsi="Arial"/>
          <w:sz w:val="20"/>
        </w:rPr>
        <w:t>Relative to the third quarter 2017, employment decreased by 118 300, out of which 86% related to the activity of Agriculture, forestry and fishery and to Households producing goods and services, due to seasonal character of the jobs. Decreased employment reflected to decreased employment rate, by 1.9 p.p. relative to the previous quarter. Due to decreased employment, unemployment and inactivity were increased by 47 000 and 63 900 respectively, whereof majority of males changed the activity status from employed into unemployed, while females became inactive after termination of employment. Unemployment rate and inactivity rate were increased by 1.7 and 1.1 p.p. respectively.</w:t>
      </w:r>
    </w:p>
    <w:p>
      <w:pPr>
        <w:spacing w:lineRule="auto" w:line="300" w:before="120" w:after="120"/>
        <w:ind w:firstLine="403"/>
        <w:jc w:val="both"/>
        <w:rPr>
          <w:rStyle w:val="C3"/>
          <w:rFonts w:ascii="Arial" w:hAnsi="Arial"/>
          <w:sz w:val="20"/>
        </w:rPr>
      </w:pPr>
      <w:r>
        <w:rPr>
          <w:rStyle w:val="C3"/>
          <w:rFonts w:ascii="Arial" w:hAnsi="Arial"/>
          <w:sz w:val="20"/>
        </w:rPr>
        <w:t>Similar trend of decreased employment and increased unemployment and inactivity, recorded in overall population, affected the young population aged 15-24 as well. Among them the employment rate was decreased by 2.3 p.p, while unemployment rate and inactivity rate were increased by 4.5 and 1.2 p. p respectively.</w:t>
      </w:r>
    </w:p>
    <w:p>
      <w:pPr>
        <w:spacing w:lineRule="auto" w:line="300" w:before="120" w:after="120"/>
        <w:ind w:firstLine="403"/>
        <w:jc w:val="both"/>
        <w:rPr>
          <w:rStyle w:val="C3"/>
          <w:rFonts w:ascii="Arial" w:hAnsi="Arial"/>
          <w:sz w:val="20"/>
        </w:rPr>
      </w:pPr>
      <w:r>
        <w:rPr>
          <w:rStyle w:val="C3"/>
          <w:rFonts w:ascii="Arial" w:hAnsi="Arial"/>
          <w:sz w:val="20"/>
        </w:rPr>
        <w:t xml:space="preserve">Compared with other regions, Beogradski region “suffered” the lowest loss of jobs, and it is not surprising, knowing that seasonal jobs that terminated during the winter months were the least present in this region. Therefore, Beogradski region showed the best results on labour market, unlike Region Južne i Istočne Srbije, where employment rate was the lowest and unemployment and inactivity rates were the greatest, compared with other regions. </w:t>
      </w:r>
    </w:p>
    <w:p>
      <w:pPr>
        <w:spacing w:lineRule="auto" w:line="300" w:before="360" w:after="120"/>
        <w:ind w:firstLine="403"/>
        <w:jc w:val="both"/>
        <w:rPr>
          <w:rStyle w:val="C9"/>
          <w:rFonts w:ascii="Arial" w:hAnsi="Arial"/>
          <w:i w:val="0"/>
          <w:sz w:val="22"/>
        </w:rPr>
      </w:pPr>
      <w:r>
        <w:rPr>
          <w:rStyle w:val="C9"/>
          <w:rFonts w:ascii="Arial" w:hAnsi="Arial"/>
          <w:i w:val="1"/>
          <w:sz w:val="22"/>
        </w:rPr>
        <w:t xml:space="preserve">Comparison with the </w:t>
      </w:r>
      <w:r>
        <w:rPr>
          <w:rStyle w:val="C9"/>
          <w:rFonts w:ascii="Arial" w:hAnsi="Arial"/>
          <w:i w:val="1"/>
          <w:sz w:val="22"/>
        </w:rPr>
        <w:t xml:space="preserve">same period of the previous year </w:t>
      </w:r>
    </w:p>
    <w:p>
      <w:pPr>
        <w:spacing w:lineRule="auto" w:line="300" w:before="120" w:after="120"/>
        <w:ind w:firstLine="403"/>
        <w:jc w:val="both"/>
        <w:rPr>
          <w:rStyle w:val="C3"/>
          <w:rFonts w:ascii="Arial" w:hAnsi="Arial"/>
          <w:sz w:val="20"/>
        </w:rPr>
      </w:pPr>
      <w:r>
        <w:rPr>
          <w:rStyle w:val="C3"/>
          <w:rFonts w:ascii="Arial" w:hAnsi="Arial"/>
          <w:sz w:val="20"/>
        </w:rPr>
        <w:t xml:space="preserve">Relative to the fourth quarter of the previous year, number of employed population increased by 32 200, while number of unemployed population increased by 65 700. Employment rate and unemployment rate were increased by 0.8 and 1.6 p.p.  respectively.</w:t>
      </w:r>
    </w:p>
    <w:p>
      <w:pPr>
        <w:spacing w:lineRule="auto" w:line="300" w:before="120" w:after="120"/>
        <w:ind w:firstLine="403"/>
        <w:jc w:val="both"/>
        <w:rPr>
          <w:rStyle w:val="C3"/>
          <w:rFonts w:ascii="Arial" w:hAnsi="Arial"/>
          <w:sz w:val="20"/>
        </w:rPr>
      </w:pPr>
      <w:r>
        <w:rPr>
          <w:rStyle w:val="C3"/>
          <w:rFonts w:ascii="Arial" w:hAnsi="Arial"/>
          <w:sz w:val="20"/>
        </w:rPr>
        <w:t>Within total employment, which was increased by 32 200, informal employment was decreased by 24 300 and formal employment was increased by 56 500. Increase of formal employment was almost identical to increase of registered employment by 56 400, according to the records of Central register of compulsory social insurance in the same period.</w:t>
      </w:r>
    </w:p>
    <w:p>
      <w:pPr>
        <w:spacing w:lineRule="auto" w:line="300" w:before="120" w:after="120"/>
        <w:ind w:firstLine="403"/>
        <w:jc w:val="both"/>
        <w:rPr>
          <w:rStyle w:val="C3"/>
          <w:rFonts w:ascii="Arial" w:hAnsi="Arial"/>
          <w:sz w:val="20"/>
        </w:rPr>
      </w:pPr>
      <w:r>
        <w:rPr>
          <w:rStyle w:val="C3"/>
          <w:rFonts w:ascii="Arial" w:hAnsi="Arial"/>
          <w:sz w:val="20"/>
        </w:rPr>
        <w:t xml:space="preserve">Employment growth mostly affected persons aged 25-44 from Beogradski region and region Vojvodine, in the following sections of activity: Manufacturing, Transport and storage, Information and communication.   </w:t>
      </w:r>
    </w:p>
    <w:p>
      <w:pPr>
        <w:spacing w:lineRule="auto" w:line="300" w:before="120" w:after="120"/>
        <w:ind w:firstLine="403"/>
        <w:jc w:val="both"/>
        <w:rPr>
          <w:rStyle w:val="C3"/>
          <w:rFonts w:ascii="Arial" w:hAnsi="Arial"/>
          <w:sz w:val="20"/>
        </w:rPr>
      </w:pPr>
      <w:r>
        <w:rPr>
          <w:rStyle w:val="C3"/>
          <w:rFonts w:ascii="Arial" w:hAnsi="Arial"/>
          <w:sz w:val="20"/>
        </w:rPr>
        <w:t>Decreased employment and increased unemployment were recorded only in Region Južne i Istočne Srbije.</w:t>
      </w:r>
    </w:p>
    <w:p>
      <w:pPr>
        <w:spacing w:lineRule="auto" w:line="300" w:before="120" w:after="120"/>
        <w:ind w:firstLine="403"/>
        <w:jc w:val="both"/>
        <w:rPr>
          <w:rStyle w:val="C3"/>
          <w:rFonts w:ascii="Arial" w:hAnsi="Arial"/>
          <w:sz w:val="20"/>
        </w:rPr>
      </w:pPr>
      <w:r>
        <w:rPr>
          <w:rStyle w:val="C3"/>
          <w:rFonts w:ascii="Arial" w:hAnsi="Arial"/>
          <w:sz w:val="20"/>
        </w:rPr>
        <w:t xml:space="preserve">Informal employment rate was decreased, amounting to 19.8%, and number of informally employed persons was 546 400. If 172 800 of formally employed persons, who did not exercise neither the right to health nor to pension insurance, and who therefore, according to more strict definition of formal/ informal employment do not belong to the category of formally employed, were added, number of informally employed would be 719 200 and informal employment rate would amount to 26%.   </w:t>
      </w:r>
    </w:p>
    <w:p>
      <w:pPr>
        <w:spacing w:lineRule="auto" w:line="300" w:before="120" w:after="120"/>
        <w:ind w:firstLine="403"/>
        <w:jc w:val="both"/>
        <w:rPr>
          <w:rStyle w:val="C3"/>
          <w:rFonts w:ascii="Arial" w:hAnsi="Arial"/>
          <w:sz w:val="20"/>
        </w:rPr>
      </w:pPr>
      <w:r>
        <w:rPr>
          <w:rStyle w:val="C3"/>
          <w:rFonts w:ascii="Arial" w:hAnsi="Arial"/>
          <w:sz w:val="20"/>
        </w:rPr>
        <w:t xml:space="preserve">Results on labour market are not influenced only by trends of employment and unemployment, but also by demographic trends, which are particularly unfavourable regarding the population aged 15-24. Namely, number of young people, relative to the same period of the previous year, has decreased by 15 100, presenting a half of total decrease of overall population. Additionally, there were no significant changes in the number of employed, while number of unemployed persons increased by 8 600, and unemployment rate increased by 2.1 p.p. Such trends resulted in employment rate of 21.4% and unemployment rate of 33.3%. NEET rate, presenting the share of young who neither work nor attend school, in total population of young aged 15-24, increased by 1.1 p.p relative to the same period last year and amounted to 17.6%.   </w:t>
      </w:r>
    </w:p>
    <w:p>
      <w:pPr>
        <w:spacing w:lineRule="auto" w:line="276" w:after="60"/>
        <w:jc w:val="center"/>
        <w:rPr>
          <w:rStyle w:val="C3"/>
          <w:rFonts w:ascii="Arial" w:hAnsi="Arial"/>
          <w:color w:val="323232"/>
          <w:sz w:val="20"/>
        </w:rPr>
      </w:pPr>
      <w:r>
        <w:rPr>
          <w:rStyle w:val="C3"/>
          <w:rFonts w:ascii="Arial" w:hAnsi="Arial"/>
          <w:b w:val="1"/>
          <w:color w:val="323232"/>
          <w:sz w:val="20"/>
        </w:rPr>
        <w:br w:type="page"/>
      </w:r>
      <w:r>
        <w:rPr>
          <w:rStyle w:val="C3"/>
          <w:rFonts w:ascii="Arial" w:hAnsi="Arial"/>
          <w:b w:val="1"/>
          <w:color w:val="323232"/>
          <w:sz w:val="20"/>
        </w:rPr>
        <w:t>Table 1.</w:t>
      </w:r>
      <w:r>
        <w:rPr>
          <w:rStyle w:val="C3"/>
          <w:rFonts w:ascii="Arial" w:hAnsi="Arial"/>
          <w:color w:val="323232"/>
          <w:sz w:val="20"/>
        </w:rPr>
        <w:t xml:space="preserve"> Main indicators of labour market trend, IV quarter 2017</w:t>
      </w:r>
    </w:p>
    <w:tbl>
      <w:tblPr>
        <w:tblStyle w:val="T2"/>
        <w:tblW w:w="8699" w:type="dxa"/>
        <w:jc w:val="center"/>
        <w:tblInd w:w="108" w:type="dxa"/>
        <w:tblLayout w:type="autofit"/>
      </w:tblPr>
      <w:tblGrid/>
      <w:tr>
        <w:trPr>
          <w:wAfter w:w="0" w:type="dxa"/>
          <w:trHeight w:hRule="atLeast" w:val="587"/>
        </w:trPr>
        <w:tc>
          <w:tcPr>
            <w:tcW w:w="3617" w:type="dxa"/>
            <w:vMerge w:val="restart"/>
            <w:tcBorders>
              <w:top w:val="single" w:sz="8" w:space="0" w:shadow="0" w:frame="0" w:color="0C5498"/>
              <w:left w:val="single" w:sz="8" w:space="0" w:shadow="0" w:frame="0" w:color="0C5498"/>
              <w:bottom w:val="single" w:sz="8" w:space="0" w:shadow="0" w:frame="0" w:color="0C5498"/>
              <w:right w:val="single" w:sz="8" w:space="0" w:shadow="0" w:frame="0" w:color="0C5498"/>
            </w:tcBorders>
            <w:vAlign w:val="center"/>
          </w:tcPr>
          <w:p>
            <w:pPr>
              <w:rPr>
                <w:rStyle w:val="C3"/>
                <w:rFonts w:ascii="Arial" w:hAnsi="Arial"/>
                <w:color w:val="000000"/>
                <w:sz w:val="16"/>
              </w:rPr>
            </w:pPr>
            <w:r>
              <w:rPr>
                <w:rStyle w:val="C3"/>
                <w:rFonts w:ascii="Arial" w:hAnsi="Arial"/>
                <w:color w:val="000000"/>
                <w:sz w:val="16"/>
              </w:rPr>
              <w:t> </w:t>
            </w:r>
          </w:p>
        </w:tc>
        <w:tc>
          <w:tcPr>
            <w:tcW w:w="1051" w:type="dxa"/>
            <w:tcBorders>
              <w:top w:val="single" w:sz="8" w:space="0" w:shadow="0" w:frame="0" w:color="0C5498"/>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color w:val="000000"/>
                <w:sz w:val="16"/>
              </w:rPr>
            </w:pPr>
            <w:r>
              <w:rPr>
                <w:rStyle w:val="C3"/>
                <w:rFonts w:ascii="Arial" w:hAnsi="Arial"/>
                <w:color w:val="000000"/>
                <w:sz w:val="16"/>
              </w:rPr>
              <w:t xml:space="preserve">IV quarter 2017 </w:t>
            </w:r>
          </w:p>
        </w:tc>
        <w:tc>
          <w:tcPr>
            <w:tcW w:w="2012" w:type="dxa"/>
            <w:gridSpan w:val="2"/>
            <w:tcBorders>
              <w:top w:val="single" w:sz="8" w:space="0" w:shadow="0" w:frame="0" w:color="0C5498"/>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sz w:val="16"/>
              </w:rPr>
            </w:pPr>
            <w:r>
              <w:rPr>
                <w:rStyle w:val="C3"/>
                <w:rFonts w:ascii="Arial" w:hAnsi="Arial"/>
                <w:sz w:val="16"/>
              </w:rPr>
              <w:t xml:space="preserve">Changes relative to previous quarter </w:t>
            </w:r>
          </w:p>
        </w:tc>
        <w:tc>
          <w:tcPr>
            <w:tcW w:w="2019" w:type="dxa"/>
            <w:gridSpan w:val="2"/>
            <w:tcBorders>
              <w:top w:val="single" w:sz="8" w:space="0" w:shadow="0" w:frame="0" w:color="0C5498"/>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sz w:val="16"/>
              </w:rPr>
            </w:pPr>
            <w:r>
              <w:rPr>
                <w:rStyle w:val="C3"/>
                <w:rFonts w:ascii="Arial" w:hAnsi="Arial"/>
                <w:sz w:val="16"/>
              </w:rPr>
              <w:t>Changes relative to same quarter of 2016</w:t>
            </w:r>
          </w:p>
        </w:tc>
      </w:tr>
      <w:tr>
        <w:trPr>
          <w:wAfter w:w="0" w:type="dxa"/>
          <w:trHeight w:hRule="atLeast" w:val="273"/>
        </w:trPr>
        <w:tc>
          <w:tcPr>
            <w:tcW w:w="3617" w:type="dxa"/>
            <w:vMerge w:val="continue"/>
            <w:tcBorders>
              <w:top w:val="single" w:sz="8" w:space="0" w:shadow="0" w:frame="0" w:color="0C5498"/>
              <w:left w:val="single" w:sz="8" w:space="0" w:shadow="0" w:frame="0" w:color="0C5498"/>
              <w:bottom w:val="single" w:sz="8" w:space="0" w:shadow="0" w:frame="0" w:color="0C5498"/>
              <w:right w:val="single" w:sz="8" w:space="0" w:shadow="0" w:frame="0" w:color="0C5498"/>
            </w:tcBorders>
            <w:shd w:val="nil" w:color="auto" w:fill="auto"/>
            <w:vAlign w:val="center"/>
          </w:tcPr>
          <w:p>
            <w:pPr>
              <w:rPr>
                <w:rStyle w:val="C3"/>
                <w:rFonts w:ascii="Arial" w:hAnsi="Arial"/>
                <w:color w:val="000000"/>
                <w:sz w:val="16"/>
              </w:rPr>
            </w:pPr>
          </w:p>
        </w:tc>
        <w:tc>
          <w:tcPr>
            <w:tcW w:w="1051" w:type="dxa"/>
            <w:tcBorders>
              <w:top w:val="none" w:sz="0" w:space="0" w:shadow="0" w:frame="0"/>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color w:val="000000"/>
                <w:sz w:val="16"/>
              </w:rPr>
            </w:pPr>
            <w:r>
              <w:rPr>
                <w:rStyle w:val="C3"/>
                <w:rFonts w:ascii="Arial" w:hAnsi="Arial"/>
                <w:sz w:val="16"/>
              </w:rPr>
              <w:t>(in thousand)</w:t>
            </w:r>
          </w:p>
        </w:tc>
        <w:tc>
          <w:tcPr>
            <w:tcW w:w="1079" w:type="dxa"/>
            <w:tcBorders>
              <w:top w:val="none" w:sz="0" w:space="0" w:shadow="0" w:frame="0"/>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color w:val="000000"/>
                <w:sz w:val="16"/>
              </w:rPr>
            </w:pPr>
            <w:r>
              <w:rPr>
                <w:rStyle w:val="C3"/>
                <w:rFonts w:ascii="Arial" w:hAnsi="Arial"/>
                <w:sz w:val="16"/>
              </w:rPr>
              <w:t>(in thousand)</w:t>
            </w:r>
          </w:p>
        </w:tc>
        <w:tc>
          <w:tcPr>
            <w:tcW w:w="933" w:type="dxa"/>
            <w:tcBorders>
              <w:top w:val="none" w:sz="0" w:space="0" w:shadow="0" w:frame="0"/>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color w:val="000000"/>
                <w:sz w:val="16"/>
              </w:rPr>
            </w:pPr>
            <w:r>
              <w:rPr>
                <w:rStyle w:val="C3"/>
                <w:rFonts w:ascii="Arial" w:hAnsi="Arial"/>
                <w:color w:val="000000"/>
                <w:sz w:val="16"/>
              </w:rPr>
              <w:t>%</w:t>
            </w:r>
          </w:p>
        </w:tc>
        <w:tc>
          <w:tcPr>
            <w:tcW w:w="1242" w:type="dxa"/>
            <w:tcBorders>
              <w:top w:val="none" w:sz="0" w:space="0" w:shadow="0" w:frame="0"/>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color w:val="000000"/>
                <w:sz w:val="16"/>
              </w:rPr>
            </w:pPr>
            <w:r>
              <w:rPr>
                <w:rStyle w:val="C3"/>
                <w:rFonts w:ascii="Arial" w:hAnsi="Arial"/>
                <w:sz w:val="16"/>
              </w:rPr>
              <w:t>(in thousand)</w:t>
            </w:r>
          </w:p>
        </w:tc>
        <w:tc>
          <w:tcPr>
            <w:tcW w:w="777" w:type="dxa"/>
            <w:tcBorders>
              <w:top w:val="none" w:sz="0" w:space="0" w:shadow="0" w:frame="0"/>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color w:val="000000"/>
                <w:sz w:val="16"/>
              </w:rPr>
            </w:pPr>
            <w:r>
              <w:rPr>
                <w:rStyle w:val="C3"/>
                <w:rFonts w:ascii="Arial" w:hAnsi="Arial"/>
                <w:color w:val="000000"/>
                <w:sz w:val="16"/>
              </w:rPr>
              <w:t>%</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b w:val="1"/>
                <w:color w:val="000000"/>
                <w:sz w:val="16"/>
              </w:rPr>
            </w:pPr>
            <w:r>
              <w:rPr>
                <w:rStyle w:val="C3"/>
                <w:rFonts w:ascii="Arial" w:hAnsi="Arial"/>
                <w:b w:val="1"/>
                <w:color w:val="000000"/>
                <w:sz w:val="16"/>
              </w:rPr>
              <w:t> </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color w:val="000000"/>
                <w:sz w:val="16"/>
              </w:rPr>
            </w:pPr>
            <w:r>
              <w:rPr>
                <w:rStyle w:val="C3"/>
                <w:rFonts w:ascii="Arial" w:hAnsi="Arial"/>
                <w:color w:val="000000"/>
                <w:sz w:val="16"/>
              </w:rPr>
              <w:t> </w:t>
            </w:r>
          </w:p>
        </w:tc>
        <w:tc>
          <w:tcPr>
            <w:tcW w:w="1079"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color w:val="000000"/>
                <w:sz w:val="16"/>
              </w:rPr>
            </w:pP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color w:val="000000"/>
                <w:sz w:val="16"/>
              </w:rPr>
            </w:pPr>
            <w:r>
              <w:rPr>
                <w:rStyle w:val="C3"/>
                <w:rFonts w:ascii="Arial" w:hAnsi="Arial"/>
                <w:color w:val="000000"/>
                <w:sz w:val="16"/>
              </w:rPr>
              <w:t> </w:t>
            </w:r>
          </w:p>
        </w:tc>
        <w:tc>
          <w:tcPr>
            <w:tcW w:w="1242"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color w:val="000000"/>
                <w:sz w:val="16"/>
              </w:rPr>
            </w:pP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color w:val="000000"/>
                <w:sz w:val="16"/>
              </w:rPr>
            </w:pPr>
            <w:r>
              <w:rPr>
                <w:rStyle w:val="C3"/>
                <w:rFonts w:ascii="Arial" w:hAnsi="Arial"/>
                <w:color w:val="000000"/>
                <w:sz w:val="16"/>
              </w:rPr>
              <w:t> </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b w:val="1"/>
                <w:sz w:val="16"/>
              </w:rPr>
            </w:pPr>
            <w:r>
              <w:rPr>
                <w:rStyle w:val="C3"/>
                <w:rFonts w:ascii="Arial" w:hAnsi="Arial"/>
                <w:b w:val="1"/>
                <w:sz w:val="16"/>
              </w:rPr>
              <w:t>Total</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b w:val="1"/>
                <w:sz w:val="16"/>
              </w:rPr>
            </w:pPr>
            <w:r>
              <w:rPr>
                <w:rStyle w:val="C3"/>
                <w:rFonts w:ascii="Arial" w:hAnsi="Arial"/>
                <w:b w:val="1"/>
                <w:sz w:val="16"/>
              </w:rPr>
              <w:t>5974</w:t>
            </w:r>
            <w:r>
              <w:rPr>
                <w:rStyle w:val="C3"/>
                <w:rFonts w:ascii="Arial" w:hAnsi="Arial"/>
                <w:b w:val="1"/>
                <w:sz w:val="16"/>
              </w:rPr>
              <w:t>.</w:t>
            </w:r>
            <w:r>
              <w:rPr>
                <w:rStyle w:val="C3"/>
                <w:rFonts w:ascii="Arial" w:hAnsi="Arial"/>
                <w:b w:val="1"/>
                <w:sz w:val="16"/>
              </w:rPr>
              <w:t>2</w:t>
            </w:r>
          </w:p>
        </w:tc>
        <w:tc>
          <w:tcPr>
            <w:tcW w:w="1079"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b w:val="1"/>
                <w:sz w:val="16"/>
              </w:rPr>
            </w:pPr>
            <w:r>
              <w:rPr>
                <w:rStyle w:val="C3"/>
                <w:rFonts w:ascii="Arial" w:hAnsi="Arial"/>
                <w:b w:val="1"/>
                <w:sz w:val="16"/>
              </w:rPr>
              <w:t>-7</w:t>
            </w:r>
            <w:r>
              <w:rPr>
                <w:rStyle w:val="C3"/>
                <w:rFonts w:ascii="Arial" w:hAnsi="Arial"/>
                <w:b w:val="1"/>
                <w:sz w:val="16"/>
              </w:rPr>
              <w:t>.</w:t>
            </w:r>
            <w:r>
              <w:rPr>
                <w:rStyle w:val="C3"/>
                <w:rFonts w:ascii="Arial" w:hAnsi="Arial"/>
                <w:b w:val="1"/>
                <w:sz w:val="16"/>
              </w:rPr>
              <w:t>0</w:t>
            </w: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b w:val="1"/>
                <w:sz w:val="16"/>
              </w:rPr>
            </w:pPr>
            <w:r>
              <w:rPr>
                <w:rStyle w:val="C3"/>
                <w:rFonts w:ascii="Arial" w:hAnsi="Arial"/>
                <w:b w:val="1"/>
                <w:sz w:val="16"/>
              </w:rPr>
              <w:t>-0</w:t>
            </w:r>
            <w:r>
              <w:rPr>
                <w:rStyle w:val="C3"/>
                <w:rFonts w:ascii="Arial" w:hAnsi="Arial"/>
                <w:b w:val="1"/>
                <w:sz w:val="16"/>
              </w:rPr>
              <w:t>.</w:t>
            </w:r>
            <w:r>
              <w:rPr>
                <w:rStyle w:val="C3"/>
                <w:rFonts w:ascii="Arial" w:hAnsi="Arial"/>
                <w:b w:val="1"/>
                <w:sz w:val="16"/>
              </w:rPr>
              <w:t>1</w:t>
            </w:r>
          </w:p>
        </w:tc>
        <w:tc>
          <w:tcPr>
            <w:tcW w:w="1242"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b w:val="1"/>
                <w:sz w:val="16"/>
              </w:rPr>
            </w:pPr>
            <w:r>
              <w:rPr>
                <w:rStyle w:val="C3"/>
                <w:rFonts w:ascii="Arial" w:hAnsi="Arial"/>
                <w:b w:val="1"/>
                <w:sz w:val="16"/>
              </w:rPr>
              <w:t>-30</w:t>
            </w:r>
            <w:r>
              <w:rPr>
                <w:rStyle w:val="C3"/>
                <w:rFonts w:ascii="Arial" w:hAnsi="Arial"/>
                <w:b w:val="1"/>
                <w:sz w:val="16"/>
              </w:rPr>
              <w:t>.</w:t>
            </w:r>
            <w:r>
              <w:rPr>
                <w:rStyle w:val="C3"/>
                <w:rFonts w:ascii="Arial" w:hAnsi="Arial"/>
                <w:b w:val="1"/>
                <w:sz w:val="16"/>
              </w:rPr>
              <w:t>1</w:t>
            </w: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b w:val="1"/>
                <w:sz w:val="16"/>
              </w:rPr>
            </w:pPr>
            <w:r>
              <w:rPr>
                <w:rStyle w:val="C3"/>
                <w:rFonts w:ascii="Arial" w:hAnsi="Arial"/>
                <w:b w:val="1"/>
                <w:sz w:val="16"/>
              </w:rPr>
              <w:t>-0</w:t>
            </w:r>
            <w:r>
              <w:rPr>
                <w:rStyle w:val="C3"/>
                <w:rFonts w:ascii="Arial" w:hAnsi="Arial"/>
                <w:b w:val="1"/>
                <w:sz w:val="16"/>
              </w:rPr>
              <w:t>.</w:t>
            </w:r>
            <w:r>
              <w:rPr>
                <w:rStyle w:val="C3"/>
                <w:rFonts w:ascii="Arial" w:hAnsi="Arial"/>
                <w:b w:val="1"/>
                <w:sz w:val="16"/>
              </w:rPr>
              <w:t>5</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sz w:val="16"/>
              </w:rPr>
            </w:pPr>
            <w:r>
              <w:rPr>
                <w:rStyle w:val="C3"/>
                <w:rFonts w:ascii="Arial" w:hAnsi="Arial"/>
                <w:sz w:val="16"/>
              </w:rPr>
              <w:t>Active</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3239.2</w:t>
            </w:r>
          </w:p>
        </w:tc>
        <w:tc>
          <w:tcPr>
            <w:tcW w:w="1079"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-70.9</w:t>
            </w: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-2.1</w:t>
            </w:r>
          </w:p>
        </w:tc>
        <w:tc>
          <w:tcPr>
            <w:tcW w:w="1242"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97.9</w:t>
            </w: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3.1</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color w:val="000000"/>
                <w:sz w:val="16"/>
              </w:rPr>
            </w:pPr>
            <w:r>
              <w:rPr>
                <w:rStyle w:val="C3"/>
                <w:rFonts w:ascii="Arial" w:hAnsi="Arial"/>
                <w:sz w:val="16"/>
              </w:rPr>
              <w:t>Employed</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2763.6</w:t>
            </w:r>
          </w:p>
        </w:tc>
        <w:tc>
          <w:tcPr>
            <w:tcW w:w="1079"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-118.3</w:t>
            </w: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-4.1</w:t>
            </w:r>
          </w:p>
        </w:tc>
        <w:tc>
          <w:tcPr>
            <w:tcW w:w="1242"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32.2</w:t>
            </w: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1.2</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color w:val="000000"/>
                <w:sz w:val="16"/>
              </w:rPr>
            </w:pPr>
            <w:r>
              <w:rPr>
                <w:rStyle w:val="C3"/>
                <w:rFonts w:ascii="Arial" w:hAnsi="Arial"/>
                <w:color w:val="000000"/>
                <w:sz w:val="16"/>
              </w:rPr>
              <w:t xml:space="preserve">    Formally employed</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2217.2</w:t>
            </w:r>
          </w:p>
        </w:tc>
        <w:tc>
          <w:tcPr>
            <w:tcW w:w="1079"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-36.3</w:t>
            </w: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-1.6</w:t>
            </w:r>
          </w:p>
        </w:tc>
        <w:tc>
          <w:tcPr>
            <w:tcW w:w="1242"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56.5</w:t>
            </w: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2.6</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color w:val="000000"/>
                <w:sz w:val="16"/>
              </w:rPr>
            </w:pPr>
            <w:r>
              <w:rPr>
                <w:rStyle w:val="C3"/>
                <w:rFonts w:ascii="Arial" w:hAnsi="Arial"/>
                <w:color w:val="000000"/>
                <w:sz w:val="16"/>
              </w:rPr>
              <w:t xml:space="preserve">    Informally employed</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546.4</w:t>
            </w:r>
          </w:p>
        </w:tc>
        <w:tc>
          <w:tcPr>
            <w:tcW w:w="1079"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-81.9</w:t>
            </w: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-13.0</w:t>
            </w:r>
          </w:p>
        </w:tc>
        <w:tc>
          <w:tcPr>
            <w:tcW w:w="1242"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-24.3</w:t>
            </w: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-4.2</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color w:val="000000"/>
                <w:sz w:val="16"/>
              </w:rPr>
            </w:pPr>
            <w:r>
              <w:rPr>
                <w:rStyle w:val="C3"/>
                <w:rFonts w:ascii="Arial" w:hAnsi="Arial"/>
                <w:color w:val="000000"/>
                <w:sz w:val="16"/>
              </w:rPr>
              <w:t>Unemployed</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475.6</w:t>
            </w:r>
          </w:p>
        </w:tc>
        <w:tc>
          <w:tcPr>
            <w:tcW w:w="1079"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47.4</w:t>
            </w: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11.1</w:t>
            </w:r>
          </w:p>
        </w:tc>
        <w:tc>
          <w:tcPr>
            <w:tcW w:w="1242"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65.7</w:t>
            </w: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16.0</w:t>
            </w:r>
          </w:p>
        </w:tc>
      </w:tr>
      <w:tr>
        <w:trPr>
          <w:wAfter w:w="0" w:type="dxa"/>
          <w:trHeight w:hRule="atLeast" w:val="273"/>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color w:val="000000"/>
                <w:sz w:val="16"/>
              </w:rPr>
            </w:pPr>
            <w:r>
              <w:rPr>
                <w:rStyle w:val="C3"/>
                <w:rFonts w:ascii="Arial" w:hAnsi="Arial"/>
                <w:color w:val="000000"/>
                <w:sz w:val="16"/>
              </w:rPr>
              <w:t>Inactive</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2735.0</w:t>
            </w:r>
          </w:p>
        </w:tc>
        <w:tc>
          <w:tcPr>
            <w:tcW w:w="1079"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63.9</w:t>
            </w: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2.4</w:t>
            </w:r>
          </w:p>
        </w:tc>
        <w:tc>
          <w:tcPr>
            <w:tcW w:w="1242"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r>
              <w:rPr>
                <w:rStyle w:val="C3"/>
                <w:rFonts w:ascii="Arial" w:hAnsi="Arial"/>
                <w:sz w:val="16"/>
              </w:rPr>
              <w:t>-128.0</w:t>
            </w: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-4.5</w:t>
            </w:r>
          </w:p>
        </w:tc>
      </w:tr>
      <w:tr>
        <w:trPr>
          <w:wAfter w:w="0" w:type="dxa"/>
          <w:trHeight w:hRule="atLeast" w:val="273"/>
        </w:trPr>
        <w:tc>
          <w:tcPr>
            <w:tcW w:w="3617" w:type="dxa"/>
            <w:tcBorders>
              <w:top w:val="single" w:sz="8" w:space="0" w:shadow="0" w:frame="0" w:color="0C5498"/>
              <w:left w:val="single" w:sz="8" w:space="0" w:shadow="0" w:frame="0" w:color="0C5498"/>
              <w:bottom w:val="single" w:sz="8" w:space="0" w:shadow="0" w:frame="0" w:color="0C5498"/>
              <w:right w:val="single" w:sz="8" w:space="0" w:shadow="0" w:frame="0" w:color="0C5498"/>
            </w:tcBorders>
            <w:vAlign w:val="center"/>
          </w:tcPr>
          <w:p>
            <w:pPr>
              <w:rPr>
                <w:rStyle w:val="C3"/>
                <w:rFonts w:ascii="Arial" w:hAnsi="Arial"/>
                <w:color w:val="000000"/>
                <w:sz w:val="16"/>
              </w:rPr>
            </w:pPr>
            <w:r>
              <w:rPr>
                <w:rStyle w:val="C3"/>
                <w:rFonts w:ascii="Arial" w:hAnsi="Arial"/>
                <w:color w:val="000000"/>
                <w:sz w:val="16"/>
              </w:rPr>
              <w:t> </w:t>
            </w:r>
          </w:p>
        </w:tc>
        <w:tc>
          <w:tcPr>
            <w:tcW w:w="1051" w:type="dxa"/>
            <w:tcBorders>
              <w:top w:val="single" w:sz="8" w:space="0" w:shadow="0" w:frame="0" w:color="0C5498"/>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b w:val="1"/>
                <w:color w:val="000000"/>
                <w:sz w:val="16"/>
              </w:rPr>
            </w:pPr>
            <w:r>
              <w:rPr>
                <w:rStyle w:val="C3"/>
                <w:rFonts w:ascii="Arial" w:hAnsi="Arial"/>
                <w:b w:val="1"/>
                <w:color w:val="000000"/>
                <w:sz w:val="16"/>
              </w:rPr>
              <w:t>%</w:t>
            </w:r>
          </w:p>
        </w:tc>
        <w:tc>
          <w:tcPr>
            <w:tcW w:w="4031" w:type="dxa"/>
            <w:gridSpan w:val="4"/>
            <w:tcBorders>
              <w:top w:val="single" w:sz="8" w:space="0" w:shadow="0" w:frame="0" w:color="0C5498"/>
              <w:left w:val="none" w:sz="0" w:space="0" w:shadow="0" w:frame="0"/>
              <w:bottom w:val="single" w:sz="8" w:space="0" w:shadow="0" w:frame="0" w:color="0C5498"/>
              <w:right w:val="single" w:sz="8" w:space="0" w:shadow="0" w:frame="0" w:color="0C5498"/>
            </w:tcBorders>
            <w:vAlign w:val="center"/>
          </w:tcPr>
          <w:p>
            <w:pPr>
              <w:jc w:val="center"/>
              <w:rPr>
                <w:rStyle w:val="C3"/>
                <w:rFonts w:ascii="Arial" w:hAnsi="Arial"/>
                <w:color w:val="000000"/>
                <w:sz w:val="16"/>
              </w:rPr>
            </w:pPr>
            <w:r>
              <w:rPr>
                <w:rStyle w:val="C3"/>
                <w:rFonts w:ascii="Arial" w:hAnsi="Arial"/>
                <w:color w:val="000000"/>
                <w:sz w:val="16"/>
              </w:rPr>
              <w:t>(p.p.)</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color w:val="000000"/>
                <w:sz w:val="16"/>
              </w:rPr>
            </w:pPr>
            <w:r>
              <w:rPr>
                <w:rStyle w:val="C3"/>
                <w:rFonts w:ascii="Arial" w:hAnsi="Arial"/>
                <w:sz w:val="16"/>
              </w:rPr>
              <w:t>Activity rate</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54.2</w:t>
            </w:r>
          </w:p>
        </w:tc>
        <w:tc>
          <w:tcPr>
            <w:tcW w:w="107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rFonts w:ascii="Arial" w:hAnsi="Arial"/>
                <w:sz w:val="16"/>
              </w:rPr>
            </w:pP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-1.1</w:t>
            </w:r>
          </w:p>
        </w:tc>
        <w:tc>
          <w:tcPr>
            <w:tcW w:w="1242"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rFonts w:ascii="Arial" w:hAnsi="Arial"/>
                <w:sz w:val="16"/>
              </w:rPr>
            </w:pP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1.9</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color w:val="000000"/>
                <w:sz w:val="16"/>
              </w:rPr>
            </w:pPr>
            <w:r>
              <w:rPr>
                <w:rStyle w:val="C3"/>
                <w:rFonts w:ascii="Arial" w:hAnsi="Arial"/>
                <w:sz w:val="16"/>
              </w:rPr>
              <w:t>Employment rate</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46.3</w:t>
            </w:r>
          </w:p>
        </w:tc>
        <w:tc>
          <w:tcPr>
            <w:tcW w:w="107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rFonts w:ascii="Arial" w:hAnsi="Arial"/>
                <w:sz w:val="16"/>
              </w:rPr>
            </w:pP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-1.9</w:t>
            </w:r>
          </w:p>
        </w:tc>
        <w:tc>
          <w:tcPr>
            <w:tcW w:w="1242"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rFonts w:ascii="Arial" w:hAnsi="Arial"/>
                <w:sz w:val="16"/>
              </w:rPr>
            </w:pP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0.8</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color w:val="000000"/>
                <w:sz w:val="16"/>
              </w:rPr>
            </w:pPr>
            <w:r>
              <w:rPr>
                <w:rStyle w:val="C3"/>
                <w:rFonts w:ascii="Arial" w:hAnsi="Arial"/>
                <w:color w:val="000000"/>
                <w:sz w:val="16"/>
              </w:rPr>
              <w:t xml:space="preserve">    Informal employment rate</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19.8</w:t>
            </w:r>
          </w:p>
        </w:tc>
        <w:tc>
          <w:tcPr>
            <w:tcW w:w="1079"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-2.0</w:t>
            </w:r>
          </w:p>
        </w:tc>
        <w:tc>
          <w:tcPr>
            <w:tcW w:w="1242" w:type="dxa"/>
            <w:tcBorders>
              <w:top w:val="none" w:sz="0" w:space="0" w:shadow="0" w:frame="0"/>
              <w:left w:val="none" w:sz="0" w:space="0" w:shadow="0" w:frame="0"/>
              <w:bottom w:val="none" w:sz="0" w:space="0" w:shadow="0" w:frame="0"/>
              <w:right w:val="none" w:sz="0" w:space="0" w:shadow="0" w:frame="0"/>
            </w:tcBorders>
            <w:vAlign w:val="center"/>
          </w:tcPr>
          <w:p>
            <w:pPr>
              <w:jc w:val="right"/>
              <w:rPr>
                <w:rStyle w:val="C3"/>
                <w:rFonts w:ascii="Arial" w:hAnsi="Arial"/>
                <w:sz w:val="16"/>
              </w:rPr>
            </w:pP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-1.1</w:t>
            </w:r>
          </w:p>
        </w:tc>
      </w:tr>
      <w:tr>
        <w:trPr>
          <w:wAfter w:w="0" w:type="dxa"/>
          <w:trHeight w:hRule="atLeast" w:val="260"/>
        </w:trPr>
        <w:tc>
          <w:tcPr>
            <w:tcW w:w="3617" w:type="dxa"/>
            <w:tcBorders>
              <w:top w:val="none" w:sz="0" w:space="0" w:shadow="0" w:frame="0"/>
              <w:left w:val="single" w:sz="8" w:space="0" w:shadow="0" w:frame="0" w:color="0C5498"/>
              <w:bottom w:val="none" w:sz="0" w:space="0" w:shadow="0" w:frame="0"/>
              <w:right w:val="single" w:sz="8" w:space="0" w:shadow="0" w:frame="0" w:color="0C5498"/>
            </w:tcBorders>
            <w:vAlign w:val="center"/>
          </w:tcPr>
          <w:p>
            <w:pPr>
              <w:rPr>
                <w:rStyle w:val="C3"/>
                <w:rFonts w:ascii="Arial" w:hAnsi="Arial"/>
                <w:sz w:val="16"/>
              </w:rPr>
            </w:pPr>
            <w:r>
              <w:rPr>
                <w:rStyle w:val="C3"/>
                <w:rFonts w:ascii="Arial" w:hAnsi="Arial"/>
                <w:sz w:val="16"/>
              </w:rPr>
              <w:t xml:space="preserve">Unemployment rate </w:t>
            </w:r>
          </w:p>
        </w:tc>
        <w:tc>
          <w:tcPr>
            <w:tcW w:w="1051"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14.7</w:t>
            </w:r>
          </w:p>
        </w:tc>
        <w:tc>
          <w:tcPr>
            <w:tcW w:w="107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rFonts w:ascii="Arial" w:hAnsi="Arial"/>
                <w:sz w:val="16"/>
              </w:rPr>
            </w:pPr>
          </w:p>
        </w:tc>
        <w:tc>
          <w:tcPr>
            <w:tcW w:w="933"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1.7</w:t>
            </w:r>
          </w:p>
        </w:tc>
        <w:tc>
          <w:tcPr>
            <w:tcW w:w="1242"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rFonts w:ascii="Arial" w:hAnsi="Arial"/>
                <w:sz w:val="16"/>
              </w:rPr>
            </w:pPr>
          </w:p>
        </w:tc>
        <w:tc>
          <w:tcPr>
            <w:tcW w:w="777" w:type="dxa"/>
            <w:tcBorders>
              <w:top w:val="none" w:sz="0" w:space="0" w:shadow="0" w:frame="0"/>
              <w:left w:val="none" w:sz="0" w:space="0" w:shadow="0" w:frame="0"/>
              <w:bottom w:val="none" w:sz="0" w:space="0" w:shadow="0" w:frame="0"/>
              <w:right w:val="single" w:sz="8" w:space="0" w:shadow="0" w:frame="0" w:color="0C5498"/>
            </w:tcBorders>
            <w:vAlign w:val="center"/>
          </w:tcPr>
          <w:p>
            <w:pPr>
              <w:jc w:val="right"/>
              <w:rPr>
                <w:rStyle w:val="C3"/>
                <w:rFonts w:ascii="Arial" w:hAnsi="Arial"/>
                <w:sz w:val="16"/>
              </w:rPr>
            </w:pPr>
            <w:r>
              <w:rPr>
                <w:rStyle w:val="C3"/>
                <w:rFonts w:ascii="Arial" w:hAnsi="Arial"/>
                <w:sz w:val="16"/>
              </w:rPr>
              <w:t>1.6</w:t>
            </w:r>
          </w:p>
        </w:tc>
      </w:tr>
      <w:tr>
        <w:trPr>
          <w:wAfter w:w="0" w:type="dxa"/>
          <w:trHeight w:hRule="atLeast" w:val="273"/>
        </w:trPr>
        <w:tc>
          <w:tcPr>
            <w:tcW w:w="3617" w:type="dxa"/>
            <w:tcBorders>
              <w:top w:val="none" w:sz="0" w:space="0" w:shadow="0" w:frame="0"/>
              <w:left w:val="single" w:sz="8" w:space="0" w:shadow="0" w:frame="0" w:color="0C5498"/>
              <w:bottom w:val="single" w:sz="8" w:space="0" w:shadow="0" w:frame="0" w:color="0C5498"/>
              <w:right w:val="single" w:sz="8" w:space="0" w:shadow="0" w:frame="0" w:color="0C5498"/>
            </w:tcBorders>
            <w:vAlign w:val="center"/>
          </w:tcPr>
          <w:p>
            <w:pPr>
              <w:rPr>
                <w:rStyle w:val="C3"/>
                <w:rFonts w:ascii="Arial" w:hAnsi="Arial"/>
                <w:sz w:val="16"/>
              </w:rPr>
            </w:pPr>
            <w:r>
              <w:rPr>
                <w:rStyle w:val="C3"/>
                <w:rFonts w:ascii="Arial" w:hAnsi="Arial"/>
                <w:sz w:val="16"/>
              </w:rPr>
              <w:t>Inactivity rate</w:t>
            </w:r>
          </w:p>
        </w:tc>
        <w:tc>
          <w:tcPr>
            <w:tcW w:w="1051" w:type="dxa"/>
            <w:tcBorders>
              <w:top w:val="none" w:sz="0" w:space="0" w:shadow="0" w:frame="0"/>
              <w:left w:val="none" w:sz="0" w:space="0" w:shadow="0" w:frame="0"/>
              <w:bottom w:val="single" w:sz="8" w:space="0" w:shadow="0" w:frame="0" w:color="0C5498"/>
              <w:right w:val="single" w:sz="8" w:space="0" w:shadow="0" w:frame="0" w:color="0C5498"/>
            </w:tcBorders>
            <w:vAlign w:val="center"/>
          </w:tcPr>
          <w:p>
            <w:pPr>
              <w:jc w:val="right"/>
              <w:rPr>
                <w:rStyle w:val="C3"/>
                <w:rFonts w:ascii="Arial" w:hAnsi="Arial"/>
                <w:sz w:val="16"/>
              </w:rPr>
            </w:pPr>
            <w:r>
              <w:rPr>
                <w:rStyle w:val="C3"/>
                <w:rFonts w:ascii="Arial" w:hAnsi="Arial"/>
                <w:sz w:val="16"/>
              </w:rPr>
              <w:t>45.8</w:t>
            </w:r>
          </w:p>
        </w:tc>
        <w:tc>
          <w:tcPr>
            <w:tcW w:w="1079" w:type="dxa"/>
            <w:tcBorders>
              <w:top w:val="none" w:sz="0" w:space="0" w:shadow="0" w:frame="0"/>
              <w:left w:val="none" w:sz="0" w:space="0" w:shadow="0" w:frame="0"/>
              <w:bottom w:val="single" w:sz="8" w:space="0" w:shadow="0" w:frame="0" w:color="0C5498"/>
              <w:right w:val="none" w:sz="0" w:space="0" w:shadow="0" w:frame="0"/>
            </w:tcBorders>
            <w:vAlign w:val="bottom"/>
          </w:tcPr>
          <w:p>
            <w:pPr>
              <w:rPr>
                <w:rStyle w:val="C3"/>
                <w:rFonts w:ascii="Arial" w:hAnsi="Arial"/>
                <w:sz w:val="16"/>
              </w:rPr>
            </w:pPr>
            <w:r>
              <w:rPr>
                <w:rStyle w:val="C3"/>
                <w:rFonts w:ascii="Arial" w:hAnsi="Arial"/>
                <w:sz w:val="16"/>
              </w:rPr>
              <w:t> </w:t>
            </w:r>
          </w:p>
        </w:tc>
        <w:tc>
          <w:tcPr>
            <w:tcW w:w="933" w:type="dxa"/>
            <w:tcBorders>
              <w:top w:val="none" w:sz="0" w:space="0" w:shadow="0" w:frame="0"/>
              <w:left w:val="none" w:sz="0" w:space="0" w:shadow="0" w:frame="0"/>
              <w:bottom w:val="single" w:sz="8" w:space="0" w:shadow="0" w:frame="0" w:color="0C5498"/>
              <w:right w:val="single" w:sz="8" w:space="0" w:shadow="0" w:frame="0" w:color="0C5498"/>
            </w:tcBorders>
            <w:vAlign w:val="center"/>
          </w:tcPr>
          <w:p>
            <w:pPr>
              <w:jc w:val="right"/>
              <w:rPr>
                <w:rStyle w:val="C3"/>
                <w:rFonts w:ascii="Arial" w:hAnsi="Arial"/>
                <w:sz w:val="16"/>
              </w:rPr>
            </w:pPr>
            <w:r>
              <w:rPr>
                <w:rStyle w:val="C3"/>
                <w:rFonts w:ascii="Arial" w:hAnsi="Arial"/>
                <w:sz w:val="16"/>
              </w:rPr>
              <w:t>1.1</w:t>
            </w:r>
          </w:p>
        </w:tc>
        <w:tc>
          <w:tcPr>
            <w:tcW w:w="1242" w:type="dxa"/>
            <w:tcBorders>
              <w:top w:val="none" w:sz="0" w:space="0" w:shadow="0" w:frame="0"/>
              <w:left w:val="none" w:sz="0" w:space="0" w:shadow="0" w:frame="0"/>
              <w:bottom w:val="single" w:sz="8" w:space="0" w:shadow="0" w:frame="0" w:color="0C5498"/>
              <w:right w:val="none" w:sz="0" w:space="0" w:shadow="0" w:frame="0"/>
            </w:tcBorders>
            <w:vAlign w:val="bottom"/>
          </w:tcPr>
          <w:p>
            <w:pPr>
              <w:rPr>
                <w:rStyle w:val="C3"/>
                <w:rFonts w:ascii="Arial" w:hAnsi="Arial"/>
                <w:sz w:val="16"/>
              </w:rPr>
            </w:pPr>
            <w:r>
              <w:rPr>
                <w:rStyle w:val="C3"/>
                <w:rFonts w:ascii="Arial" w:hAnsi="Arial"/>
                <w:sz w:val="16"/>
              </w:rPr>
              <w:t> </w:t>
            </w:r>
          </w:p>
        </w:tc>
        <w:tc>
          <w:tcPr>
            <w:tcW w:w="777" w:type="dxa"/>
            <w:tcBorders>
              <w:top w:val="none" w:sz="0" w:space="0" w:shadow="0" w:frame="0"/>
              <w:left w:val="none" w:sz="0" w:space="0" w:shadow="0" w:frame="0"/>
              <w:bottom w:val="single" w:sz="8" w:space="0" w:shadow="0" w:frame="0" w:color="0C5498"/>
              <w:right w:val="single" w:sz="8" w:space="0" w:shadow="0" w:frame="0" w:color="0C5498"/>
            </w:tcBorders>
            <w:vAlign w:val="center"/>
          </w:tcPr>
          <w:p>
            <w:pPr>
              <w:jc w:val="right"/>
              <w:rPr>
                <w:rStyle w:val="C3"/>
                <w:rFonts w:ascii="Arial" w:hAnsi="Arial"/>
                <w:sz w:val="16"/>
              </w:rPr>
            </w:pPr>
            <w:r>
              <w:rPr>
                <w:rStyle w:val="C3"/>
                <w:rFonts w:ascii="Arial" w:hAnsi="Arial"/>
                <w:sz w:val="16"/>
              </w:rPr>
              <w:t>-1.9</w:t>
            </w:r>
          </w:p>
        </w:tc>
      </w:tr>
    </w:tbl>
    <w:p>
      <w:pPr>
        <w:spacing w:before="480"/>
        <w:ind w:firstLine="357"/>
        <w:jc w:val="both"/>
        <w:rPr>
          <w:rStyle w:val="C3"/>
          <w:rFonts w:ascii="Arial" w:hAnsi="Arial"/>
          <w:sz w:val="20"/>
        </w:rPr>
      </w:pPr>
      <w:r>
        <w:rPr>
          <w:rStyle w:val="C3"/>
          <w:rFonts w:ascii="Arial" w:hAnsi="Arial"/>
          <w:sz w:val="20"/>
        </w:rPr>
        <w:t xml:space="preserve">More detailed data are obtainable in statistical release Labour Force Survey in the republic of Serbia, IV quarter 2016 (RS10), on the address: </w:t>
      </w:r>
      <w:r>
        <w:rPr>
          <w:rStyle w:val="C3"/>
          <w:rFonts w:ascii="Arial" w:hAnsi="Arial"/>
          <w:sz w:val="20"/>
        </w:rPr>
        <w:fldChar w:fldCharType="begin"/>
      </w:r>
      <w:r>
        <w:rPr>
          <w:rStyle w:val="C3"/>
          <w:rFonts w:ascii="Arial" w:hAnsi="Arial"/>
          <w:sz w:val="20"/>
        </w:rPr>
        <w:instrText xml:space="preserve"> HYPERLINK "http://webrzs.stat.gov.rs/WebSite/Public/PageView.aspx?pKey=26" </w:instrText>
      </w:r>
      <w:r>
        <w:rPr>
          <w:rStyle w:val="C3"/>
          <w:rFonts w:ascii="Arial" w:hAnsi="Arial"/>
          <w:sz w:val="20"/>
        </w:rPr>
        <w:fldChar w:fldCharType="separate"/>
      </w:r>
      <w:r>
        <w:rPr>
          <w:rStyle w:val="C2"/>
          <w:rFonts w:ascii="Arial" w:hAnsi="Arial"/>
          <w:sz w:val="20"/>
        </w:rPr>
        <w:t>http://webrzs.stat.gov.rs/WebSite/Public/PageView.as</w:t>
      </w:r>
      <w:bookmarkStart w:id="0" w:name="_Hlt507489001"/>
      <w:bookmarkStart w:id="1" w:name="_Hlt507489002"/>
      <w:r>
        <w:rPr>
          <w:rStyle w:val="C2"/>
          <w:rFonts w:ascii="Arial" w:hAnsi="Arial"/>
          <w:sz w:val="20"/>
        </w:rPr>
        <w:t>p</w:t>
      </w:r>
      <w:bookmarkEnd w:id="0"/>
      <w:bookmarkEnd w:id="1"/>
      <w:r>
        <w:rPr>
          <w:rStyle w:val="C2"/>
          <w:rFonts w:ascii="Arial" w:hAnsi="Arial"/>
          <w:sz w:val="20"/>
        </w:rPr>
        <w:t>x?pKey=26</w:t>
      </w:r>
      <w:r>
        <w:rPr>
          <w:rStyle w:val="C2"/>
          <w:rFonts w:ascii="Arial" w:hAnsi="Arial"/>
          <w:sz w:val="20"/>
        </w:rPr>
        <w:fldChar w:fldCharType="end"/>
      </w:r>
      <w:r>
        <w:rPr>
          <w:rStyle w:val="C3"/>
          <w:rFonts w:ascii="Arial" w:hAnsi="Arial"/>
          <w:sz w:val="20"/>
        </w:rPr>
        <w:t>.</w:t>
      </w:r>
    </w:p>
    <w:p>
      <w:pPr>
        <w:spacing w:before="360" w:after="120"/>
        <w:ind w:firstLine="360"/>
        <w:jc w:val="both"/>
        <w:rPr>
          <w:rStyle w:val="C9"/>
          <w:rFonts w:ascii="Arial" w:hAnsi="Arial"/>
          <w:i w:val="0"/>
          <w:color w:val="2E74B5"/>
          <w:sz w:val="22"/>
        </w:rPr>
      </w:pPr>
      <w:r>
        <w:rPr>
          <w:rStyle w:val="C9"/>
          <w:rFonts w:ascii="Arial" w:hAnsi="Arial"/>
          <w:i w:val="1"/>
          <w:color w:val="2E74B5"/>
          <w:sz w:val="22"/>
        </w:rPr>
        <w:t>Methodological notes</w:t>
      </w:r>
    </w:p>
    <w:p>
      <w:pPr>
        <w:spacing w:lineRule="auto" w:line="300" w:before="120" w:after="120"/>
        <w:ind w:firstLine="403"/>
        <w:jc w:val="both"/>
        <w:rPr>
          <w:rStyle w:val="C3"/>
          <w:rFonts w:ascii="Arial" w:hAnsi="Arial"/>
          <w:sz w:val="20"/>
        </w:rPr>
      </w:pPr>
      <w:r>
        <w:rPr>
          <w:rStyle w:val="C3"/>
          <w:rFonts w:ascii="Arial" w:hAnsi="Arial"/>
          <w:sz w:val="20"/>
        </w:rPr>
        <w:t xml:space="preserve">Labour Force Survey (LFS) is the most complex and the only internationally comparable instrument for labour trends monitoring, registering demographic and socio– economic characteristics of population aged 15 and over.  The main aim of the survey is estimating the labour force volume, i.e. employed and unemployed population, where employment relates to work in both formal and informal section.      </w:t>
      </w:r>
    </w:p>
    <w:p>
      <w:pPr>
        <w:spacing w:lineRule="auto" w:line="300" w:before="120" w:after="120"/>
        <w:ind w:firstLine="403"/>
        <w:jc w:val="both"/>
        <w:rPr>
          <w:rStyle w:val="C3"/>
          <w:rFonts w:ascii="Arial" w:hAnsi="Arial"/>
          <w:sz w:val="20"/>
        </w:rPr>
      </w:pPr>
      <w:r>
        <w:rPr>
          <w:rStyle w:val="C3"/>
          <w:rFonts w:ascii="Arial" w:hAnsi="Arial"/>
          <w:sz w:val="20"/>
        </w:rPr>
        <w:t xml:space="preserve">The Survey was conducted on the sample of 15 592 households, whereof 12 434 households were interviewed, i.e. 29 454 persons aged 15 and over. </w:t>
      </w:r>
    </w:p>
    <w:p>
      <w:pPr>
        <w:spacing w:lineRule="auto" w:line="300" w:before="120" w:after="120"/>
        <w:ind w:firstLine="403"/>
        <w:jc w:val="both"/>
        <w:rPr>
          <w:rStyle w:val="C3"/>
          <w:rFonts w:ascii="Arial" w:hAnsi="Arial"/>
          <w:sz w:val="20"/>
        </w:rPr>
      </w:pPr>
      <w:r>
        <w:rPr>
          <w:rStyle w:val="C3"/>
          <w:rFonts w:ascii="Arial" w:hAnsi="Arial"/>
          <w:b w:val="1"/>
          <w:sz w:val="20"/>
        </w:rPr>
        <w:t>Active population</w:t>
      </w:r>
      <w:r>
        <w:rPr>
          <w:rStyle w:val="C3"/>
          <w:rFonts w:ascii="Arial" w:hAnsi="Arial"/>
          <w:sz w:val="20"/>
        </w:rPr>
        <w:t xml:space="preserve"> (</w:t>
      </w:r>
      <w:r>
        <w:rPr>
          <w:rStyle w:val="C3"/>
          <w:rFonts w:ascii="Arial" w:hAnsi="Arial"/>
          <w:b w:val="1"/>
          <w:sz w:val="20"/>
        </w:rPr>
        <w:t>labour force</w:t>
      </w:r>
      <w:r>
        <w:rPr>
          <w:rStyle w:val="C3"/>
          <w:rFonts w:ascii="Arial" w:hAnsi="Arial"/>
          <w:sz w:val="20"/>
        </w:rPr>
        <w:t>) includes all employed and unemployed persons aged 15 and over.</w:t>
      </w:r>
    </w:p>
    <w:p>
      <w:pPr>
        <w:spacing w:lineRule="auto" w:line="300" w:before="120" w:after="120"/>
        <w:ind w:firstLine="403"/>
        <w:jc w:val="both"/>
        <w:rPr>
          <w:rStyle w:val="C3"/>
          <w:rFonts w:ascii="Arial" w:hAnsi="Arial"/>
          <w:sz w:val="20"/>
        </w:rPr>
      </w:pPr>
      <w:r>
        <w:rPr>
          <w:rStyle w:val="C3"/>
          <w:rFonts w:ascii="Arial" w:hAnsi="Arial"/>
          <w:b w:val="1"/>
          <w:sz w:val="20"/>
        </w:rPr>
        <w:t>Activity rate</w:t>
      </w:r>
      <w:r>
        <w:rPr>
          <w:rStyle w:val="C3"/>
          <w:rFonts w:ascii="Arial" w:hAnsi="Arial"/>
          <w:sz w:val="20"/>
        </w:rPr>
        <w:t xml:space="preserve"> presents the percentage share of active population in total population aged 15 and over. </w:t>
      </w:r>
    </w:p>
    <w:p>
      <w:pPr>
        <w:spacing w:lineRule="auto" w:line="300" w:before="120" w:after="120"/>
        <w:ind w:firstLine="403"/>
        <w:jc w:val="both"/>
        <w:rPr>
          <w:rStyle w:val="C3"/>
          <w:rFonts w:ascii="Arial" w:hAnsi="Arial"/>
          <w:sz w:val="20"/>
        </w:rPr>
      </w:pPr>
      <w:r>
        <w:rPr>
          <w:rStyle w:val="C3"/>
          <w:rFonts w:ascii="Arial" w:hAnsi="Arial"/>
          <w:b w:val="1"/>
          <w:sz w:val="20"/>
        </w:rPr>
        <w:t>Employment rate</w:t>
      </w:r>
      <w:r>
        <w:rPr>
          <w:rStyle w:val="C3"/>
          <w:rFonts w:ascii="Arial" w:hAnsi="Arial"/>
          <w:sz w:val="20"/>
        </w:rPr>
        <w:t xml:space="preserve"> is the share of employed in the total population aged 15 and over.</w:t>
      </w:r>
    </w:p>
    <w:p>
      <w:pPr>
        <w:spacing w:lineRule="auto" w:line="300" w:before="120" w:after="120"/>
        <w:ind w:firstLine="403"/>
        <w:jc w:val="both"/>
        <w:rPr>
          <w:rStyle w:val="C3"/>
          <w:rFonts w:ascii="Arial" w:hAnsi="Arial"/>
          <w:sz w:val="20"/>
        </w:rPr>
      </w:pPr>
      <w:r>
        <w:rPr>
          <w:rStyle w:val="C3"/>
          <w:rFonts w:ascii="Arial" w:hAnsi="Arial"/>
          <w:b w:val="1"/>
          <w:sz w:val="20"/>
        </w:rPr>
        <w:t>Unemployment rate</w:t>
      </w:r>
      <w:r>
        <w:rPr>
          <w:rStyle w:val="C3"/>
          <w:rFonts w:ascii="Arial" w:hAnsi="Arial"/>
          <w:sz w:val="20"/>
        </w:rPr>
        <w:t xml:space="preserve"> presents the percentage share of unemployed population in active population.</w:t>
      </w:r>
    </w:p>
    <w:p>
      <w:pPr>
        <w:spacing w:lineRule="auto" w:line="300" w:before="120" w:after="120"/>
        <w:ind w:firstLine="403"/>
        <w:jc w:val="both"/>
        <w:rPr>
          <w:rStyle w:val="C3"/>
          <w:rFonts w:ascii="Arial" w:hAnsi="Arial"/>
          <w:sz w:val="20"/>
        </w:rPr>
      </w:pPr>
      <w:r>
        <w:rPr>
          <w:rStyle w:val="C3"/>
          <w:rFonts w:ascii="Arial" w:hAnsi="Arial"/>
          <w:b w:val="1"/>
          <w:sz w:val="20"/>
        </w:rPr>
        <w:t>Informal employment rate</w:t>
      </w:r>
      <w:r>
        <w:rPr>
          <w:rStyle w:val="C3"/>
          <w:rFonts w:ascii="Arial" w:hAnsi="Arial"/>
          <w:sz w:val="20"/>
        </w:rPr>
        <w:t xml:space="preserve"> is the share of persons employed in (1) unregistered companies, (2) registered companies but without a formal contract, (3) as well as unpaid family workers, in total employment.</w:t>
      </w:r>
    </w:p>
    <w:p>
      <w:pPr>
        <w:ind w:firstLine="403"/>
        <w:jc w:val="both"/>
        <w:rPr>
          <w:rStyle w:val="C3"/>
          <w:rFonts w:ascii="Arial" w:hAnsi="Arial"/>
          <w:sz w:val="20"/>
        </w:rPr>
      </w:pPr>
      <w:r>
        <w:rPr>
          <w:rStyle w:val="C3"/>
          <w:rFonts w:ascii="Arial" w:hAnsi="Arial"/>
          <w:sz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spacing w:lineRule="auto" w:line="300" w:before="120" w:after="120"/>
        <w:ind w:firstLine="403"/>
        <w:jc w:val="both"/>
        <w:rPr>
          <w:rStyle w:val="C3"/>
          <w:rFonts w:ascii="Arial" w:hAnsi="Arial"/>
          <w:sz w:val="20"/>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077" w:right="1077" w:top="284" w:bottom="284" w:header="431" w:footer="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rPr>
        <w:wAfter w:w="0" w:type="dxa"/>
      </w:trPr>
      <w:tc>
        <w:tcPr>
          <w:tcW w:w="10081" w:type="dxa"/>
        </w:tcPr>
        <w:tbl>
          <w:tblPr>
            <w:tblStyle w:val="T2"/>
            <w:tblW w:w="11268" w:type="dxa"/>
            <w:tblLayout w:type="autofit"/>
          </w:tblPr>
          <w:tblGrid/>
          <w:tr>
            <w:tc>
              <w:tcPr>
                <w:tcW w:w="5868" w:type="dxa"/>
              </w:tcPr>
              <w:p>
                <w:pPr>
                  <w:spacing w:before="120"/>
                  <w:jc w:val="both"/>
                  <w:rPr>
                    <w:rStyle w:val="C3"/>
                    <w:rFonts w:ascii="Tahoma" w:hAnsi="Tahoma"/>
                    <w:color w:val="333333"/>
                    <w:sz w:val="20"/>
                  </w:rPr>
                </w:pPr>
                <w:r>
                  <w:rPr>
                    <w:rStyle w:val="C3"/>
                    <w:rFonts w:ascii="Tahoma" w:hAnsi="Tahoma"/>
                    <w:color w:val="333333"/>
                    <w:sz w:val="20"/>
                  </w:rPr>
                  <w:t>Contact:</w:t>
                </w:r>
              </w:p>
              <w:p>
                <w:pPr>
                  <w:jc w:val="both"/>
                  <w:rPr>
                    <w:rStyle w:val="C3"/>
                    <w:rFonts w:ascii="Tahoma" w:hAnsi="Tahoma"/>
                    <w:color w:val="333333"/>
                    <w:sz w:val="20"/>
                  </w:rPr>
                </w:pPr>
                <w:r>
                  <w:rPr>
                    <w:rStyle w:val="C3"/>
                    <w:rFonts w:ascii="Tahoma" w:hAnsi="Tahoma"/>
                    <w:color w:val="333333"/>
                    <w:sz w:val="20"/>
                  </w:rPr>
                  <w:t>Vesna Pantelic, Head</w:t>
                </w:r>
              </w:p>
              <w:p>
                <w:pPr>
                  <w:tabs>
                    <w:tab w:val="left" w:pos="4128" w:leader="none"/>
                  </w:tabs>
                  <w:jc w:val="both"/>
                  <w:rPr>
                    <w:rStyle w:val="C3"/>
                    <w:rFonts w:ascii="Tahoma" w:hAnsi="Tahoma"/>
                    <w:color w:val="333333"/>
                    <w:sz w:val="20"/>
                  </w:rPr>
                </w:pPr>
                <w:r>
                  <w:rPr>
                    <w:rStyle w:val="C3"/>
                    <w:rFonts w:ascii="Tahoma" w:hAnsi="Tahoma"/>
                    <w:color w:val="000000"/>
                    <w:sz w:val="20"/>
                  </w:rPr>
                  <w:t>Division for L</w:t>
                </w:r>
                <w:r>
                  <w:rPr>
                    <w:rStyle w:val="C3"/>
                    <w:rFonts w:ascii="Tahoma" w:hAnsi="Tahoma"/>
                    <w:color w:val="333333"/>
                    <w:sz w:val="20"/>
                  </w:rPr>
                  <w:t xml:space="preserve">abor market statistics </w:t>
                </w:r>
              </w:p>
              <w:p>
                <w:pPr>
                  <w:rPr>
                    <w:rStyle w:val="C3"/>
                    <w:rFonts w:ascii="Tahoma" w:hAnsi="Tahoma"/>
                    <w:color w:val="333333"/>
                    <w:sz w:val="20"/>
                  </w:rPr>
                </w:pPr>
                <w:r>
                  <w:rPr>
                    <w:rStyle w:val="C3"/>
                    <w:rFonts w:ascii="Tahoma" w:hAnsi="Tahoma"/>
                    <w:color w:val="333333"/>
                    <w:sz w:val="20"/>
                  </w:rPr>
                  <w:t>Phone: +381 11 2413 571</w:t>
                </w:r>
              </w:p>
              <w:p>
                <w:pPr>
                  <w:jc w:val="both"/>
                  <w:rPr>
                    <w:rStyle w:val="C3"/>
                    <w:rFonts w:ascii="Tahoma" w:hAnsi="Tahoma"/>
                    <w:color w:val="333333"/>
                    <w:sz w:val="10"/>
                  </w:rPr>
                </w:pPr>
              </w:p>
              <w:p>
                <w:pPr>
                  <w:jc w:val="both"/>
                  <w:rPr>
                    <w:rStyle w:val="C3"/>
                    <w:rFonts w:ascii="Tahoma" w:hAnsi="Tahoma"/>
                    <w:color w:val="333333"/>
                    <w:sz w:val="20"/>
                  </w:rPr>
                </w:pPr>
                <w:r>
                  <w:rPr>
                    <w:rStyle w:val="C3"/>
                    <w:rFonts w:ascii="Tahoma" w:hAnsi="Tahoma"/>
                    <w:color w:val="333333"/>
                    <w:sz w:val="20"/>
                  </w:rPr>
                  <w:t xml:space="preserve">Information and dissemination unit  </w:t>
                </w:r>
              </w:p>
              <w:p>
                <w:pPr>
                  <w:jc w:val="both"/>
                  <w:rPr>
                    <w:rStyle w:val="C3"/>
                    <w:rFonts w:ascii="Tahoma" w:hAnsi="Tahoma"/>
                    <w:color w:val="333333"/>
                    <w:sz w:val="20"/>
                  </w:rPr>
                </w:pPr>
                <w:r>
                  <w:rPr>
                    <w:rStyle w:val="C3"/>
                    <w:rFonts w:ascii="Tahoma" w:hAnsi="Tahoma"/>
                    <w:color w:val="333333"/>
                    <w:sz w:val="20"/>
                  </w:rPr>
                  <w:t>Phone: +381 11 2401 284</w:t>
                </w:r>
              </w:p>
              <w:p>
                <w:pPr>
                  <w:spacing w:after="120"/>
                  <w:jc w:val="both"/>
                  <w:rPr>
                    <w:rStyle w:val="C3"/>
                    <w:rFonts w:ascii="Tahoma" w:hAnsi="Tahoma"/>
                    <w:sz w:val="22"/>
                  </w:rPr>
                </w:pPr>
                <w:r>
                  <w:rPr>
                    <w:rStyle w:val="C3"/>
                    <w:rFonts w:ascii="Tahoma" w:hAnsi="Tahoma"/>
                    <w:color w:val="333333"/>
                    <w:sz w:val="20"/>
                  </w:rPr>
                  <w:t>stat@stat.gov.rs</w:t>
                </w:r>
              </w:p>
            </w:tc>
            <w:tc>
              <w:tcPr>
                <w:tcW w:w="5400" w:type="dxa"/>
              </w:tcPr>
              <w:p>
                <w:pPr>
                  <w:spacing w:before="120"/>
                  <w:jc w:val="center"/>
                  <w:rPr>
                    <w:rStyle w:val="C3"/>
                    <w:rFonts w:ascii="Tahoma" w:hAnsi="Tahoma"/>
                    <w:sz w:val="20"/>
                  </w:rPr>
                </w:pPr>
                <w:r>
                  <w:rPr>
                    <w:rStyle w:val="C3"/>
                    <w:rFonts w:ascii="Tahoma" w:hAnsi="Tahoma"/>
                    <w:sz w:val="20"/>
                  </w:rPr>
                  <w:t xml:space="preserve">  Director</w:t>
                </w:r>
              </w:p>
              <w:p>
                <w:pPr>
                  <w:ind w:left="972"/>
                  <w:jc w:val="both"/>
                  <w:rPr>
                    <w:rStyle w:val="C3"/>
                    <w:rFonts w:ascii="Tahoma" w:hAnsi="Tahoma"/>
                    <w:color w:val="808080"/>
                    <w:sz w:val="20"/>
                  </w:rPr>
                </w:pPr>
                <w:r>
                  <w:rPr>
                    <w:rStyle w:val="C3"/>
                    <w:rFonts w:ascii="Tahoma" w:hAnsi="Tahoma"/>
                    <w:sz w:val="20"/>
                  </w:rPr>
                  <w:t xml:space="preserve">        Dr Miladin Kovacevic</w:t>
                </w:r>
              </w:p>
              <w:p>
                <w:pPr>
                  <w:jc w:val="both"/>
                  <w:rPr>
                    <w:rStyle w:val="C3"/>
                    <w:rFonts w:ascii="Tahoma" w:hAnsi="Tahoma"/>
                    <w:sz w:val="20"/>
                  </w:rPr>
                </w:pPr>
              </w:p>
            </w:tc>
          </w:tr>
        </w:tbl>
        <w:p>
          <w:pPr>
            <w:jc w:val="both"/>
            <w:rPr>
              <w:rStyle w:val="C3"/>
              <w:rFonts w:ascii="Tahoma" w:hAnsi="Tahoma"/>
              <w:color w:val="333333"/>
              <w:sz w:val="22"/>
            </w:rPr>
          </w:pPr>
        </w:p>
      </w:tc>
      <w:tc>
        <w:tcPr>
          <w:tcW w:w="221" w:type="dxa"/>
        </w:tcPr>
        <w:p>
          <w:pPr>
            <w:rPr>
              <w:rStyle w:val="C3"/>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wAfter w:w="0" w:type="dxa"/>
      </w:trPr>
      <w:tc>
        <w:tcPr>
          <w:tcW w:w="10081" w:type="dxa"/>
          <w:tcBorders>
            <w:top w:val="none" w:sz="0" w:space="0" w:shadow="0" w:frame="0"/>
            <w:left w:val="none" w:sz="0" w:space="0" w:shadow="0" w:frame="0"/>
            <w:bottom w:val="none" w:sz="0" w:space="0" w:shadow="0" w:frame="0"/>
            <w:right w:val="none" w:sz="0" w:space="0" w:shadow="0" w:frame="0"/>
          </w:tcBorders>
        </w:tcPr>
        <w:p>
          <w:pPr>
            <w:jc w:val="both"/>
            <w:rPr>
              <w:rStyle w:val="C3"/>
              <w:rFonts w:ascii="Tahoma" w:hAnsi="Tahoma"/>
              <w:sz w:val="22"/>
            </w:rPr>
          </w:pPr>
        </w:p>
      </w:tc>
      <w:tc>
        <w:tcPr>
          <w:tcW w:w="221" w:type="dxa"/>
          <w:tcBorders>
            <w:top w:val="none" w:sz="0" w:space="0" w:shadow="0" w:frame="0"/>
            <w:left w:val="none" w:sz="0" w:space="0" w:shadow="0" w:frame="0"/>
            <w:bottom w:val="none" w:sz="0" w:space="0" w:shadow="0" w:frame="0"/>
            <w:right w:val="none" w:sz="0" w:space="0" w:shadow="0" w:frame="0"/>
          </w:tcBorders>
        </w:tcPr>
        <w:p>
          <w:pPr>
            <w:ind w:left="972"/>
            <w:jc w:val="both"/>
            <w:rPr>
              <w:rStyle w:val="C3"/>
              <w:rFonts w:ascii="Tahoma" w:hAnsi="Tahoma"/>
              <w:sz w:val="20"/>
            </w:rPr>
          </w:pPr>
        </w:p>
      </w:tc>
    </w:tr>
  </w:tbl>
  <w:p>
    <w:pPr>
      <w:pStyle w:val="P3"/>
      <w:rPr>
        <w:rStyle w:val="C3"/>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27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4428" w:type="dxa"/>
        </w:tcPr>
        <w:p>
          <w:pPr>
            <w:pStyle w:val="P2"/>
            <w:ind w:right="972"/>
            <w:rPr>
              <w:rStyle w:val="C3"/>
              <w:rFonts w:ascii="Arial" w:hAnsi="Arial"/>
              <w:color w:val="595959"/>
            </w:rPr>
          </w:pPr>
          <w:r>
            <w:drawing>
              <wp:inline xmlns:wp="http://schemas.openxmlformats.org/drawingml/2006/wordprocessingDrawing">
                <wp:extent cx="1564005" cy="70993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564005" cy="709930"/>
                        </a:xfrm>
                        <a:prstGeom prst="rect"/>
                        <a:noFill/>
                      </pic:spPr>
                    </pic:pic>
                  </a:graphicData>
                </a:graphic>
              </wp:inline>
            </w:drawing>
          </w:r>
        </w:p>
        <w:p>
          <w:pPr>
            <w:pStyle w:val="P2"/>
            <w:ind w:right="-195"/>
            <w:rPr>
              <w:rStyle w:val="C3"/>
              <w:rFonts w:ascii="Arial" w:hAnsi="Arial"/>
              <w:color w:val="595959"/>
              <w:sz w:val="20"/>
            </w:rPr>
          </w:pPr>
          <w:r>
            <w:rPr>
              <w:rStyle w:val="C3"/>
              <w:rFonts w:ascii="Arial" w:hAnsi="Arial"/>
              <w:color w:val="595959"/>
              <w:sz w:val="22"/>
            </w:rPr>
            <w:t>Statistical Office of the Republic of Serbia</w:t>
          </w:r>
        </w:p>
      </w:tc>
      <w:tc>
        <w:tcPr>
          <w:tcW w:w="5850" w:type="dxa"/>
        </w:tcPr>
        <w:p>
          <w:pPr>
            <w:pStyle w:val="P2"/>
            <w:jc w:val="right"/>
            <w:rPr>
              <w:rStyle w:val="C3"/>
              <w:rFonts w:ascii="Arial" w:hAnsi="Arial"/>
              <w:b w:val="1"/>
              <w:color w:val="595959"/>
              <w:sz w:val="28"/>
            </w:rPr>
          </w:pPr>
          <w:r>
            <w:rPr>
              <w:rStyle w:val="C3"/>
              <w:rFonts w:ascii="Arial" w:hAnsi="Arial"/>
              <w:b w:val="1"/>
              <w:color w:val="595959"/>
              <w:sz w:val="28"/>
            </w:rPr>
            <w:t>Press Release</w:t>
          </w:r>
        </w:p>
        <w:p>
          <w:pPr>
            <w:pStyle w:val="P2"/>
            <w:jc w:val="right"/>
            <w:rPr>
              <w:rStyle w:val="C3"/>
              <w:rFonts w:ascii="Arial" w:hAnsi="Arial"/>
              <w:color w:val="595959"/>
              <w:sz w:val="22"/>
            </w:rPr>
          </w:pPr>
        </w:p>
        <w:p>
          <w:pPr>
            <w:pStyle w:val="P2"/>
            <w:jc w:val="right"/>
            <w:rPr>
              <w:rStyle w:val="C3"/>
              <w:rFonts w:ascii="Arial" w:hAnsi="Arial"/>
              <w:color w:val="595959"/>
              <w:sz w:val="22"/>
            </w:rPr>
          </w:pPr>
          <w:r>
            <w:rPr>
              <w:rStyle w:val="C3"/>
              <w:rFonts w:ascii="Arial" w:hAnsi="Arial"/>
              <w:color w:val="595959"/>
              <w:sz w:val="22"/>
            </w:rPr>
            <w:t>Belgrade, Milana Rakica 5</w:t>
          </w:r>
        </w:p>
        <w:p>
          <w:pPr>
            <w:pStyle w:val="P2"/>
            <w:jc w:val="right"/>
            <w:rPr>
              <w:rStyle w:val="C3"/>
              <w:rFonts w:ascii="Arial" w:hAnsi="Arial"/>
              <w:color w:val="595959"/>
              <w:sz w:val="22"/>
            </w:rPr>
          </w:pPr>
          <w:r>
            <w:rPr>
              <w:rStyle w:val="C3"/>
              <w:rFonts w:ascii="Arial" w:hAnsi="Arial"/>
              <w:color w:val="595959"/>
              <w:sz w:val="22"/>
            </w:rPr>
            <w:t>Phone +381 11 2412-922</w:t>
          </w:r>
        </w:p>
        <w:p>
          <w:pPr>
            <w:pStyle w:val="P2"/>
            <w:jc w:val="right"/>
            <w:rPr>
              <w:rStyle w:val="C3"/>
              <w:rFonts w:ascii="Arial" w:hAnsi="Arial"/>
              <w:color w:val="595959"/>
              <w:sz w:val="22"/>
            </w:rPr>
          </w:pPr>
          <w:r>
            <w:rPr>
              <w:rStyle w:val="C3"/>
              <w:rFonts w:ascii="Arial" w:hAnsi="Arial"/>
              <w:color w:val="595959"/>
              <w:sz w:val="22"/>
            </w:rPr>
            <w:t>www.stat.gov.rs</w:t>
          </w:r>
        </w:p>
        <w:p>
          <w:pPr>
            <w:pStyle w:val="P2"/>
            <w:jc w:val="right"/>
            <w:rPr>
              <w:rStyle w:val="C3"/>
              <w:rFonts w:ascii="Arial" w:hAnsi="Arial"/>
              <w:color w:val="595959"/>
              <w:sz w:val="22"/>
            </w:rPr>
          </w:pPr>
          <w:r>
            <w:rPr>
              <w:rStyle w:val="C3"/>
              <w:rFonts w:ascii="Arial" w:hAnsi="Arial"/>
              <w:color w:val="595959"/>
              <w:sz w:val="22"/>
            </w:rPr>
            <w:t>stat@stat.gov.rs</w:t>
          </w:r>
        </w:p>
      </w:tc>
    </w:tr>
  </w:tbl>
  <w:p>
    <w:pPr>
      <w:pStyle w:val="P2"/>
      <w:rPr>
        <w:rStyle w:val="C3"/>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rPr>
        <w:rStyle w:val="C3"/>
        <w:rFonts w:ascii="Tahoma" w:hAnsi="Tahoma"/>
        <w:sz w:val="22"/>
      </w:rPr>
    </w:pPr>
  </w:p>
  <w:p>
    <w:pPr>
      <w:pStyle w:val="P2"/>
      <w:jc w:val="right"/>
      <w:rPr>
        <w:rStyle w:val="C3"/>
        <w:rFonts w:ascii="Tahoma" w:hAnsi="Tahoma"/>
        <w:sz w:val="22"/>
      </w:rPr>
    </w:pPr>
  </w:p>
  <w:p>
    <w:pPr>
      <w:pStyle w:val="P2"/>
      <w:rPr>
        <w:rStyle w:val="C3"/>
      </w:rPr>
    </w:pPr>
  </w:p>
</w:hdr>
</file>

<file path=word/numbering.xml><?xml version="1.0" encoding="utf-8"?>
<w:numbering xmlns:w="http://schemas.openxmlformats.org/wordprocessingml/2006/main">
  <w:abstractNum w:abstractNumId="0">
    <w:nsid w:val="0D7C7C46"/>
    <w:multiLevelType w:val="hybridMultilevel"/>
    <w:lvl w:ilvl="0" w:tplc="7C249670">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66B4D0A"/>
    <w:multiLevelType w:val="hybridMultilevel"/>
    <w:lvl w:ilvl="0" w:tplc="4874894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229E3914"/>
    <w:multiLevelType w:val="hybridMultilevel"/>
    <w:lvl w:ilvl="0" w:tplc="6F1C01DE">
      <w:start w:val="1"/>
      <w:numFmt w:val="bullet"/>
      <w:suff w:val="tab"/>
      <w:lvlText w:val="-"/>
      <w:lvlJc w:val="left"/>
      <w:pPr>
        <w:ind w:hanging="360" w:left="720"/>
      </w:pPr>
      <w:rPr>
        <w:rFonts w:ascii="Arial" w:hAnsi="Arial"/>
      </w:rPr>
    </w:lvl>
    <w:lvl w:ilvl="1" w:tplc="5F4392A1">
      <w:start w:val="1"/>
      <w:numFmt w:val="bullet"/>
      <w:suff w:val="tab"/>
      <w:lvlText w:val="o"/>
      <w:lvlJc w:val="left"/>
      <w:pPr>
        <w:ind w:hanging="360" w:left="1440"/>
      </w:pPr>
      <w:rPr>
        <w:rFonts w:ascii="Courier New" w:hAnsi="Courier New"/>
      </w:rPr>
    </w:lvl>
    <w:lvl w:ilvl="2" w:tplc="6683697B">
      <w:start w:val="1"/>
      <w:numFmt w:val="bullet"/>
      <w:suff w:val="tab"/>
      <w:lvlText w:val=""/>
      <w:lvlJc w:val="left"/>
      <w:pPr>
        <w:ind w:hanging="360" w:left="2160"/>
      </w:pPr>
      <w:rPr>
        <w:rFonts w:ascii="Wingdings" w:hAnsi="Wingdings"/>
      </w:rPr>
    </w:lvl>
    <w:lvl w:ilvl="3" w:tplc="50E2018B">
      <w:start w:val="1"/>
      <w:numFmt w:val="bullet"/>
      <w:suff w:val="tab"/>
      <w:lvlText w:val=""/>
      <w:lvlJc w:val="left"/>
      <w:pPr>
        <w:ind w:hanging="360" w:left="2880"/>
      </w:pPr>
      <w:rPr>
        <w:rFonts w:ascii="Symbol" w:hAnsi="Symbol"/>
      </w:rPr>
    </w:lvl>
    <w:lvl w:ilvl="4" w:tplc="191663D7">
      <w:start w:val="1"/>
      <w:numFmt w:val="bullet"/>
      <w:suff w:val="tab"/>
      <w:lvlText w:val="o"/>
      <w:lvlJc w:val="left"/>
      <w:pPr>
        <w:ind w:hanging="360" w:left="3600"/>
      </w:pPr>
      <w:rPr>
        <w:rFonts w:ascii="Courier New" w:hAnsi="Courier New"/>
      </w:rPr>
    </w:lvl>
    <w:lvl w:ilvl="5" w:tplc="39F88E40">
      <w:start w:val="1"/>
      <w:numFmt w:val="bullet"/>
      <w:suff w:val="tab"/>
      <w:lvlText w:val=""/>
      <w:lvlJc w:val="left"/>
      <w:pPr>
        <w:ind w:hanging="360" w:left="4320"/>
      </w:pPr>
      <w:rPr>
        <w:rFonts w:ascii="Wingdings" w:hAnsi="Wingdings"/>
      </w:rPr>
    </w:lvl>
    <w:lvl w:ilvl="6" w:tplc="03E9E2BC">
      <w:start w:val="1"/>
      <w:numFmt w:val="bullet"/>
      <w:suff w:val="tab"/>
      <w:lvlText w:val=""/>
      <w:lvlJc w:val="left"/>
      <w:pPr>
        <w:ind w:hanging="360" w:left="5040"/>
      </w:pPr>
      <w:rPr>
        <w:rFonts w:ascii="Symbol" w:hAnsi="Symbol"/>
      </w:rPr>
    </w:lvl>
    <w:lvl w:ilvl="7" w:tplc="10FAF318">
      <w:start w:val="1"/>
      <w:numFmt w:val="bullet"/>
      <w:suff w:val="tab"/>
      <w:lvlText w:val="o"/>
      <w:lvlJc w:val="left"/>
      <w:pPr>
        <w:ind w:hanging="360" w:left="5760"/>
      </w:pPr>
      <w:rPr>
        <w:rFonts w:ascii="Courier New" w:hAnsi="Courier New"/>
      </w:rPr>
    </w:lvl>
    <w:lvl w:ilvl="8" w:tplc="6AEF487D">
      <w:start w:val="1"/>
      <w:numFmt w:val="bullet"/>
      <w:suff w:val="tab"/>
      <w:lvlText w:val=""/>
      <w:lvlJc w:val="left"/>
      <w:pPr>
        <w:ind w:hanging="360" w:left="6480"/>
      </w:pPr>
      <w:rPr>
        <w:rFonts w:ascii="Wingdings" w:hAnsi="Wingdings"/>
      </w:rPr>
    </w:lvl>
  </w:abstractNum>
  <w:abstractNum w:abstractNumId="3">
    <w:nsid w:val="3CD7487B"/>
    <w:multiLevelType w:val="multilevel"/>
    <w:lvl w:ilvl="0">
      <w:start w:val="1"/>
      <w:numFmt w:val="decimal"/>
      <w:suff w:val="tab"/>
      <w:lvlText w:val="%1."/>
      <w:lvlJc w:val="left"/>
      <w:pPr>
        <w:ind w:hanging="360" w:left="644"/>
      </w:pPr>
      <w:rPr/>
    </w:lvl>
    <w:lvl w:ilvl="1">
      <w:start w:val="1"/>
      <w:numFmt w:val="lowerLetter"/>
      <w:suff w:val="tab"/>
      <w:lvlText w:val="%2."/>
      <w:lvlJc w:val="left"/>
      <w:pPr>
        <w:ind w:hanging="360" w:left="1364"/>
      </w:pPr>
      <w:rPr/>
    </w:lvl>
    <w:lvl w:ilvl="2">
      <w:start w:val="1"/>
      <w:numFmt w:val="lowerRoman"/>
      <w:suff w:val="tab"/>
      <w:lvlText w:val="%3."/>
      <w:lvlJc w:val="right"/>
      <w:pPr>
        <w:ind w:hanging="180" w:left="2084"/>
      </w:pPr>
      <w:rPr/>
    </w:lvl>
    <w:lvl w:ilvl="3">
      <w:start w:val="1"/>
      <w:numFmt w:val="decimal"/>
      <w:suff w:val="tab"/>
      <w:lvlText w:val="%4."/>
      <w:lvlJc w:val="left"/>
      <w:pPr>
        <w:ind w:hanging="360" w:left="2804"/>
      </w:pPr>
      <w:rPr/>
    </w:lvl>
    <w:lvl w:ilvl="4">
      <w:start w:val="1"/>
      <w:numFmt w:val="lowerLetter"/>
      <w:suff w:val="tab"/>
      <w:lvlText w:val="%5."/>
      <w:lvlJc w:val="left"/>
      <w:pPr>
        <w:ind w:hanging="360" w:left="3524"/>
      </w:pPr>
      <w:rPr/>
    </w:lvl>
    <w:lvl w:ilvl="5">
      <w:start w:val="1"/>
      <w:numFmt w:val="lowerRoman"/>
      <w:suff w:val="tab"/>
      <w:lvlText w:val="%6."/>
      <w:lvlJc w:val="right"/>
      <w:pPr>
        <w:ind w:hanging="180" w:left="4244"/>
      </w:pPr>
      <w:rPr/>
    </w:lvl>
    <w:lvl w:ilvl="6">
      <w:start w:val="1"/>
      <w:numFmt w:val="decimal"/>
      <w:suff w:val="tab"/>
      <w:lvlText w:val="%7."/>
      <w:lvlJc w:val="left"/>
      <w:pPr>
        <w:ind w:hanging="360" w:left="4964"/>
      </w:pPr>
      <w:rPr/>
    </w:lvl>
    <w:lvl w:ilvl="7">
      <w:start w:val="1"/>
      <w:numFmt w:val="lowerLetter"/>
      <w:suff w:val="tab"/>
      <w:lvlText w:val="%8."/>
      <w:lvlJc w:val="left"/>
      <w:pPr>
        <w:ind w:hanging="360" w:left="5684"/>
      </w:pPr>
      <w:rPr/>
    </w:lvl>
    <w:lvl w:ilvl="8">
      <w:start w:val="1"/>
      <w:numFmt w:val="lowerRoman"/>
      <w:suff w:val="tab"/>
      <w:lvlText w:val="%9."/>
      <w:lvlJc w:val="right"/>
      <w:pPr>
        <w:ind w:hanging="180" w:left="6404"/>
      </w:pPr>
      <w:rPr/>
    </w:lvl>
  </w:abstractNum>
  <w:abstractNum w:abstractNumId="4">
    <w:nsid w:val="55D9316C"/>
    <w:multiLevelType w:val="multilevel"/>
    <w:lvl w:ilvl="0">
      <w:start w:val="1"/>
      <w:numFmt w:val="decimal"/>
      <w:suff w:val="tab"/>
      <w:lvlText w:val="%1."/>
      <w:lvlJc w:val="left"/>
      <w:pPr>
        <w:ind w:hanging="360" w:left="644"/>
      </w:pPr>
      <w:rPr/>
    </w:lvl>
    <w:lvl w:ilvl="1">
      <w:start w:val="1"/>
      <w:numFmt w:val="lowerLetter"/>
      <w:suff w:val="tab"/>
      <w:lvlText w:val="%2."/>
      <w:lvlJc w:val="left"/>
      <w:pPr>
        <w:ind w:hanging="360" w:left="1364"/>
      </w:pPr>
      <w:rPr/>
    </w:lvl>
    <w:lvl w:ilvl="2">
      <w:start w:val="1"/>
      <w:numFmt w:val="lowerRoman"/>
      <w:suff w:val="tab"/>
      <w:lvlText w:val="%3."/>
      <w:lvlJc w:val="right"/>
      <w:pPr>
        <w:ind w:hanging="180" w:left="2084"/>
      </w:pPr>
      <w:rPr/>
    </w:lvl>
    <w:lvl w:ilvl="3">
      <w:start w:val="1"/>
      <w:numFmt w:val="decimal"/>
      <w:suff w:val="tab"/>
      <w:lvlText w:val="%4."/>
      <w:lvlJc w:val="left"/>
      <w:pPr>
        <w:ind w:hanging="360" w:left="2804"/>
      </w:pPr>
      <w:rPr/>
    </w:lvl>
    <w:lvl w:ilvl="4">
      <w:start w:val="1"/>
      <w:numFmt w:val="lowerLetter"/>
      <w:suff w:val="tab"/>
      <w:lvlText w:val="%5."/>
      <w:lvlJc w:val="left"/>
      <w:pPr>
        <w:ind w:hanging="360" w:left="3524"/>
      </w:pPr>
      <w:rPr/>
    </w:lvl>
    <w:lvl w:ilvl="5">
      <w:start w:val="1"/>
      <w:numFmt w:val="lowerRoman"/>
      <w:suff w:val="tab"/>
      <w:lvlText w:val="%6."/>
      <w:lvlJc w:val="right"/>
      <w:pPr>
        <w:ind w:hanging="180" w:left="4244"/>
      </w:pPr>
      <w:rPr/>
    </w:lvl>
    <w:lvl w:ilvl="6">
      <w:start w:val="1"/>
      <w:numFmt w:val="decimal"/>
      <w:suff w:val="tab"/>
      <w:lvlText w:val="%7."/>
      <w:lvlJc w:val="left"/>
      <w:pPr>
        <w:ind w:hanging="360" w:left="4964"/>
      </w:pPr>
      <w:rPr/>
    </w:lvl>
    <w:lvl w:ilvl="7">
      <w:start w:val="1"/>
      <w:numFmt w:val="lowerLetter"/>
      <w:suff w:val="tab"/>
      <w:lvlText w:val="%8."/>
      <w:lvlJc w:val="left"/>
      <w:pPr>
        <w:ind w:hanging="360" w:left="5684"/>
      </w:pPr>
      <w:rPr/>
    </w:lvl>
    <w:lvl w:ilvl="8">
      <w:start w:val="1"/>
      <w:numFmt w:val="lowerRoman"/>
      <w:suff w:val="tab"/>
      <w:lvlText w:val="%9."/>
      <w:lvlJc w:val="right"/>
      <w:pPr>
        <w:ind w:hanging="180" w:left="6404"/>
      </w:pPr>
      <w:rPr/>
    </w:lvl>
  </w:abstractNum>
  <w:abstractNum w:abstractNumId="5">
    <w:nsid w:val="77084D08"/>
    <w:multiLevelType w:val="multilevel"/>
    <w:lvl w:ilvl="0">
      <w:start w:val="1"/>
      <w:numFmt w:val="decimal"/>
      <w:suff w:val="tab"/>
      <w:lvlText w:val="%1."/>
      <w:lvlJc w:val="left"/>
      <w:pPr>
        <w:ind w:hanging="360" w:left="644"/>
      </w:pPr>
      <w:rPr/>
    </w:lvl>
    <w:lvl w:ilvl="1">
      <w:start w:val="1"/>
      <w:numFmt w:val="lowerLetter"/>
      <w:suff w:val="tab"/>
      <w:lvlText w:val="%2."/>
      <w:lvlJc w:val="left"/>
      <w:pPr>
        <w:ind w:hanging="360" w:left="1364"/>
      </w:pPr>
      <w:rPr/>
    </w:lvl>
    <w:lvl w:ilvl="2">
      <w:start w:val="1"/>
      <w:numFmt w:val="lowerRoman"/>
      <w:suff w:val="tab"/>
      <w:lvlText w:val="%3."/>
      <w:lvlJc w:val="right"/>
      <w:pPr>
        <w:ind w:hanging="180" w:left="2084"/>
      </w:pPr>
      <w:rPr/>
    </w:lvl>
    <w:lvl w:ilvl="3">
      <w:start w:val="1"/>
      <w:numFmt w:val="decimal"/>
      <w:suff w:val="tab"/>
      <w:lvlText w:val="%4."/>
      <w:lvlJc w:val="left"/>
      <w:pPr>
        <w:ind w:hanging="360" w:left="2804"/>
      </w:pPr>
      <w:rPr/>
    </w:lvl>
    <w:lvl w:ilvl="4">
      <w:start w:val="1"/>
      <w:numFmt w:val="lowerLetter"/>
      <w:suff w:val="tab"/>
      <w:lvlText w:val="%5."/>
      <w:lvlJc w:val="left"/>
      <w:pPr>
        <w:ind w:hanging="360" w:left="3524"/>
      </w:pPr>
      <w:rPr/>
    </w:lvl>
    <w:lvl w:ilvl="5">
      <w:start w:val="1"/>
      <w:numFmt w:val="lowerRoman"/>
      <w:suff w:val="tab"/>
      <w:lvlText w:val="%6."/>
      <w:lvlJc w:val="right"/>
      <w:pPr>
        <w:ind w:hanging="180" w:left="4244"/>
      </w:pPr>
      <w:rPr/>
    </w:lvl>
    <w:lvl w:ilvl="6">
      <w:start w:val="1"/>
      <w:numFmt w:val="decimal"/>
      <w:suff w:val="tab"/>
      <w:lvlText w:val="%7."/>
      <w:lvlJc w:val="left"/>
      <w:pPr>
        <w:ind w:hanging="360" w:left="4964"/>
      </w:pPr>
      <w:rPr/>
    </w:lvl>
    <w:lvl w:ilvl="7">
      <w:start w:val="1"/>
      <w:numFmt w:val="lowerLetter"/>
      <w:suff w:val="tab"/>
      <w:lvlText w:val="%8."/>
      <w:lvlJc w:val="left"/>
      <w:pPr>
        <w:ind w:hanging="360" w:left="5684"/>
      </w:pPr>
      <w:rPr/>
    </w:lvl>
    <w:lvl w:ilvl="8">
      <w:start w:val="1"/>
      <w:numFmt w:val="lowerRoman"/>
      <w:suff w:val="tab"/>
      <w:lvlText w:val="%9."/>
      <w:lvlJc w:val="right"/>
      <w:pPr>
        <w:ind w:hanging="180" w:left="6404"/>
      </w:pPr>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4"/>
    <w:basedOn w:val="P0"/>
    <w:next w:val="P0"/>
    <w:link w:val="C11"/>
    <w:qFormat/>
    <w:pPr>
      <w:keepNext w:val="1"/>
      <w:spacing w:before="240" w:after="60"/>
      <w:outlineLvl w:val="3"/>
    </w:pPr>
    <w:rPr>
      <w:rFonts w:ascii="Calibri" w:hAnsi="Calibri"/>
      <w:b w:val="1"/>
      <w:sz w:val="28"/>
    </w:rPr>
  </w:style>
  <w:style w:type="paragraph" w:styleId="P2">
    <w:name w:val="Header"/>
    <w:basedOn w:val="P0"/>
    <w:next w:val="P2"/>
    <w:pPr>
      <w:tabs>
        <w:tab w:val="center" w:pos="4320" w:leader="none"/>
        <w:tab w:val="right" w:pos="8640" w:leader="none"/>
      </w:tabs>
    </w:pPr>
    <w:rPr/>
  </w:style>
  <w:style w:type="paragraph" w:styleId="P3">
    <w:name w:val="Footer"/>
    <w:basedOn w:val="P0"/>
    <w:next w:val="P3"/>
    <w:link w:val="C8"/>
    <w:pPr>
      <w:tabs>
        <w:tab w:val="center" w:pos="4320" w:leader="none"/>
        <w:tab w:val="right" w:pos="8640" w:leader="none"/>
      </w:tabs>
    </w:pPr>
    <w:rPr/>
  </w:style>
  <w:style w:type="paragraph" w:styleId="P4">
    <w:name w:val="Body Text"/>
    <w:basedOn w:val="P0"/>
    <w:next w:val="P4"/>
    <w:pPr>
      <w:spacing w:after="120"/>
    </w:pPr>
    <w:rPr/>
  </w:style>
  <w:style w:type="paragraph" w:styleId="P5">
    <w:name w:val=" Char Char Char Char"/>
    <w:basedOn w:val="P0"/>
    <w:next w:val="P5"/>
    <w:link w:val="C3"/>
    <w:pPr>
      <w:spacing w:lineRule="exact" w:line="240" w:after="160"/>
    </w:pPr>
    <w:rPr>
      <w:rFonts w:ascii="Verdana" w:hAnsi="Verdana"/>
      <w:i w:val="1"/>
      <w:sz w:val="20"/>
    </w:rPr>
  </w:style>
  <w:style w:type="paragraph" w:styleId="P6">
    <w:name w:val="Normal (Web)"/>
    <w:basedOn w:val="P0"/>
    <w:next w:val="P6"/>
    <w:pPr>
      <w:spacing w:before="100" w:after="100" w:beforeAutospacing="1" w:afterAutospacing="1"/>
    </w:pPr>
    <w:rPr/>
  </w:style>
  <w:style w:type="paragraph" w:styleId="P7">
    <w:name w:val="Balloon Text"/>
    <w:basedOn w:val="P0"/>
    <w:next w:val="P7"/>
    <w:link w:val="C4"/>
    <w:pPr/>
    <w:rPr>
      <w:rFonts w:ascii="Segoe UI" w:hAnsi="Segoe UI"/>
      <w:sz w:val="18"/>
    </w:rPr>
  </w:style>
  <w:style w:type="paragraph" w:styleId="P8">
    <w:name w:val="Footnote Text"/>
    <w:basedOn w:val="P0"/>
    <w:next w:val="P8"/>
    <w:link w:val="C5"/>
    <w:pPr/>
    <w:rPr>
      <w:rFonts w:ascii="Calibri" w:hAnsi="Calibri"/>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Default Paragraph Font"/>
    <w:aliases w:val=" Char Char Char Char Char Char"/>
    <w:link w:val="P5"/>
    <w:rPr>
      <w:rFonts w:ascii="Verdana" w:hAnsi="Verdana"/>
      <w:i w:val="1"/>
      <w:sz w:val="20"/>
    </w:rPr>
  </w:style>
  <w:style w:type="character" w:styleId="C4">
    <w:name w:val="Balloon Text Char"/>
    <w:link w:val="P7"/>
    <w:rPr>
      <w:rFonts w:ascii="Segoe UI" w:hAnsi="Segoe UI"/>
      <w:sz w:val="18"/>
    </w:rPr>
  </w:style>
  <w:style w:type="character" w:styleId="C5">
    <w:name w:val="Footnote Text Char"/>
    <w:link w:val="P8"/>
    <w:rPr>
      <w:rFonts w:ascii="Calibri" w:hAnsi="Calibri"/>
      <w:sz w:val="20"/>
    </w:rPr>
  </w:style>
  <w:style w:type="character" w:styleId="C6">
    <w:name w:val="Footnote Reference"/>
    <w:rPr>
      <w:vertAlign w:val="superscript"/>
    </w:rPr>
  </w:style>
  <w:style w:type="character" w:styleId="C7">
    <w:name w:val="FollowedHyperlink"/>
    <w:rPr>
      <w:color w:val="954F72"/>
      <w:u w:val="single"/>
    </w:rPr>
  </w:style>
  <w:style w:type="character" w:styleId="C8">
    <w:name w:val="Footer Char"/>
    <w:link w:val="P3"/>
    <w:rPr/>
  </w:style>
  <w:style w:type="character" w:styleId="C9">
    <w:name w:val="Intense Emphasis"/>
    <w:qFormat/>
    <w:rPr>
      <w:i w:val="1"/>
      <w:color w:val="5B9BD5"/>
    </w:rPr>
  </w:style>
  <w:style w:type="character" w:styleId="C10">
    <w:name w:val="Intense Reference"/>
    <w:qFormat/>
    <w:rPr>
      <w:b w:val="1"/>
      <w:color w:val="5B9BD5"/>
    </w:rPr>
  </w:style>
  <w:style w:type="character" w:styleId="C11">
    <w:name w:val="Heading 4 Char"/>
    <w:link w:val="P1"/>
    <w:rPr>
      <w:rFonts w:ascii="Calibri" w:hAnsi="Calibri"/>
      <w:b w:val="1"/>
      <w:sz w:val="28"/>
    </w:rPr>
  </w:style>
  <w:style w:type="character" w:styleId="C12">
    <w:name w:val="Page Number"/>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2018-04-12T11:02:00Z</dcterms:created>
  <cp:lastModifiedBy>Nikola Kapetanovic</cp:lastModifiedBy>
  <cp:lastPrinted>2017-05-23T06:40:00Z</cp:lastPrinted>
  <dcterms:modified xsi:type="dcterms:W3CDTF">2020-01-10T11:38:03Z</dcterms:modified>
  <cp:revision>3</cp:revision>
  <dc:title>16</dc:title>
</cp:coreProperties>
</file>