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5A7B901F" Type="http://schemas.openxmlformats.org/officeDocument/2006/relationships/officeDocument" Target="/word/document.xml" /><Relationship Id="coreR5A7B901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10391" w:type="dxa"/>
        <w:tblBorders>
          <w:top w:val="none" w:sz="0" w:space="0" w:shadow="0" w:frame="0"/>
          <w:left w:val="none" w:sz="0" w:space="0" w:shadow="0" w:frame="0"/>
          <w:bottom w:val="none" w:sz="0" w:space="0" w:shadow="0" w:frame="0"/>
          <w:right w:val="none" w:sz="0" w:space="0" w:shadow="0" w:frame="0"/>
          <w:insideH w:val="single" w:sz="4" w:space="0" w:shadow="0" w:frame="0"/>
          <w:insideV w:val="single" w:sz="4" w:space="0" w:shadow="0" w:frame="0"/>
        </w:tblBorders>
        <w:tblLayout w:type="autofit"/>
      </w:tblPr>
      <w:tblGrid/>
      <w:tr>
        <w:trPr>
          <w:wAfter w:w="0" w:type="dxa"/>
          <w:trHeight w:hRule="atLeast" w:val="8931"/>
        </w:trPr>
        <w:tc>
          <w:tcPr>
            <w:tcW w:w="10391" w:type="dxa"/>
          </w:tcPr>
          <w:p>
            <w:pPr>
              <w:jc w:val="right"/>
              <w:rPr>
                <w:rFonts w:ascii="Tahoma" w:hAnsi="Tahoma"/>
                <w:sz w:val="23"/>
              </w:rPr>
            </w:pPr>
            <w:r>
              <w:rPr>
                <w:rFonts w:ascii="Tahoma" w:hAnsi="Tahoma"/>
                <w:sz w:val="23"/>
              </w:rPr>
              <w:t>28.02.2018</w:t>
            </w:r>
          </w:p>
          <w:tbl>
            <w:tblPr>
              <w:tblStyle w:val="T2"/>
              <w:tblW w:w="0" w:type="auto"/>
              <w:tblInd w:w="1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wAfter w:w="0" w:type="dxa"/>
                <w:trHeight w:hRule="atLeast" w:val="1143"/>
              </w:trPr>
              <w:tc>
                <w:tcPr>
                  <w:tcW w:w="9871" w:type="dxa"/>
                  <w:tcBorders>
                    <w:top w:val="none" w:sz="0" w:space="0" w:shadow="0" w:frame="0"/>
                    <w:left w:val="none" w:sz="0" w:space="0" w:shadow="0" w:frame="0"/>
                    <w:bottom w:val="none" w:sz="0" w:space="0" w:shadow="0" w:frame="0"/>
                    <w:right w:val="none" w:sz="0" w:space="0" w:shadow="0" w:frame="0"/>
                  </w:tcBorders>
                </w:tcPr>
                <w:p>
                  <w:pPr>
                    <w:tabs>
                      <w:tab w:val="left" w:pos="684" w:leader="none"/>
                    </w:tabs>
                    <w:jc w:val="center"/>
                    <w:rPr>
                      <w:rFonts w:ascii="Tahoma" w:hAnsi="Tahoma"/>
                      <w:sz w:val="23"/>
                    </w:rPr>
                  </w:pPr>
                </w:p>
                <w:p>
                  <w:pPr>
                    <w:tabs>
                      <w:tab w:val="left" w:pos="684" w:leader="none"/>
                    </w:tabs>
                    <w:jc w:val="center"/>
                    <w:rPr>
                      <w:rFonts w:ascii="Tahoma" w:hAnsi="Tahoma"/>
                      <w:b w:val="1"/>
                      <w:sz w:val="23"/>
                    </w:rPr>
                  </w:pPr>
                </w:p>
                <w:p>
                  <w:pPr>
                    <w:tabs>
                      <w:tab w:val="left" w:pos="684" w:leader="none"/>
                    </w:tabs>
                    <w:jc w:val="center"/>
                    <w:rPr>
                      <w:rFonts w:ascii="Tahoma" w:hAnsi="Tahoma"/>
                      <w:b w:val="1"/>
                      <w:sz w:val="23"/>
                    </w:rPr>
                  </w:pPr>
                </w:p>
                <w:p>
                  <w:pPr>
                    <w:tabs>
                      <w:tab w:val="left" w:pos="684" w:leader="none"/>
                    </w:tabs>
                    <w:jc w:val="center"/>
                    <w:rPr>
                      <w:rFonts w:ascii="Tahoma" w:hAnsi="Tahoma"/>
                      <w:b w:val="1"/>
                      <w:sz w:val="23"/>
                    </w:rPr>
                  </w:pPr>
                  <w:r>
                    <w:rPr>
                      <w:rFonts w:ascii="Tahoma" w:hAnsi="Tahoma"/>
                      <w:b w:val="1"/>
                      <w:sz w:val="23"/>
                    </w:rPr>
                    <w:t>Quarterly Gross Domestic Product in the Republic of Serbia</w:t>
                  </w:r>
                </w:p>
                <w:p>
                  <w:pPr>
                    <w:tabs>
                      <w:tab w:val="left" w:pos="684" w:leader="none"/>
                    </w:tabs>
                    <w:jc w:val="center"/>
                    <w:rPr>
                      <w:rFonts w:ascii="Tahoma" w:hAnsi="Tahoma"/>
                      <w:b w:val="1"/>
                      <w:sz w:val="23"/>
                    </w:rPr>
                  </w:pPr>
                  <w:r>
                    <w:rPr>
                      <w:rFonts w:ascii="Tahoma" w:hAnsi="Tahoma"/>
                      <w:b w:val="1"/>
                      <w:sz w:val="23"/>
                    </w:rPr>
                    <w:t xml:space="preserve">– </w:t>
                  </w:r>
                  <w:r>
                    <w:rPr>
                      <w:rFonts w:ascii="Tahoma" w:hAnsi="Tahoma"/>
                      <w:b w:val="1"/>
                      <w:sz w:val="23"/>
                    </w:rPr>
                    <w:t>4</w:t>
                  </w:r>
                  <w:r>
                    <w:rPr>
                      <w:rFonts w:ascii="Tahoma" w:hAnsi="Tahoma"/>
                      <w:b w:val="1"/>
                      <w:sz w:val="23"/>
                      <w:vertAlign w:val="superscript"/>
                    </w:rPr>
                    <w:t>th</w:t>
                  </w:r>
                  <w:r>
                    <w:rPr>
                      <w:rFonts w:ascii="Tahoma" w:hAnsi="Tahoma"/>
                      <w:b w:val="1"/>
                      <w:sz w:val="23"/>
                    </w:rPr>
                    <w:t xml:space="preserve"> Quarter 201</w:t>
                  </w:r>
                  <w:r>
                    <w:rPr>
                      <w:rFonts w:ascii="Tahoma" w:hAnsi="Tahoma"/>
                      <w:b w:val="1"/>
                      <w:sz w:val="23"/>
                    </w:rPr>
                    <w:t>7</w:t>
                  </w:r>
                  <w:r>
                    <w:rPr>
                      <w:rFonts w:ascii="Tahoma" w:hAnsi="Tahoma"/>
                      <w:b w:val="1"/>
                      <w:sz w:val="23"/>
                    </w:rPr>
                    <w:t xml:space="preserve"> –</w:t>
                  </w:r>
                </w:p>
                <w:p>
                  <w:pPr>
                    <w:jc w:val="center"/>
                    <w:rPr>
                      <w:rFonts w:ascii="Tahoma" w:hAnsi="Tahoma"/>
                      <w:sz w:val="16"/>
                    </w:rPr>
                  </w:pPr>
                </w:p>
              </w:tc>
            </w:tr>
          </w:tbl>
          <w:p>
            <w:pPr>
              <w:jc w:val="both"/>
              <w:rPr>
                <w:rFonts w:ascii="Tahoma" w:hAnsi="Tahoma"/>
                <w:sz w:val="16"/>
              </w:rPr>
            </w:pPr>
          </w:p>
          <w:p>
            <w:pPr>
              <w:spacing w:lineRule="auto" w:line="276"/>
              <w:ind w:firstLine="397"/>
              <w:jc w:val="both"/>
              <w:rPr>
                <w:rFonts w:ascii="Tahoma" w:hAnsi="Tahoma"/>
                <w:sz w:val="22"/>
              </w:rPr>
            </w:pPr>
            <w:r>
              <w:rPr>
                <w:rFonts w:ascii="Tahoma" w:hAnsi="Tahoma"/>
                <w:sz w:val="22"/>
              </w:rPr>
              <w:t xml:space="preserve">In this statistical release Statistical Office of the Republic of Serbia communicates results of the quarterly gross domestic product calculations according to production and expenditure approach, at current and constant prices. </w:t>
            </w:r>
          </w:p>
          <w:p>
            <w:pPr>
              <w:spacing w:lineRule="auto" w:line="276"/>
              <w:ind w:firstLine="397"/>
              <w:jc w:val="both"/>
              <w:rPr>
                <w:sz w:val="22"/>
              </w:rPr>
            </w:pPr>
          </w:p>
          <w:p>
            <w:pPr>
              <w:spacing w:lineRule="auto" w:line="276"/>
              <w:ind w:firstLine="397"/>
              <w:jc w:val="both"/>
              <w:rPr>
                <w:rFonts w:ascii="Tahoma" w:hAnsi="Tahoma"/>
                <w:sz w:val="22"/>
              </w:rPr>
            </w:pPr>
            <w:r>
              <w:rPr>
                <w:rFonts w:ascii="Tahoma" w:hAnsi="Tahoma"/>
                <w:sz w:val="22"/>
              </w:rPr>
              <w:t xml:space="preserve">The real GDP growth in the fourth quarter of 2017, compared to the corresponding period of the previous year, amounted 2.5%. </w:t>
            </w:r>
          </w:p>
          <w:p>
            <w:pPr>
              <w:spacing w:lineRule="auto" w:line="276"/>
              <w:ind w:firstLine="397"/>
              <w:jc w:val="both"/>
              <w:rPr>
                <w:rFonts w:ascii="Tahoma" w:hAnsi="Tahoma"/>
                <w:sz w:val="22"/>
              </w:rPr>
            </w:pPr>
          </w:p>
          <w:p>
            <w:pPr>
              <w:spacing w:lineRule="auto" w:line="276"/>
              <w:ind w:firstLine="397"/>
              <w:jc w:val="both"/>
              <w:rPr>
                <w:rFonts w:ascii="Tahoma" w:hAnsi="Tahoma"/>
                <w:sz w:val="22"/>
              </w:rPr>
            </w:pPr>
            <w:r>
              <w:rPr>
                <w:rFonts w:ascii="Tahoma" w:hAnsi="Tahoma"/>
                <w:sz w:val="22"/>
              </w:rPr>
              <w:t xml:space="preserve">According to seasonally adjusted GDP data, gross domestic product increased by 0.6% in the fourth quarter of 2017, compared to the previous quarter. </w:t>
            </w:r>
          </w:p>
          <w:p>
            <w:pPr>
              <w:spacing w:lineRule="auto" w:line="276"/>
              <w:ind w:firstLine="397"/>
              <w:jc w:val="both"/>
              <w:rPr>
                <w:rFonts w:ascii="Tahoma" w:hAnsi="Tahoma"/>
                <w:sz w:val="22"/>
              </w:rPr>
            </w:pPr>
          </w:p>
          <w:p>
            <w:pPr>
              <w:spacing w:lineRule="auto" w:line="276"/>
              <w:ind w:firstLine="397"/>
              <w:jc w:val="both"/>
              <w:rPr>
                <w:rFonts w:ascii="Tahoma" w:hAnsi="Tahoma"/>
                <w:sz w:val="22"/>
              </w:rPr>
            </w:pPr>
            <w:r>
              <w:rPr>
                <w:rFonts w:ascii="Tahoma" w:hAnsi="Tahoma"/>
                <w:sz w:val="22"/>
              </w:rPr>
              <w:t>Observed by activities, in the fourth quarter of 2017, compared to the same quarter of the previous year, significant real growth in the gross value added was recorded in the section of construction – 17.8%, the section of wholesale and retail trade; repair of motor vehicles and motorcycles; transportation and storage and accommodation and food service activities – 4.9% and the section of industry; water supply, sewerage, waste management and remediation – 3.7%. Real fall in the gross value added was recorded in the section of agriculture, forestry and fishing – 9.5%.</w:t>
            </w:r>
          </w:p>
          <w:p>
            <w:pPr>
              <w:spacing w:lineRule="auto" w:line="276"/>
              <w:ind w:firstLine="397"/>
              <w:jc w:val="both"/>
              <w:rPr>
                <w:rFonts w:ascii="Tahoma" w:hAnsi="Tahoma"/>
                <w:sz w:val="22"/>
              </w:rPr>
            </w:pPr>
          </w:p>
          <w:p>
            <w:pPr>
              <w:spacing w:lineRule="auto" w:line="276"/>
              <w:ind w:firstLine="397"/>
              <w:jc w:val="both"/>
              <w:rPr>
                <w:rFonts w:ascii="Tahoma" w:hAnsi="Tahoma"/>
                <w:sz w:val="22"/>
              </w:rPr>
            </w:pPr>
            <w:r>
              <w:rPr>
                <w:rFonts w:ascii="Tahoma" w:hAnsi="Tahoma"/>
                <w:sz w:val="22"/>
              </w:rPr>
              <w:t xml:space="preserve">Observed by expenditure aggregates, in the fourth quarter of 2017, compared to the same quarter of the previous year, real growth was noted as follows: the household final consumption expenditure – 1.9%, the non-profit institutions serving households (NPISH) final consumption expenditure – 0.9%, the general government final consumption expenditure – 1.1%, gross fixed capital formation – 12.4%, the exports of goods and services – 7.5% and the import of goods and services – 12.0%. </w:t>
            </w:r>
          </w:p>
          <w:p>
            <w:pPr>
              <w:spacing w:lineRule="auto" w:line="276"/>
              <w:ind w:firstLine="397"/>
              <w:jc w:val="both"/>
              <w:rPr>
                <w:rFonts w:ascii="Tahoma" w:hAnsi="Tahoma"/>
                <w:sz w:val="22"/>
              </w:rPr>
            </w:pPr>
          </w:p>
          <w:p>
            <w:pPr>
              <w:spacing w:lineRule="auto" w:line="276"/>
              <w:ind w:firstLine="397"/>
              <w:jc w:val="both"/>
              <w:rPr>
                <w:rFonts w:ascii="Tahoma" w:hAnsi="Tahoma"/>
                <w:sz w:val="23"/>
              </w:rPr>
            </w:pPr>
          </w:p>
        </w:tc>
      </w:tr>
    </w:tbl>
    <w:p/>
    <w:sectPr>
      <w:headerReference xmlns:r="http://schemas.openxmlformats.org/officeDocument/2006/relationships" w:type="first" r:id="RelHdr1"/>
      <w:headerReference xmlns:r="http://schemas.openxmlformats.org/officeDocument/2006/relationships" w:type="default" r:id="RelHdr2"/>
      <w:footerReference xmlns:r="http://schemas.openxmlformats.org/officeDocument/2006/relationships" w:type="first" r:id="RelFtr1"/>
      <w:footerReference xmlns:r="http://schemas.openxmlformats.org/officeDocument/2006/relationships" w:type="default" r:id="RelFtr2"/>
      <w:type w:val="nextPage"/>
      <w:pgMar w:left="1080" w:right="1080" w:top="360" w:bottom="360" w:header="432" w:footer="0" w:gutter="0"/>
      <w:cols w:equalWidth="1" w:space="720"/>
      <w:vAlign w:val="both"/>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11268" w:type="dxa"/>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autofit"/>
    </w:tblPr>
    <w:tblGrid/>
    <w:tr>
      <w:tc>
        <w:tcPr>
          <w:tcW w:w="5868" w:type="dxa"/>
        </w:tcPr>
        <w:p>
          <w:pPr>
            <w:jc w:val="both"/>
            <w:rPr>
              <w:rFonts w:ascii="Tahoma" w:hAnsi="Tahoma"/>
              <w:color w:val="808080"/>
              <w:sz w:val="20"/>
            </w:rPr>
          </w:pPr>
          <w:r>
            <w:rPr>
              <w:rFonts w:ascii="Tahoma" w:hAnsi="Tahoma"/>
              <w:color w:val="808080"/>
              <w:sz w:val="20"/>
            </w:rPr>
            <w:t>Contact:</w:t>
          </w:r>
        </w:p>
        <w:p>
          <w:pPr>
            <w:jc w:val="both"/>
            <w:rPr>
              <w:rFonts w:ascii="Tahoma" w:hAnsi="Tahoma"/>
              <w:color w:val="808080"/>
              <w:sz w:val="20"/>
            </w:rPr>
          </w:pPr>
          <w:r>
            <w:rPr>
              <w:rFonts w:ascii="Tahoma" w:hAnsi="Tahoma"/>
              <w:color w:val="808080"/>
              <w:sz w:val="20"/>
            </w:rPr>
            <w:t>Mirjana Smolčić, Head</w:t>
          </w:r>
        </w:p>
        <w:p>
          <w:pPr>
            <w:rPr>
              <w:rFonts w:ascii="Tahoma" w:hAnsi="Tahoma"/>
              <w:color w:val="808080"/>
              <w:sz w:val="20"/>
            </w:rPr>
          </w:pPr>
          <w:r>
            <w:rPr>
              <w:rFonts w:ascii="Tahoma" w:hAnsi="Tahoma"/>
              <w:color w:val="808080"/>
              <w:sz w:val="20"/>
            </w:rPr>
            <w:t>Quarterly National Accounts Division</w:t>
          </w:r>
        </w:p>
        <w:p>
          <w:pPr>
            <w:jc w:val="both"/>
            <w:rPr>
              <w:rFonts w:ascii="Tahoma" w:hAnsi="Tahoma"/>
              <w:color w:val="808080"/>
              <w:sz w:val="20"/>
            </w:rPr>
          </w:pPr>
          <w:r>
            <w:rPr>
              <w:rFonts w:ascii="Tahoma" w:hAnsi="Tahoma"/>
              <w:color w:val="808080"/>
              <w:sz w:val="20"/>
            </w:rPr>
            <w:t>Phone: +381 11 2-412-922 ext. 256</w:t>
          </w:r>
        </w:p>
        <w:p>
          <w:pPr>
            <w:jc w:val="both"/>
            <w:rPr>
              <w:rFonts w:ascii="Tahoma" w:hAnsi="Tahoma"/>
              <w:color w:val="808080"/>
              <w:sz w:val="20"/>
            </w:rPr>
          </w:pPr>
          <w:r>
            <w:rPr>
              <w:rFonts w:ascii="Tahoma" w:hAnsi="Tahoma"/>
              <w:color w:val="808080"/>
              <w:sz w:val="20"/>
            </w:rPr>
            <w:t>e-mail: mirjana.smolcic@stat.gov.rs</w:t>
          </w:r>
        </w:p>
        <w:p>
          <w:pPr>
            <w:jc w:val="both"/>
            <w:rPr>
              <w:rFonts w:ascii="Tahoma" w:hAnsi="Tahoma"/>
              <w:color w:val="808080"/>
              <w:sz w:val="20"/>
            </w:rPr>
          </w:pPr>
        </w:p>
        <w:p>
          <w:pPr>
            <w:jc w:val="both"/>
            <w:rPr>
              <w:rFonts w:ascii="Tahoma" w:hAnsi="Tahoma"/>
              <w:color w:val="808080"/>
              <w:sz w:val="20"/>
            </w:rPr>
          </w:pPr>
          <w:r>
            <w:rPr>
              <w:rFonts w:ascii="Tahoma" w:hAnsi="Tahoma"/>
              <w:color w:val="808080"/>
              <w:sz w:val="20"/>
            </w:rPr>
            <w:t>Information and dissemination unit</w:t>
          </w:r>
        </w:p>
        <w:p>
          <w:pPr>
            <w:jc w:val="both"/>
            <w:rPr>
              <w:rFonts w:ascii="Tahoma" w:hAnsi="Tahoma"/>
              <w:color w:val="808080"/>
              <w:sz w:val="20"/>
            </w:rPr>
          </w:pPr>
          <w:r>
            <w:rPr>
              <w:rFonts w:ascii="Tahoma" w:hAnsi="Tahoma"/>
              <w:color w:val="808080"/>
              <w:sz w:val="20"/>
            </w:rPr>
            <w:t>Phone: +381 11 2401-284</w:t>
          </w:r>
        </w:p>
        <w:p>
          <w:pPr>
            <w:jc w:val="both"/>
            <w:rPr>
              <w:rFonts w:ascii="Tahoma" w:hAnsi="Tahoma"/>
              <w:sz w:val="20"/>
            </w:rPr>
          </w:pPr>
          <w:r>
            <w:rPr>
              <w:rFonts w:ascii="Tahoma" w:hAnsi="Tahoma"/>
              <w:color w:val="808080"/>
              <w:sz w:val="20"/>
            </w:rPr>
            <w:t>stat@stat.gov.rs</w:t>
          </w:r>
        </w:p>
        <w:p>
          <w:pPr>
            <w:jc w:val="both"/>
            <w:rPr>
              <w:rFonts w:ascii="Tahoma" w:hAnsi="Tahoma"/>
              <w:sz w:val="22"/>
            </w:rPr>
          </w:pPr>
        </w:p>
      </w:tc>
      <w:tc>
        <w:tcPr>
          <w:tcW w:w="5400" w:type="dxa"/>
        </w:tcPr>
        <w:p>
          <w:pPr>
            <w:rPr>
              <w:rFonts w:ascii="Tahoma" w:hAnsi="Tahoma"/>
              <w:sz w:val="20"/>
            </w:rPr>
          </w:pPr>
          <w:r>
            <w:rPr>
              <w:rFonts w:ascii="Tahoma" w:hAnsi="Tahoma"/>
              <w:sz w:val="20"/>
            </w:rPr>
            <w:t xml:space="preserve">                                     Director</w:t>
          </w:r>
        </w:p>
        <w:p>
          <w:pPr>
            <w:ind w:left="972"/>
            <w:jc w:val="both"/>
            <w:rPr>
              <w:rFonts w:ascii="Tahoma" w:hAnsi="Tahoma"/>
              <w:sz w:val="20"/>
            </w:rPr>
          </w:pPr>
          <w:r>
            <w:rPr>
              <w:rFonts w:ascii="Tahoma" w:hAnsi="Tahoma"/>
              <w:sz w:val="20"/>
            </w:rPr>
            <w:t xml:space="preserve">             Miladin Kovačević, PhD</w:t>
          </w:r>
        </w:p>
        <w:p>
          <w:pPr>
            <w:jc w:val="both"/>
            <w:rPr>
              <w:rFonts w:ascii="Tahoma" w:hAnsi="Tahoma"/>
              <w:color w:val="808080"/>
              <w:sz w:val="20"/>
            </w:rPr>
          </w:pPr>
        </w:p>
        <w:p>
          <w:pPr>
            <w:jc w:val="both"/>
            <w:rPr>
              <w:rFonts w:ascii="Tahoma" w:hAnsi="Tahoma"/>
              <w:sz w:val="20"/>
            </w:rPr>
          </w:pPr>
        </w:p>
      </w:tc>
    </w:tr>
  </w:tbl>
  <w:p>
    <w:pPr>
      <w:rPr>
        <w:rFonts w:ascii="Arial" w:hAnsi="Arial"/>
        <w:sz w:val="16"/>
      </w:rPr>
    </w:pPr>
    <w:r>
      <w:rPr>
        <w:rFonts w:ascii="Arial" w:hAnsi="Arial"/>
        <w:sz w:val="16"/>
        <w:vertAlign w:val="superscript"/>
      </w:rPr>
      <w:t xml:space="preserve">1) </w:t>
    </w:r>
    <w:r>
      <w:rPr>
        <w:rFonts w:ascii="Arial" w:hAnsi="Arial"/>
        <w:sz w:val="16"/>
      </w:rPr>
      <w:t xml:space="preserve">Starting from 1999 the Statistical Office of the Republic of Serbia has not at disposal and may not provide available certain data relative to AP Kosovo and Metohia and therefore these data are not included in the coverage for the Republic of Serbia (total). </w:t>
    </w:r>
  </w:p>
  <w:p>
    <w:pPr>
      <w:pStyle w:val="P2"/>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Layout w:type="autofit"/>
    </w:tblPr>
    <w:tblGrid/>
    <w:tr>
      <w:tc>
        <w:tcPr>
          <w:tcW w:w="4788" w:type="dxa"/>
        </w:tcPr>
        <w:p>
          <w:pPr>
            <w:jc w:val="both"/>
            <w:rPr>
              <w:rFonts w:ascii="Tahoma" w:hAnsi="Tahoma"/>
              <w:color w:val="333333"/>
              <w:sz w:val="22"/>
            </w:rPr>
          </w:pPr>
        </w:p>
      </w:tc>
      <w:tc>
        <w:tcPr>
          <w:tcW w:w="5400" w:type="dxa"/>
        </w:tcPr>
        <w:p>
          <w:pPr>
            <w:rPr>
              <w:rFonts w:ascii="Tahoma" w:hAnsi="Tahoma"/>
              <w:color w:val="333333"/>
              <w:sz w:val="22"/>
            </w:rPr>
          </w:pPr>
        </w:p>
      </w:tc>
    </w:tr>
    <w:tr>
      <w:tblPrEx>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Ex>
      <w:trPr>
        <w:trHeight w:hRule="atLeast" w:val="1350"/>
      </w:trPr>
      <w:tc>
        <w:tcPr>
          <w:tcW w:w="4788" w:type="dxa"/>
          <w:tcBorders>
            <w:top w:val="none" w:sz="0" w:space="0" w:shadow="0" w:frame="0"/>
            <w:left w:val="none" w:sz="0" w:space="0" w:shadow="0" w:frame="0"/>
            <w:bottom w:val="none" w:sz="0" w:space="0" w:shadow="0" w:frame="0"/>
            <w:right w:val="none" w:sz="0" w:space="0" w:shadow="0" w:frame="0"/>
          </w:tcBorders>
        </w:tcPr>
        <w:p>
          <w:pPr>
            <w:jc w:val="both"/>
            <w:rPr>
              <w:rFonts w:ascii="Tahoma" w:hAnsi="Tahoma"/>
              <w:sz w:val="22"/>
            </w:rPr>
          </w:pPr>
        </w:p>
      </w:tc>
      <w:tc>
        <w:tcPr>
          <w:tcW w:w="5400" w:type="dxa"/>
          <w:tcBorders>
            <w:top w:val="none" w:sz="0" w:space="0" w:shadow="0" w:frame="0"/>
            <w:left w:val="none" w:sz="0" w:space="0" w:shadow="0" w:frame="0"/>
            <w:bottom w:val="none" w:sz="0" w:space="0" w:shadow="0" w:frame="0"/>
            <w:right w:val="none" w:sz="0" w:space="0" w:shadow="0" w:frame="0"/>
          </w:tcBorders>
        </w:tcPr>
        <w:p>
          <w:pPr>
            <w:ind w:left="972"/>
            <w:jc w:val="both"/>
            <w:rPr>
              <w:rFonts w:ascii="Tahoma" w:hAnsi="Tahoma"/>
              <w:sz w:val="20"/>
            </w:rPr>
          </w:pPr>
        </w:p>
      </w:tc>
    </w:tr>
  </w:tbl>
  <w:p>
    <w:pPr>
      <w:pStyle w:val="P2"/>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10188" w:type="dxa"/>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c>
        <w:tcPr>
          <w:tcW w:w="4068" w:type="dxa"/>
        </w:tcPr>
        <w:p>
          <w:pPr>
            <w:pStyle w:val="P1"/>
            <w:ind w:right="972"/>
            <w:rPr>
              <w:rFonts w:ascii="Tahoma" w:hAnsi="Tahoma"/>
              <w:sz w:val="20"/>
            </w:rPr>
          </w:pPr>
          <w:r>
            <w:drawing>
              <wp:inline xmlns:wp="http://schemas.openxmlformats.org/drawingml/2006/wordprocessingDrawing">
                <wp:extent cx="1564005" cy="70993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564005" cy="709930"/>
                        </a:xfrm>
                        <a:prstGeom prst="rect"/>
                        <a:noFill/>
                      </pic:spPr>
                    </pic:pic>
                  </a:graphicData>
                </a:graphic>
              </wp:inline>
            </w:drawing>
          </w:r>
          <w:r>
            <w:rPr>
              <w:rFonts w:ascii="Tahoma" w:hAnsi="Tahoma"/>
              <w:sz w:val="20"/>
            </w:rPr>
            <w:t xml:space="preserve"> </w:t>
          </w:r>
        </w:p>
        <w:p>
          <w:pPr>
            <w:pStyle w:val="P1"/>
            <w:rPr>
              <w:rFonts w:ascii="Tahoma" w:hAnsi="Tahoma"/>
              <w:sz w:val="20"/>
            </w:rPr>
          </w:pPr>
          <w:r>
            <w:rPr>
              <w:rFonts w:ascii="Tahoma" w:hAnsi="Tahoma"/>
              <w:sz w:val="20"/>
            </w:rPr>
            <w:t>Statistical Office of the Republic of Serbia</w:t>
          </w:r>
        </w:p>
      </w:tc>
      <w:tc>
        <w:tcPr>
          <w:tcW w:w="6120" w:type="dxa"/>
        </w:tcPr>
        <w:p>
          <w:pPr>
            <w:pStyle w:val="P1"/>
            <w:jc w:val="right"/>
            <w:rPr>
              <w:rFonts w:ascii="Tahoma" w:hAnsi="Tahoma"/>
              <w:sz w:val="32"/>
            </w:rPr>
          </w:pPr>
          <w:r>
            <w:rPr>
              <w:rFonts w:ascii="Tahoma" w:hAnsi="Tahoma"/>
              <w:sz w:val="32"/>
            </w:rPr>
            <w:t>Press Release</w:t>
          </w:r>
        </w:p>
        <w:p>
          <w:pPr>
            <w:pStyle w:val="P1"/>
            <w:jc w:val="right"/>
            <w:rPr>
              <w:rFonts w:ascii="Tahoma" w:hAnsi="Tahoma"/>
            </w:rPr>
          </w:pPr>
        </w:p>
        <w:p>
          <w:pPr>
            <w:pStyle w:val="P1"/>
            <w:jc w:val="right"/>
            <w:rPr>
              <w:rFonts w:ascii="Tahoma" w:hAnsi="Tahoma"/>
              <w:sz w:val="20"/>
            </w:rPr>
          </w:pPr>
          <w:r>
            <w:rPr>
              <w:rFonts w:ascii="Tahoma" w:hAnsi="Tahoma"/>
              <w:sz w:val="20"/>
            </w:rPr>
            <w:t>Belgrade, Milana Rakica 5</w:t>
          </w:r>
        </w:p>
        <w:p>
          <w:pPr>
            <w:pStyle w:val="P1"/>
            <w:jc w:val="right"/>
            <w:rPr>
              <w:rFonts w:ascii="Tahoma" w:hAnsi="Tahoma"/>
              <w:sz w:val="20"/>
            </w:rPr>
          </w:pPr>
          <w:r>
            <w:rPr>
              <w:rFonts w:ascii="Tahoma" w:hAnsi="Tahoma"/>
              <w:sz w:val="20"/>
            </w:rPr>
            <w:t>Phone +381 11 2-412-922</w:t>
          </w:r>
        </w:p>
        <w:p>
          <w:pPr>
            <w:pStyle w:val="P1"/>
            <w:jc w:val="right"/>
            <w:rPr>
              <w:rFonts w:ascii="Tahoma" w:hAnsi="Tahoma"/>
              <w:sz w:val="20"/>
            </w:rPr>
          </w:pPr>
          <w:r>
            <w:rPr>
              <w:rFonts w:ascii="Tahoma" w:hAnsi="Tahoma"/>
              <w:sz w:val="20"/>
            </w:rPr>
            <w:t>www.stat.gov.rs</w:t>
          </w:r>
        </w:p>
        <w:p>
          <w:pPr>
            <w:pStyle w:val="P1"/>
            <w:jc w:val="right"/>
            <w:rPr>
              <w:rFonts w:ascii="Tahoma" w:hAnsi="Tahoma"/>
              <w:sz w:val="20"/>
            </w:rPr>
          </w:pPr>
          <w:r>
            <w:rPr>
              <w:rFonts w:ascii="Tahoma" w:hAnsi="Tahoma"/>
              <w:sz w:val="20"/>
            </w:rPr>
            <w:t>stat@stat.gov.rs</w:t>
          </w:r>
        </w:p>
      </w:tc>
    </w:tr>
  </w:tbl>
  <w:p>
    <w:pPr>
      <w:pStyle w:val="P1"/>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c>
        <w:tcPr>
          <w:tcW w:w="3708" w:type="dxa"/>
        </w:tcPr>
        <w:p>
          <w:pPr>
            <w:pStyle w:val="P1"/>
            <w:rPr>
              <w:rFonts w:ascii="Tahoma" w:hAnsi="Tahoma"/>
              <w:sz w:val="20"/>
            </w:rPr>
          </w:pPr>
        </w:p>
      </w:tc>
      <w:tc>
        <w:tcPr>
          <w:tcW w:w="6588" w:type="dxa"/>
        </w:tcPr>
        <w:p>
          <w:pPr>
            <w:pStyle w:val="P1"/>
            <w:jc w:val="right"/>
            <w:rPr>
              <w:rFonts w:ascii="Tahoma" w:hAnsi="Tahoma"/>
              <w:sz w:val="20"/>
            </w:rPr>
          </w:pPr>
          <w:r>
            <w:rPr>
              <w:rFonts w:ascii="Tahoma" w:hAnsi="Tahoma"/>
              <w:sz w:val="20"/>
            </w:rPr>
            <w:t xml:space="preserve">Press release page </w:t>
          </w:r>
          <w:r>
            <w:rPr>
              <w:rFonts w:ascii="Tahoma" w:hAnsi="Tahoma"/>
              <w:sz w:val="20"/>
            </w:rPr>
            <w:fldChar w:fldCharType="begin"/>
          </w:r>
          <w:r>
            <w:rPr>
              <w:rStyle w:val="C4"/>
              <w:rFonts w:ascii="Tahoma" w:hAnsi="Tahoma"/>
              <w:sz w:val="20"/>
            </w:rPr>
            <w:instrText xml:space="preserve"> NUMPAGES </w:instrText>
          </w:r>
          <w:r>
            <w:rPr>
              <w:rStyle w:val="C4"/>
              <w:rFonts w:ascii="Tahoma" w:hAnsi="Tahoma"/>
              <w:sz w:val="20"/>
            </w:rPr>
            <w:fldChar w:fldCharType="separate"/>
          </w:r>
          <w:r>
            <w:rPr>
              <w:rStyle w:val="C4"/>
              <w:rFonts w:ascii="Tahoma" w:hAnsi="Tahoma"/>
              <w:sz w:val="20"/>
            </w:rPr>
            <w:t>#</w:t>
          </w:r>
          <w:r>
            <w:rPr>
              <w:rStyle w:val="C4"/>
              <w:rFonts w:ascii="Tahoma" w:hAnsi="Tahoma"/>
              <w:sz w:val="20"/>
            </w:rPr>
            <w:fldChar w:fldCharType="end"/>
          </w:r>
        </w:p>
        <w:p>
          <w:pPr>
            <w:pStyle w:val="P1"/>
            <w:jc w:val="right"/>
            <w:rPr>
              <w:rFonts w:ascii="Tahoma" w:hAnsi="Tahoma"/>
            </w:rPr>
          </w:pPr>
        </w:p>
        <w:p>
          <w:pPr>
            <w:pStyle w:val="P1"/>
            <w:jc w:val="right"/>
            <w:rPr>
              <w:rFonts w:ascii="Tahoma" w:hAnsi="Tahoma"/>
              <w:sz w:val="20"/>
            </w:rPr>
          </w:pPr>
        </w:p>
      </w:tc>
    </w:tr>
  </w:tbl>
  <w:p>
    <w:pPr>
      <w:pStyle w:val="P1"/>
    </w:pPr>
  </w:p>
</w:hdr>
</file>

<file path=word/numbering.xml><?xml version="1.0" encoding="utf-8"?>
<w:numbering xmlns:w="http://schemas.openxmlformats.org/wordprocessingml/2006/main">
  <w:abstractNum w:abstractNumId="0">
    <w:nsid w:val="35D67E91"/>
    <w:multiLevelType w:val="hybridMultilevel"/>
    <w:lvl w:ilvl="0" w:tplc="19501A72">
      <w:start w:val="30"/>
      <w:numFmt w:val="bullet"/>
      <w:suff w:val="tab"/>
      <w:lvlText w:val="-"/>
      <w:lvlJc w:val="left"/>
      <w:pPr>
        <w:ind w:hanging="360" w:left="720"/>
        <w:tabs>
          <w:tab w:val="left" w:pos="720" w:leader="none"/>
        </w:tabs>
      </w:pPr>
      <w:rPr>
        <w:rFonts w:ascii="Tahoma" w:hAnsi="Tahoma"/>
      </w:rPr>
    </w:lvl>
    <w:lvl w:ilvl="1" w:tplc="7DEB88BD">
      <w:start w:val="1"/>
      <w:numFmt w:val="bullet"/>
      <w:suff w:val="tab"/>
      <w:lvlText w:val="o"/>
      <w:lvlJc w:val="left"/>
      <w:pPr>
        <w:ind w:hanging="360" w:left="1440"/>
        <w:tabs>
          <w:tab w:val="left" w:pos="1440" w:leader="none"/>
        </w:tabs>
      </w:pPr>
      <w:rPr>
        <w:rFonts w:ascii="Courier New" w:hAnsi="Courier New"/>
      </w:rPr>
    </w:lvl>
    <w:lvl w:ilvl="2" w:tplc="60B972B4">
      <w:start w:val="1"/>
      <w:numFmt w:val="bullet"/>
      <w:suff w:val="tab"/>
      <w:lvlText w:val=""/>
      <w:lvlJc w:val="left"/>
      <w:pPr>
        <w:ind w:hanging="360" w:left="2160"/>
        <w:tabs>
          <w:tab w:val="left" w:pos="2160" w:leader="none"/>
        </w:tabs>
      </w:pPr>
      <w:rPr>
        <w:rFonts w:ascii="Wingdings" w:hAnsi="Wingdings"/>
      </w:rPr>
    </w:lvl>
    <w:lvl w:ilvl="3" w:tplc="1AC0E957">
      <w:start w:val="1"/>
      <w:numFmt w:val="bullet"/>
      <w:suff w:val="tab"/>
      <w:lvlText w:val=""/>
      <w:lvlJc w:val="left"/>
      <w:pPr>
        <w:ind w:hanging="360" w:left="2880"/>
        <w:tabs>
          <w:tab w:val="left" w:pos="2880" w:leader="none"/>
        </w:tabs>
      </w:pPr>
      <w:rPr>
        <w:rFonts w:ascii="Symbol" w:hAnsi="Symbol"/>
      </w:rPr>
    </w:lvl>
    <w:lvl w:ilvl="4" w:tplc="3888B5F6">
      <w:start w:val="1"/>
      <w:numFmt w:val="bullet"/>
      <w:suff w:val="tab"/>
      <w:lvlText w:val="o"/>
      <w:lvlJc w:val="left"/>
      <w:pPr>
        <w:ind w:hanging="360" w:left="3600"/>
        <w:tabs>
          <w:tab w:val="left" w:pos="3600" w:leader="none"/>
        </w:tabs>
      </w:pPr>
      <w:rPr>
        <w:rFonts w:ascii="Courier New" w:hAnsi="Courier New"/>
      </w:rPr>
    </w:lvl>
    <w:lvl w:ilvl="5" w:tplc="14C1032E">
      <w:start w:val="1"/>
      <w:numFmt w:val="bullet"/>
      <w:suff w:val="tab"/>
      <w:lvlText w:val=""/>
      <w:lvlJc w:val="left"/>
      <w:pPr>
        <w:ind w:hanging="360" w:left="4320"/>
        <w:tabs>
          <w:tab w:val="left" w:pos="4320" w:leader="none"/>
        </w:tabs>
      </w:pPr>
      <w:rPr>
        <w:rFonts w:ascii="Wingdings" w:hAnsi="Wingdings"/>
      </w:rPr>
    </w:lvl>
    <w:lvl w:ilvl="6" w:tplc="7EA10C5F">
      <w:start w:val="1"/>
      <w:numFmt w:val="bullet"/>
      <w:suff w:val="tab"/>
      <w:lvlText w:val=""/>
      <w:lvlJc w:val="left"/>
      <w:pPr>
        <w:ind w:hanging="360" w:left="5040"/>
        <w:tabs>
          <w:tab w:val="left" w:pos="5040" w:leader="none"/>
        </w:tabs>
      </w:pPr>
      <w:rPr>
        <w:rFonts w:ascii="Symbol" w:hAnsi="Symbol"/>
      </w:rPr>
    </w:lvl>
    <w:lvl w:ilvl="7" w:tplc="6C30BE58">
      <w:start w:val="1"/>
      <w:numFmt w:val="bullet"/>
      <w:suff w:val="tab"/>
      <w:lvlText w:val="o"/>
      <w:lvlJc w:val="left"/>
      <w:pPr>
        <w:ind w:hanging="360" w:left="5760"/>
        <w:tabs>
          <w:tab w:val="left" w:pos="5760" w:leader="none"/>
        </w:tabs>
      </w:pPr>
      <w:rPr>
        <w:rFonts w:ascii="Courier New" w:hAnsi="Courier New"/>
      </w:rPr>
    </w:lvl>
    <w:lvl w:ilvl="8" w:tplc="6A70A1A7">
      <w:start w:val="1"/>
      <w:numFmt w:val="bullet"/>
      <w:suff w:val="tab"/>
      <w:lvlText w:val=""/>
      <w:lvlJc w:val="left"/>
      <w:pPr>
        <w:ind w:hanging="360" w:left="6480"/>
        <w:tabs>
          <w:tab w:val="left" w:pos="6480" w:leader="none"/>
        </w:tabs>
      </w:pPr>
      <w:rPr>
        <w:rFonts w:ascii="Wingdings" w:hAnsi="Wingdings"/>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er"/>
    <w:basedOn w:val="P0"/>
    <w:next w:val="P1"/>
    <w:pPr>
      <w:tabs>
        <w:tab w:val="center" w:pos="4320" w:leader="none"/>
        <w:tab w:val="right" w:pos="8640" w:leader="none"/>
      </w:tabs>
    </w:pPr>
    <w:rPr/>
  </w:style>
  <w:style w:type="paragraph" w:styleId="P2">
    <w:name w:val="Footer"/>
    <w:basedOn w:val="P0"/>
    <w:next w:val="P2"/>
    <w:pPr>
      <w:tabs>
        <w:tab w:val="center" w:pos="4320" w:leader="none"/>
        <w:tab w:val="right" w:pos="8640" w:leader="none"/>
      </w:tabs>
    </w:pPr>
    <w:rPr/>
  </w:style>
  <w:style w:type="paragraph" w:styleId="P3">
    <w:name w:val="Car Car"/>
    <w:basedOn w:val="P0"/>
    <w:next w:val="P3"/>
    <w:pPr>
      <w:spacing w:lineRule="exact" w:line="240" w:after="160"/>
    </w:pPr>
    <w:rPr>
      <w:rFonts w:ascii="Verdana" w:hAnsi="Verdana"/>
      <w:i w:val="1"/>
      <w:sz w:val="20"/>
    </w:rPr>
  </w:style>
  <w:style w:type="paragraph" w:styleId="P4">
    <w:name w:val="Normal (Web)"/>
    <w:basedOn w:val="P0"/>
    <w:next w:val="P4"/>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trong"/>
    <w:qFormat/>
    <w:rPr>
      <w:b w:val="1"/>
    </w:rPr>
  </w:style>
  <w:style w:type="character" w:styleId="C4">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_rels/header1.xml.rels>&#65279;<?xml version="1.0" encoding="utf-8"?><Relationships xmlns="http://schemas.openxmlformats.org/package/2006/relationships"><Relationship Id="Relimage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Aleksandra Danilovic</dc:creator>
  <dcterms:created xsi:type="dcterms:W3CDTF">2017-11-30T07:21:00Z</dcterms:created>
  <cp:lastModifiedBy>Nikola Kapetanovic</cp:lastModifiedBy>
  <cp:lastPrinted>2016-11-30T07:24:00Z</cp:lastPrinted>
  <dcterms:modified xsi:type="dcterms:W3CDTF">2020-01-10T11:38:03Z</dcterms:modified>
  <cp:revision>5</cp:revision>
  <dc:title>29</dc:title>
</cp:coreProperties>
</file>