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8" w:space="0" w:color="auto"/>
          <w:left w:val="single" w:sz="4" w:space="0" w:color="auto"/>
          <w:bottom w:val="single" w:sz="18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9"/>
        <w:gridCol w:w="5166"/>
        <w:gridCol w:w="3288"/>
      </w:tblGrid>
      <w:tr w:rsidR="002577D1" w:rsidRPr="00CF3EEA">
        <w:trPr>
          <w:cantSplit/>
          <w:trHeight w:val="631"/>
          <w:jc w:val="center"/>
        </w:trPr>
        <w:tc>
          <w:tcPr>
            <w:tcW w:w="812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577D1" w:rsidRPr="00CF3EEA" w:rsidRDefault="007B7041" w:rsidP="00C149A4">
            <w:pPr>
              <w:rPr>
                <w:rFonts w:cs="Arial"/>
                <w:color w:val="808080"/>
                <w:szCs w:val="20"/>
              </w:rPr>
            </w:pPr>
            <w:r w:rsidRPr="00CF3EEA">
              <w:rPr>
                <w:color w:val="808080"/>
                <w:sz w:val="8"/>
                <w:szCs w:val="8"/>
              </w:rPr>
              <w:t>+</w:t>
            </w:r>
            <w:r w:rsidR="00C149A4" w:rsidRPr="00CF3EEA">
              <w:rPr>
                <w:color w:val="808080"/>
                <w:sz w:val="8"/>
                <w:szCs w:val="8"/>
              </w:rPr>
              <w:t xml:space="preserve">  </w:t>
            </w:r>
            <w:r w:rsidR="0041739D" w:rsidRPr="00CF3EEA">
              <w:rPr>
                <w:color w:val="808080"/>
                <w:sz w:val="8"/>
                <w:szCs w:val="8"/>
              </w:rPr>
              <w:t xml:space="preserve">   </w:t>
            </w:r>
            <w:r w:rsidR="00C149A4" w:rsidRPr="00CF3EEA">
              <w:rPr>
                <w:color w:val="808080"/>
                <w:sz w:val="8"/>
                <w:szCs w:val="8"/>
              </w:rPr>
              <w:t xml:space="preserve">               </w:t>
            </w:r>
            <w:r w:rsidR="00FC264D" w:rsidRPr="00CF3EEA">
              <w:rPr>
                <w:noProof/>
                <w:color w:val="808080"/>
                <w:lang w:val="en-US"/>
              </w:rPr>
              <w:drawing>
                <wp:anchor distT="0" distB="0" distL="114300" distR="114300" simplePos="0" relativeHeight="251657728" behindDoc="0" locked="0" layoutInCell="1" allowOverlap="1" wp14:anchorId="6E59F92C" wp14:editId="0CB90F96">
                  <wp:simplePos x="0" y="0"/>
                  <wp:positionH relativeFrom="character">
                    <wp:posOffset>0</wp:posOffset>
                  </wp:positionH>
                  <wp:positionV relativeFrom="line">
                    <wp:posOffset>0</wp:posOffset>
                  </wp:positionV>
                  <wp:extent cx="904875" cy="219075"/>
                  <wp:effectExtent l="0" t="0" r="0" b="0"/>
                  <wp:wrapNone/>
                  <wp:docPr id="9" name="Picture 9" descr="ZnakRZ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ZnakRZ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19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C264D" w:rsidRPr="00CF3EEA">
              <w:rPr>
                <w:noProof/>
                <w:color w:val="808080"/>
                <w:lang w:val="en-US"/>
              </w:rPr>
              <mc:AlternateContent>
                <mc:Choice Requires="wps">
                  <w:drawing>
                    <wp:inline distT="0" distB="0" distL="0" distR="0" wp14:anchorId="3297B80C" wp14:editId="017C73F0">
                      <wp:extent cx="904875" cy="219075"/>
                      <wp:effectExtent l="0" t="0" r="0" b="0"/>
                      <wp:docPr id="1" name="AutoShap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04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1A97A0A" id="AutoShape 1" o:spid="_x0000_s1026" style="width:7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ivMrwIAALc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559" w:type="pct"/>
            <w:tcBorders>
              <w:top w:val="single" w:sz="12" w:space="0" w:color="808080"/>
              <w:left w:val="nil"/>
              <w:bottom w:val="nil"/>
            </w:tcBorders>
            <w:vAlign w:val="center"/>
          </w:tcPr>
          <w:p w:rsidR="00234171" w:rsidRPr="00CF3EEA" w:rsidRDefault="00234171" w:rsidP="00234171">
            <w:pPr>
              <w:pStyle w:val="Header"/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CF3EEA">
              <w:rPr>
                <w:rFonts w:cs="Arial"/>
                <w:szCs w:val="20"/>
              </w:rPr>
              <w:t>Republic of Serbia</w:t>
            </w:r>
          </w:p>
          <w:p w:rsidR="002577D1" w:rsidRPr="00CF3EEA" w:rsidRDefault="00234171" w:rsidP="00234171">
            <w:pPr>
              <w:rPr>
                <w:rFonts w:cs="Arial"/>
                <w:szCs w:val="20"/>
              </w:rPr>
            </w:pPr>
            <w:r w:rsidRPr="00CF3EEA">
              <w:rPr>
                <w:rFonts w:cs="Arial"/>
                <w:szCs w:val="20"/>
              </w:rPr>
              <w:t>Statistical Office of the Republic of Serbia</w:t>
            </w:r>
          </w:p>
        </w:tc>
        <w:tc>
          <w:tcPr>
            <w:tcW w:w="0" w:type="auto"/>
            <w:tcBorders>
              <w:top w:val="single" w:sz="12" w:space="0" w:color="808080"/>
              <w:bottom w:val="nil"/>
              <w:right w:val="nil"/>
            </w:tcBorders>
            <w:vAlign w:val="center"/>
          </w:tcPr>
          <w:p w:rsidR="002577D1" w:rsidRPr="00CF3EEA" w:rsidRDefault="002577D1" w:rsidP="006E7AF4">
            <w:pPr>
              <w:jc w:val="right"/>
              <w:rPr>
                <w:rFonts w:cs="Arial"/>
                <w:b/>
                <w:color w:val="808080"/>
                <w:szCs w:val="20"/>
              </w:rPr>
            </w:pPr>
            <w:r w:rsidRPr="00CF3EEA">
              <w:rPr>
                <w:rFonts w:cs="Arial"/>
                <w:szCs w:val="20"/>
              </w:rPr>
              <w:t>ISSN 0353-9555</w:t>
            </w:r>
          </w:p>
        </w:tc>
      </w:tr>
      <w:tr w:rsidR="002577D1" w:rsidRPr="00CF3EEA">
        <w:trPr>
          <w:cantSplit/>
          <w:trHeight w:val="836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2577D1" w:rsidRPr="00CF3EEA" w:rsidRDefault="00234171" w:rsidP="002338F2">
            <w:pPr>
              <w:rPr>
                <w:color w:val="808080"/>
                <w:szCs w:val="20"/>
              </w:rPr>
            </w:pPr>
            <w:r w:rsidRPr="00CF3EEA">
              <w:rPr>
                <w:rFonts w:cs="Arial"/>
                <w:b/>
                <w:color w:val="808080"/>
                <w:sz w:val="48"/>
                <w:szCs w:val="48"/>
              </w:rPr>
              <w:t>STATISTICAL RELEASE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577D1" w:rsidRPr="00CF3EEA" w:rsidRDefault="00BC3A13" w:rsidP="002338F2">
            <w:pPr>
              <w:jc w:val="right"/>
              <w:rPr>
                <w:b/>
                <w:color w:val="808080"/>
                <w:sz w:val="12"/>
              </w:rPr>
            </w:pPr>
            <w:r w:rsidRPr="00CF3EEA">
              <w:rPr>
                <w:rFonts w:cs="Arial"/>
                <w:b/>
                <w:bCs/>
                <w:color w:val="808080"/>
                <w:sz w:val="48"/>
                <w:szCs w:val="48"/>
              </w:rPr>
              <w:t>NR</w:t>
            </w:r>
            <w:r w:rsidR="00711809" w:rsidRPr="00CF3EEA">
              <w:rPr>
                <w:rFonts w:cs="Arial"/>
                <w:b/>
                <w:bCs/>
                <w:color w:val="808080"/>
                <w:sz w:val="48"/>
                <w:szCs w:val="48"/>
              </w:rPr>
              <w:t>21</w:t>
            </w:r>
          </w:p>
        </w:tc>
      </w:tr>
      <w:tr w:rsidR="002577D1" w:rsidRPr="00CF3EEA">
        <w:trPr>
          <w:cantSplit/>
          <w:trHeight w:hRule="exact" w:val="279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77D1" w:rsidRPr="00CF3EEA" w:rsidRDefault="00234171" w:rsidP="00E21A32">
            <w:pPr>
              <w:rPr>
                <w:rFonts w:cs="Arial"/>
                <w:szCs w:val="20"/>
              </w:rPr>
            </w:pPr>
            <w:r w:rsidRPr="00CF3EEA">
              <w:rPr>
                <w:rFonts w:cs="Arial"/>
                <w:szCs w:val="20"/>
              </w:rPr>
              <w:t>Number</w:t>
            </w:r>
            <w:r w:rsidR="002577D1" w:rsidRPr="00CF3EEA">
              <w:rPr>
                <w:rFonts w:cs="Arial"/>
                <w:szCs w:val="20"/>
              </w:rPr>
              <w:t xml:space="preserve"> </w:t>
            </w:r>
            <w:r w:rsidR="00926059" w:rsidRPr="00CF3EEA">
              <w:rPr>
                <w:rFonts w:cs="Arial"/>
                <w:szCs w:val="20"/>
              </w:rPr>
              <w:t>308</w:t>
            </w:r>
            <w:r w:rsidR="002577D1" w:rsidRPr="00CF3EEA">
              <w:rPr>
                <w:rFonts w:cs="Arial"/>
                <w:szCs w:val="20"/>
              </w:rPr>
              <w:t xml:space="preserve"> - </w:t>
            </w:r>
            <w:r w:rsidRPr="00CF3EEA">
              <w:rPr>
                <w:rFonts w:cs="Arial"/>
                <w:szCs w:val="20"/>
              </w:rPr>
              <w:t>Year</w:t>
            </w:r>
            <w:r w:rsidR="002577D1" w:rsidRPr="00CF3EEA">
              <w:rPr>
                <w:rFonts w:cs="Arial"/>
                <w:szCs w:val="20"/>
              </w:rPr>
              <w:t xml:space="preserve"> LX</w:t>
            </w:r>
            <w:r w:rsidR="0079049E" w:rsidRPr="00CF3EEA">
              <w:rPr>
                <w:rFonts w:cs="Arial"/>
                <w:szCs w:val="20"/>
              </w:rPr>
              <w:t>V</w:t>
            </w:r>
            <w:r w:rsidR="00926059" w:rsidRPr="00CF3EEA">
              <w:rPr>
                <w:rFonts w:cs="Arial"/>
                <w:szCs w:val="20"/>
              </w:rPr>
              <w:t>I</w:t>
            </w:r>
            <w:r w:rsidR="00E068B5" w:rsidRPr="00CF3EEA">
              <w:rPr>
                <w:rFonts w:cs="Arial"/>
                <w:szCs w:val="20"/>
              </w:rPr>
              <w:t>I</w:t>
            </w:r>
            <w:r w:rsidR="002577D1" w:rsidRPr="00CF3EEA">
              <w:rPr>
                <w:rFonts w:cs="Arial"/>
                <w:szCs w:val="20"/>
              </w:rPr>
              <w:t xml:space="preserve">, </w:t>
            </w:r>
            <w:r w:rsidR="008D784B" w:rsidRPr="00CF3EEA">
              <w:rPr>
                <w:rFonts w:cs="Arial"/>
                <w:szCs w:val="20"/>
              </w:rPr>
              <w:t>2</w:t>
            </w:r>
            <w:r w:rsidR="00CD3E30" w:rsidRPr="00CF3EEA">
              <w:rPr>
                <w:rFonts w:cs="Arial"/>
                <w:szCs w:val="20"/>
              </w:rPr>
              <w:t>0</w:t>
            </w:r>
            <w:r w:rsidR="002577D1" w:rsidRPr="00CF3EEA">
              <w:rPr>
                <w:rFonts w:cs="Arial"/>
                <w:szCs w:val="20"/>
              </w:rPr>
              <w:t>.</w:t>
            </w:r>
            <w:r w:rsidR="00711809" w:rsidRPr="00CF3EEA">
              <w:rPr>
                <w:rFonts w:cs="Arial"/>
                <w:szCs w:val="20"/>
              </w:rPr>
              <w:t>11</w:t>
            </w:r>
            <w:r w:rsidR="002577D1" w:rsidRPr="00CF3EEA">
              <w:rPr>
                <w:rFonts w:cs="Arial"/>
                <w:szCs w:val="20"/>
              </w:rPr>
              <w:t>.</w:t>
            </w:r>
            <w:r w:rsidR="00926059" w:rsidRPr="00CF3EEA">
              <w:rPr>
                <w:rFonts w:cs="Arial"/>
                <w:szCs w:val="20"/>
              </w:rPr>
              <w:t>2018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577D1" w:rsidRPr="00CF3EEA" w:rsidRDefault="002577D1" w:rsidP="002338F2">
            <w:pPr>
              <w:jc w:val="right"/>
              <w:rPr>
                <w:rFonts w:cs="Arial"/>
                <w:b/>
                <w:color w:val="808080"/>
                <w:sz w:val="48"/>
                <w:szCs w:val="48"/>
              </w:rPr>
            </w:pPr>
          </w:p>
        </w:tc>
      </w:tr>
      <w:tr w:rsidR="002577D1" w:rsidRPr="00CF3EEA">
        <w:trPr>
          <w:cantSplit/>
          <w:trHeight w:val="411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F3EEA" w:rsidRDefault="00234171" w:rsidP="002338F2">
            <w:pPr>
              <w:rPr>
                <w:b/>
                <w:bCs/>
                <w:sz w:val="24"/>
              </w:rPr>
            </w:pPr>
            <w:r w:rsidRPr="00CF3EEA">
              <w:rPr>
                <w:rFonts w:cs="Arial"/>
                <w:b/>
              </w:rPr>
              <w:t>National Accounts Statistics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808080"/>
              <w:right w:val="nil"/>
            </w:tcBorders>
            <w:vAlign w:val="center"/>
          </w:tcPr>
          <w:p w:rsidR="002577D1" w:rsidRPr="00CF3EEA" w:rsidRDefault="00BC3A13" w:rsidP="00926059">
            <w:pPr>
              <w:jc w:val="right"/>
              <w:rPr>
                <w:b/>
                <w:szCs w:val="20"/>
              </w:rPr>
            </w:pPr>
            <w:r w:rsidRPr="00CF3EEA">
              <w:rPr>
                <w:rFonts w:cs="Arial"/>
                <w:szCs w:val="20"/>
              </w:rPr>
              <w:t>S</w:t>
            </w:r>
            <w:r w:rsidR="00234171" w:rsidRPr="00CF3EEA">
              <w:rPr>
                <w:rFonts w:cs="Arial"/>
                <w:szCs w:val="20"/>
              </w:rPr>
              <w:t>E</w:t>
            </w:r>
            <w:r w:rsidRPr="00CF3EEA">
              <w:rPr>
                <w:rFonts w:cs="Arial"/>
                <w:szCs w:val="20"/>
              </w:rPr>
              <w:t>RB</w:t>
            </w:r>
            <w:r w:rsidR="00926059" w:rsidRPr="00CF3EEA">
              <w:rPr>
                <w:rFonts w:cs="Arial"/>
                <w:szCs w:val="20"/>
              </w:rPr>
              <w:t>308</w:t>
            </w:r>
            <w:r w:rsidR="002577D1" w:rsidRPr="00CF3EEA">
              <w:rPr>
                <w:rFonts w:cs="Arial"/>
                <w:szCs w:val="20"/>
              </w:rPr>
              <w:t xml:space="preserve"> </w:t>
            </w:r>
            <w:r w:rsidRPr="00CF3EEA">
              <w:rPr>
                <w:rFonts w:cs="Arial"/>
                <w:szCs w:val="20"/>
              </w:rPr>
              <w:t>NR</w:t>
            </w:r>
            <w:r w:rsidR="00C66F12" w:rsidRPr="00CF3EEA">
              <w:rPr>
                <w:rFonts w:cs="Arial"/>
                <w:szCs w:val="20"/>
              </w:rPr>
              <w:t>21</w:t>
            </w:r>
            <w:r w:rsidR="002577D1" w:rsidRPr="00CF3EEA">
              <w:rPr>
                <w:rFonts w:cs="Arial"/>
                <w:szCs w:val="20"/>
              </w:rPr>
              <w:t xml:space="preserve"> </w:t>
            </w:r>
            <w:r w:rsidR="00926059" w:rsidRPr="00CF3EEA">
              <w:rPr>
                <w:rFonts w:cs="Arial"/>
                <w:szCs w:val="20"/>
              </w:rPr>
              <w:t>201118</w:t>
            </w:r>
          </w:p>
        </w:tc>
      </w:tr>
    </w:tbl>
    <w:p w:rsidR="007E62DF" w:rsidRPr="00BD0D5F" w:rsidRDefault="00234171" w:rsidP="00BD0D5F">
      <w:pPr>
        <w:pStyle w:val="Heading1"/>
        <w:spacing w:before="1080" w:after="360"/>
        <w:jc w:val="center"/>
        <w:rPr>
          <w:sz w:val="28"/>
          <w:szCs w:val="28"/>
        </w:rPr>
      </w:pPr>
      <w:r w:rsidRPr="00BD0D5F">
        <w:rPr>
          <w:sz w:val="28"/>
          <w:szCs w:val="28"/>
        </w:rPr>
        <w:t>Investments in fixed assets,</w:t>
      </w:r>
      <w:r w:rsidRPr="00BD0D5F">
        <w:rPr>
          <w:sz w:val="24"/>
          <w:szCs w:val="24"/>
        </w:rPr>
        <w:t xml:space="preserve"> </w:t>
      </w:r>
      <w:r w:rsidR="008D784B" w:rsidRPr="00BD0D5F">
        <w:rPr>
          <w:sz w:val="28"/>
          <w:szCs w:val="28"/>
        </w:rPr>
        <w:t>201</w:t>
      </w:r>
      <w:r w:rsidR="00E21A32" w:rsidRPr="00BD0D5F">
        <w:rPr>
          <w:sz w:val="28"/>
          <w:szCs w:val="28"/>
        </w:rPr>
        <w:t>7</w:t>
      </w:r>
    </w:p>
    <w:p w:rsidR="0036299E" w:rsidRPr="00BD0D5F" w:rsidRDefault="0036299E" w:rsidP="0036299E">
      <w:pPr>
        <w:jc w:val="center"/>
        <w:rPr>
          <w:sz w:val="22"/>
          <w:szCs w:val="22"/>
        </w:rPr>
      </w:pPr>
      <w:r w:rsidRPr="00BD0D5F">
        <w:rPr>
          <w:sz w:val="22"/>
          <w:szCs w:val="22"/>
        </w:rPr>
        <w:t>-</w:t>
      </w:r>
      <w:r w:rsidRPr="00BD0D5F">
        <w:rPr>
          <w:rFonts w:cs="Arial"/>
          <w:sz w:val="22"/>
          <w:szCs w:val="22"/>
        </w:rPr>
        <w:t xml:space="preserve"> </w:t>
      </w:r>
      <w:r w:rsidR="00BD0D5F" w:rsidRPr="00BD0D5F">
        <w:rPr>
          <w:rFonts w:cs="Arial"/>
          <w:sz w:val="22"/>
          <w:szCs w:val="22"/>
        </w:rPr>
        <w:t xml:space="preserve">Results </w:t>
      </w:r>
      <w:r w:rsidRPr="00BD0D5F">
        <w:rPr>
          <w:rFonts w:cs="Arial"/>
          <w:sz w:val="22"/>
          <w:szCs w:val="22"/>
        </w:rPr>
        <w:t>of the survey “Annual survey on investments in fixed assets</w:t>
      </w:r>
      <w:r w:rsidR="00CF3EEA" w:rsidRPr="00BD0D5F">
        <w:rPr>
          <w:rFonts w:cs="Arial"/>
          <w:sz w:val="22"/>
          <w:szCs w:val="22"/>
        </w:rPr>
        <w:t>” -</w:t>
      </w:r>
    </w:p>
    <w:p w:rsidR="0036299E" w:rsidRPr="00BD0D5F" w:rsidRDefault="0036299E" w:rsidP="0036299E"/>
    <w:p w:rsidR="00BD0D5F" w:rsidRPr="00BD0D5F" w:rsidRDefault="00BD0D5F" w:rsidP="0036299E"/>
    <w:p w:rsidR="00F00B89" w:rsidRPr="00BD0D5F" w:rsidRDefault="00F00B89" w:rsidP="00BD0D5F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BD0D5F">
        <w:rPr>
          <w:rFonts w:cs="Arial"/>
          <w:sz w:val="21"/>
          <w:szCs w:val="21"/>
        </w:rPr>
        <w:t xml:space="preserve">The data presented in this statistical release are the result of “Annual </w:t>
      </w:r>
      <w:r w:rsidR="00607124" w:rsidRPr="00BD0D5F">
        <w:rPr>
          <w:rFonts w:cs="Arial"/>
          <w:sz w:val="21"/>
          <w:szCs w:val="21"/>
        </w:rPr>
        <w:t>survey</w:t>
      </w:r>
      <w:r w:rsidRPr="00BD0D5F">
        <w:rPr>
          <w:rFonts w:cs="Arial"/>
          <w:sz w:val="21"/>
          <w:szCs w:val="21"/>
        </w:rPr>
        <w:t xml:space="preserve"> on investments in fixed assets”</w:t>
      </w:r>
      <w:r w:rsidR="0036299E" w:rsidRPr="00BD0D5F">
        <w:rPr>
          <w:rFonts w:cs="Arial"/>
          <w:sz w:val="21"/>
          <w:szCs w:val="21"/>
        </w:rPr>
        <w:t xml:space="preserve"> (INV-01).</w:t>
      </w:r>
      <w:r w:rsidRPr="00BD0D5F">
        <w:rPr>
          <w:rFonts w:cs="Arial"/>
          <w:sz w:val="21"/>
          <w:szCs w:val="21"/>
        </w:rPr>
        <w:t xml:space="preserve"> The reporting units exclusively refer to </w:t>
      </w:r>
      <w:r w:rsidRPr="00BD0D5F">
        <w:rPr>
          <w:rFonts w:cs="Arial"/>
          <w:b/>
          <w:sz w:val="21"/>
          <w:szCs w:val="21"/>
        </w:rPr>
        <w:t>legal entities</w:t>
      </w:r>
      <w:r w:rsidRPr="00BD0D5F">
        <w:rPr>
          <w:rFonts w:cs="Arial"/>
          <w:sz w:val="21"/>
          <w:szCs w:val="21"/>
        </w:rPr>
        <w:t xml:space="preserve"> that are direct inve</w:t>
      </w:r>
      <w:r w:rsidR="00591499" w:rsidRPr="00BD0D5F">
        <w:rPr>
          <w:rFonts w:cs="Arial"/>
          <w:sz w:val="21"/>
          <w:szCs w:val="21"/>
        </w:rPr>
        <w:t>s</w:t>
      </w:r>
      <w:r w:rsidRPr="00BD0D5F">
        <w:rPr>
          <w:rFonts w:cs="Arial"/>
          <w:sz w:val="21"/>
          <w:szCs w:val="21"/>
        </w:rPr>
        <w:t>tors (excluded are investments of unincorporated enterprises and p</w:t>
      </w:r>
      <w:r w:rsidR="00111665" w:rsidRPr="00BD0D5F">
        <w:rPr>
          <w:rFonts w:cs="Arial"/>
          <w:sz w:val="21"/>
          <w:szCs w:val="21"/>
        </w:rPr>
        <w:t>h</w:t>
      </w:r>
      <w:r w:rsidRPr="00BD0D5F">
        <w:rPr>
          <w:rFonts w:cs="Arial"/>
          <w:sz w:val="21"/>
          <w:szCs w:val="21"/>
        </w:rPr>
        <w:t>ysical persons).</w:t>
      </w:r>
    </w:p>
    <w:p w:rsidR="00F00B89" w:rsidRPr="00BD0D5F" w:rsidRDefault="00F00B89" w:rsidP="00BD0D5F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BD0D5F">
        <w:rPr>
          <w:rFonts w:cs="Arial"/>
          <w:sz w:val="21"/>
          <w:szCs w:val="21"/>
        </w:rPr>
        <w:t xml:space="preserve">The main aim of the survey is informing on investments activity, i.e. purchase and construction of fixed assets in the country. The survey also presents one of </w:t>
      </w:r>
      <w:r w:rsidR="00111665" w:rsidRPr="00BD0D5F">
        <w:rPr>
          <w:rFonts w:cs="Arial"/>
          <w:sz w:val="21"/>
          <w:szCs w:val="21"/>
        </w:rPr>
        <w:t>data</w:t>
      </w:r>
      <w:r w:rsidRPr="00BD0D5F">
        <w:rPr>
          <w:rFonts w:cs="Arial"/>
          <w:sz w:val="21"/>
          <w:szCs w:val="21"/>
        </w:rPr>
        <w:t xml:space="preserve"> sources for GDP calculation by expenditure </w:t>
      </w:r>
      <w:r w:rsidR="00146587" w:rsidRPr="00BD0D5F">
        <w:rPr>
          <w:rFonts w:cs="Arial"/>
          <w:sz w:val="21"/>
          <w:szCs w:val="21"/>
        </w:rPr>
        <w:t>approach</w:t>
      </w:r>
      <w:r w:rsidRPr="00BD0D5F">
        <w:rPr>
          <w:rFonts w:cs="Arial"/>
          <w:sz w:val="21"/>
          <w:szCs w:val="21"/>
        </w:rPr>
        <w:t xml:space="preserve">. For the needs of investments’ calculation as </w:t>
      </w:r>
      <w:r w:rsidR="00111665" w:rsidRPr="00BD0D5F">
        <w:rPr>
          <w:rFonts w:cs="Arial"/>
          <w:sz w:val="21"/>
          <w:szCs w:val="21"/>
        </w:rPr>
        <w:t>a</w:t>
      </w:r>
      <w:r w:rsidRPr="00BD0D5F">
        <w:rPr>
          <w:rFonts w:cs="Arial"/>
          <w:sz w:val="21"/>
          <w:szCs w:val="21"/>
        </w:rPr>
        <w:t>ggregate of GDP e</w:t>
      </w:r>
      <w:r w:rsidR="00111665" w:rsidRPr="00BD0D5F">
        <w:rPr>
          <w:rFonts w:cs="Arial"/>
          <w:sz w:val="21"/>
          <w:szCs w:val="21"/>
        </w:rPr>
        <w:t>xpenditure</w:t>
      </w:r>
      <w:r w:rsidRPr="00BD0D5F">
        <w:rPr>
          <w:rFonts w:cs="Arial"/>
          <w:sz w:val="21"/>
          <w:szCs w:val="21"/>
        </w:rPr>
        <w:t xml:space="preserve"> (i.e. gross inve</w:t>
      </w:r>
      <w:r w:rsidR="00111665" w:rsidRPr="00BD0D5F">
        <w:rPr>
          <w:rFonts w:cs="Arial"/>
          <w:sz w:val="21"/>
          <w:szCs w:val="21"/>
        </w:rPr>
        <w:t>s</w:t>
      </w:r>
      <w:r w:rsidRPr="00BD0D5F">
        <w:rPr>
          <w:rFonts w:cs="Arial"/>
          <w:sz w:val="21"/>
          <w:szCs w:val="21"/>
        </w:rPr>
        <w:t>tments in fixed assets), as w</w:t>
      </w:r>
      <w:r w:rsidR="00111665" w:rsidRPr="00BD0D5F">
        <w:rPr>
          <w:rFonts w:cs="Arial"/>
          <w:sz w:val="21"/>
          <w:szCs w:val="21"/>
        </w:rPr>
        <w:t>e</w:t>
      </w:r>
      <w:r w:rsidRPr="00BD0D5F">
        <w:rPr>
          <w:rFonts w:cs="Arial"/>
          <w:sz w:val="21"/>
          <w:szCs w:val="21"/>
        </w:rPr>
        <w:t xml:space="preserve">ll as for creation of capital account, additional calculations are performed (intellectual property, production for </w:t>
      </w:r>
      <w:r w:rsidR="00111665" w:rsidRPr="00BD0D5F">
        <w:rPr>
          <w:rFonts w:cs="Arial"/>
          <w:sz w:val="21"/>
          <w:szCs w:val="21"/>
        </w:rPr>
        <w:t>household final consumption</w:t>
      </w:r>
      <w:r w:rsidRPr="00BD0D5F">
        <w:rPr>
          <w:rFonts w:cs="Arial"/>
          <w:sz w:val="21"/>
          <w:szCs w:val="21"/>
        </w:rPr>
        <w:t>, military systems and other categories of fixed assets not covered by this survey).</w:t>
      </w:r>
    </w:p>
    <w:p w:rsidR="005E4B99" w:rsidRPr="00BD0D5F" w:rsidRDefault="00F00B89" w:rsidP="00BD0D5F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BD0D5F">
        <w:rPr>
          <w:rFonts w:cs="Arial"/>
          <w:sz w:val="21"/>
          <w:szCs w:val="21"/>
        </w:rPr>
        <w:t>Total fixed assets can be new and used</w:t>
      </w:r>
      <w:r w:rsidR="00BD0D5F" w:rsidRPr="00BD0D5F">
        <w:rPr>
          <w:rStyle w:val="FootnoteReference"/>
          <w:rFonts w:cs="Arial"/>
          <w:sz w:val="21"/>
          <w:szCs w:val="21"/>
        </w:rPr>
        <w:footnoteReference w:id="1"/>
      </w:r>
      <w:r w:rsidR="00BD0D5F" w:rsidRPr="00BD0D5F">
        <w:rPr>
          <w:rFonts w:cs="Arial"/>
          <w:sz w:val="21"/>
          <w:szCs w:val="21"/>
          <w:vertAlign w:val="superscript"/>
        </w:rPr>
        <w:t>)</w:t>
      </w:r>
      <w:r w:rsidRPr="00BD0D5F">
        <w:rPr>
          <w:rFonts w:cs="Arial"/>
          <w:sz w:val="21"/>
          <w:szCs w:val="21"/>
        </w:rPr>
        <w:t xml:space="preserve">. </w:t>
      </w:r>
      <w:r w:rsidR="00234171" w:rsidRPr="00BD0D5F">
        <w:rPr>
          <w:rFonts w:cs="Arial"/>
          <w:sz w:val="21"/>
          <w:szCs w:val="21"/>
        </w:rPr>
        <w:t xml:space="preserve">Realized investments in </w:t>
      </w:r>
      <w:r w:rsidRPr="00BD0D5F">
        <w:rPr>
          <w:rFonts w:cs="Arial"/>
          <w:b/>
          <w:sz w:val="21"/>
          <w:szCs w:val="21"/>
        </w:rPr>
        <w:t xml:space="preserve">total </w:t>
      </w:r>
      <w:r w:rsidR="00234171" w:rsidRPr="00BD0D5F">
        <w:rPr>
          <w:rFonts w:cs="Arial"/>
          <w:b/>
          <w:sz w:val="21"/>
          <w:szCs w:val="21"/>
        </w:rPr>
        <w:t>fixed assets</w:t>
      </w:r>
      <w:r w:rsidR="00234171" w:rsidRPr="00BD0D5F">
        <w:rPr>
          <w:rFonts w:cs="Arial"/>
          <w:sz w:val="21"/>
          <w:szCs w:val="21"/>
        </w:rPr>
        <w:t xml:space="preserve"> i</w:t>
      </w:r>
      <w:r w:rsidR="008D784B" w:rsidRPr="00BD0D5F">
        <w:rPr>
          <w:rFonts w:cs="Arial"/>
          <w:sz w:val="21"/>
          <w:szCs w:val="21"/>
        </w:rPr>
        <w:t>n the Republic of Serbia in 201</w:t>
      </w:r>
      <w:r w:rsidR="00E21A32" w:rsidRPr="00BD0D5F">
        <w:rPr>
          <w:rFonts w:cs="Arial"/>
          <w:sz w:val="21"/>
          <w:szCs w:val="21"/>
        </w:rPr>
        <w:t>7</w:t>
      </w:r>
      <w:r w:rsidR="008D784B" w:rsidRPr="00BD0D5F">
        <w:rPr>
          <w:rFonts w:cs="Arial"/>
          <w:sz w:val="21"/>
          <w:szCs w:val="21"/>
        </w:rPr>
        <w:t xml:space="preserve"> </w:t>
      </w:r>
      <w:r w:rsidR="00E26260" w:rsidRPr="00BD0D5F">
        <w:rPr>
          <w:rFonts w:cs="Arial"/>
          <w:sz w:val="21"/>
          <w:szCs w:val="21"/>
        </w:rPr>
        <w:t>in</w:t>
      </w:r>
      <w:r w:rsidR="008D784B" w:rsidRPr="00BD0D5F">
        <w:rPr>
          <w:rFonts w:cs="Arial"/>
          <w:sz w:val="21"/>
          <w:szCs w:val="21"/>
        </w:rPr>
        <w:t xml:space="preserve">creased by </w:t>
      </w:r>
      <w:r w:rsidR="00E21A32" w:rsidRPr="00BD0D5F">
        <w:rPr>
          <w:rFonts w:cs="Arial"/>
          <w:sz w:val="21"/>
          <w:szCs w:val="21"/>
        </w:rPr>
        <w:t>13</w:t>
      </w:r>
      <w:r w:rsidR="00DD0985" w:rsidRPr="00BD0D5F">
        <w:rPr>
          <w:rFonts w:cs="Arial"/>
          <w:sz w:val="21"/>
          <w:szCs w:val="21"/>
        </w:rPr>
        <w:t>.</w:t>
      </w:r>
      <w:r w:rsidR="00E21A32" w:rsidRPr="00BD0D5F">
        <w:rPr>
          <w:rFonts w:cs="Arial"/>
          <w:sz w:val="21"/>
          <w:szCs w:val="21"/>
        </w:rPr>
        <w:t>7</w:t>
      </w:r>
      <w:r w:rsidR="00344C64" w:rsidRPr="00BD0D5F">
        <w:rPr>
          <w:rFonts w:cs="Arial"/>
          <w:sz w:val="21"/>
          <w:szCs w:val="21"/>
        </w:rPr>
        <w:t>%</w:t>
      </w:r>
      <w:r w:rsidR="008D784B" w:rsidRPr="00BD0D5F">
        <w:rPr>
          <w:rFonts w:cs="Arial"/>
          <w:sz w:val="21"/>
          <w:szCs w:val="21"/>
        </w:rPr>
        <w:t xml:space="preserve"> relative to</w:t>
      </w:r>
      <w:r w:rsidR="00EA6224" w:rsidRPr="00BD0D5F">
        <w:rPr>
          <w:rFonts w:cs="Arial"/>
          <w:sz w:val="21"/>
          <w:szCs w:val="21"/>
        </w:rPr>
        <w:t xml:space="preserve"> the previous year</w:t>
      </w:r>
      <w:r w:rsidR="00234171" w:rsidRPr="00BD0D5F">
        <w:rPr>
          <w:rFonts w:cs="Arial"/>
          <w:sz w:val="21"/>
          <w:szCs w:val="21"/>
        </w:rPr>
        <w:t xml:space="preserve">, while </w:t>
      </w:r>
      <w:r w:rsidR="00E07864" w:rsidRPr="00BD0D5F">
        <w:rPr>
          <w:rFonts w:cs="Arial"/>
          <w:sz w:val="21"/>
          <w:szCs w:val="21"/>
        </w:rPr>
        <w:t xml:space="preserve">realized </w:t>
      </w:r>
      <w:r w:rsidR="00234171" w:rsidRPr="00BD0D5F">
        <w:rPr>
          <w:rFonts w:cs="Arial"/>
          <w:sz w:val="21"/>
          <w:szCs w:val="21"/>
        </w:rPr>
        <w:t>in</w:t>
      </w:r>
      <w:r w:rsidR="008D784B" w:rsidRPr="00BD0D5F">
        <w:rPr>
          <w:rFonts w:cs="Arial"/>
          <w:sz w:val="21"/>
          <w:szCs w:val="21"/>
        </w:rPr>
        <w:t xml:space="preserve">vestments in </w:t>
      </w:r>
      <w:r w:rsidR="008D784B" w:rsidRPr="00BD0D5F">
        <w:rPr>
          <w:rFonts w:cs="Arial"/>
          <w:b/>
          <w:sz w:val="21"/>
          <w:szCs w:val="21"/>
        </w:rPr>
        <w:t>new fixed assets</w:t>
      </w:r>
      <w:r w:rsidR="008D784B" w:rsidRPr="00BD0D5F">
        <w:rPr>
          <w:rFonts w:cs="Arial"/>
          <w:sz w:val="21"/>
          <w:szCs w:val="21"/>
        </w:rPr>
        <w:t xml:space="preserve"> </w:t>
      </w:r>
      <w:r w:rsidR="00E26260" w:rsidRPr="00BD0D5F">
        <w:rPr>
          <w:rFonts w:cs="Arial"/>
          <w:sz w:val="21"/>
          <w:szCs w:val="21"/>
        </w:rPr>
        <w:t>in</w:t>
      </w:r>
      <w:r w:rsidR="008D784B" w:rsidRPr="00BD0D5F">
        <w:rPr>
          <w:rFonts w:cs="Arial"/>
          <w:sz w:val="21"/>
          <w:szCs w:val="21"/>
        </w:rPr>
        <w:t xml:space="preserve">creased by </w:t>
      </w:r>
      <w:r w:rsidR="00E07864" w:rsidRPr="00BD0D5F">
        <w:rPr>
          <w:rFonts w:cs="Arial"/>
          <w:sz w:val="21"/>
          <w:szCs w:val="21"/>
        </w:rPr>
        <w:t>13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7</w:t>
      </w:r>
      <w:r w:rsidR="00344C64" w:rsidRPr="00BD0D5F">
        <w:rPr>
          <w:rFonts w:cs="Arial"/>
          <w:sz w:val="21"/>
          <w:szCs w:val="21"/>
        </w:rPr>
        <w:t>%</w:t>
      </w:r>
      <w:r w:rsidR="008D784B" w:rsidRPr="00BD0D5F">
        <w:rPr>
          <w:rFonts w:cs="Arial"/>
          <w:sz w:val="21"/>
          <w:szCs w:val="21"/>
        </w:rPr>
        <w:t xml:space="preserve"> in 201</w:t>
      </w:r>
      <w:r w:rsidR="00E07864" w:rsidRPr="00BD0D5F">
        <w:rPr>
          <w:rFonts w:cs="Arial"/>
          <w:sz w:val="21"/>
          <w:szCs w:val="21"/>
        </w:rPr>
        <w:t>7</w:t>
      </w:r>
      <w:r w:rsidR="008D784B" w:rsidRPr="00BD0D5F">
        <w:rPr>
          <w:rFonts w:cs="Arial"/>
          <w:sz w:val="21"/>
          <w:szCs w:val="21"/>
        </w:rPr>
        <w:t xml:space="preserve">, compared to </w:t>
      </w:r>
      <w:r w:rsidR="00EA6224" w:rsidRPr="00BD0D5F">
        <w:rPr>
          <w:rFonts w:cs="Arial"/>
          <w:sz w:val="21"/>
          <w:szCs w:val="21"/>
        </w:rPr>
        <w:t>the previous year</w:t>
      </w:r>
      <w:r w:rsidR="00234171" w:rsidRPr="00BD0D5F">
        <w:rPr>
          <w:rFonts w:cs="Arial"/>
          <w:sz w:val="21"/>
          <w:szCs w:val="21"/>
        </w:rPr>
        <w:t>.</w:t>
      </w:r>
    </w:p>
    <w:p w:rsidR="00892A54" w:rsidRPr="00BD0D5F" w:rsidRDefault="00234171" w:rsidP="00BD0D5F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BD0D5F">
        <w:rPr>
          <w:rFonts w:cs="Arial"/>
          <w:sz w:val="21"/>
          <w:szCs w:val="21"/>
        </w:rPr>
        <w:t xml:space="preserve">Observed by </w:t>
      </w:r>
      <w:r w:rsidR="00DF3E99" w:rsidRPr="00BD0D5F">
        <w:rPr>
          <w:rFonts w:cs="Arial"/>
          <w:sz w:val="21"/>
          <w:szCs w:val="21"/>
        </w:rPr>
        <w:t>regions</w:t>
      </w:r>
      <w:r w:rsidRPr="00BD0D5F">
        <w:rPr>
          <w:rFonts w:cs="Arial"/>
          <w:sz w:val="21"/>
          <w:szCs w:val="21"/>
        </w:rPr>
        <w:t xml:space="preserve">, </w:t>
      </w:r>
      <w:r w:rsidR="008F0E49" w:rsidRPr="00BD0D5F">
        <w:rPr>
          <w:rFonts w:cs="Arial"/>
          <w:sz w:val="21"/>
          <w:szCs w:val="21"/>
        </w:rPr>
        <w:t>5</w:t>
      </w:r>
      <w:r w:rsidR="00231000" w:rsidRPr="00BD0D5F">
        <w:rPr>
          <w:rFonts w:cs="Arial"/>
          <w:sz w:val="21"/>
          <w:szCs w:val="21"/>
        </w:rPr>
        <w:t>1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4</w:t>
      </w:r>
      <w:r w:rsidR="008F0E49" w:rsidRPr="00BD0D5F">
        <w:rPr>
          <w:rFonts w:cs="Arial"/>
          <w:sz w:val="21"/>
          <w:szCs w:val="21"/>
        </w:rPr>
        <w:t xml:space="preserve">% </w:t>
      </w:r>
      <w:r w:rsidRPr="00BD0D5F">
        <w:rPr>
          <w:rFonts w:cs="Arial"/>
          <w:sz w:val="21"/>
          <w:szCs w:val="21"/>
        </w:rPr>
        <w:t xml:space="preserve">of </w:t>
      </w:r>
      <w:r w:rsidR="00F00B89" w:rsidRPr="00BD0D5F">
        <w:rPr>
          <w:rFonts w:cs="Arial"/>
          <w:sz w:val="21"/>
          <w:szCs w:val="21"/>
        </w:rPr>
        <w:t xml:space="preserve">total </w:t>
      </w:r>
      <w:r w:rsidR="00DF3E99" w:rsidRPr="00BD0D5F">
        <w:rPr>
          <w:rFonts w:cs="Arial"/>
          <w:sz w:val="21"/>
          <w:szCs w:val="21"/>
        </w:rPr>
        <w:t>investments</w:t>
      </w:r>
      <w:r w:rsidR="00D3143F" w:rsidRPr="00BD0D5F">
        <w:rPr>
          <w:rFonts w:cs="Arial"/>
          <w:sz w:val="21"/>
          <w:szCs w:val="21"/>
        </w:rPr>
        <w:t xml:space="preserve"> were</w:t>
      </w:r>
      <w:r w:rsidR="00DF3E99" w:rsidRPr="00BD0D5F">
        <w:rPr>
          <w:rFonts w:cs="Arial"/>
          <w:sz w:val="21"/>
          <w:szCs w:val="21"/>
        </w:rPr>
        <w:t xml:space="preserve"> </w:t>
      </w:r>
      <w:r w:rsidRPr="00BD0D5F">
        <w:rPr>
          <w:rFonts w:cs="Arial"/>
          <w:sz w:val="21"/>
          <w:szCs w:val="21"/>
        </w:rPr>
        <w:t xml:space="preserve">realized </w:t>
      </w:r>
      <w:r w:rsidR="007346B7" w:rsidRPr="00BD0D5F">
        <w:rPr>
          <w:rFonts w:cs="Arial"/>
          <w:sz w:val="21"/>
          <w:szCs w:val="21"/>
        </w:rPr>
        <w:t xml:space="preserve">in </w:t>
      </w:r>
      <w:r w:rsidR="00AC6C33" w:rsidRPr="00BD0D5F">
        <w:rPr>
          <w:rFonts w:cs="Arial"/>
          <w:sz w:val="21"/>
          <w:szCs w:val="21"/>
        </w:rPr>
        <w:t>Beogradski region</w:t>
      </w:r>
      <w:r w:rsidR="00DF3E99" w:rsidRPr="00BD0D5F">
        <w:rPr>
          <w:rFonts w:cs="Arial"/>
          <w:sz w:val="21"/>
          <w:szCs w:val="21"/>
        </w:rPr>
        <w:t xml:space="preserve">, </w:t>
      </w:r>
      <w:r w:rsidR="008F0E49" w:rsidRPr="00BD0D5F">
        <w:rPr>
          <w:rFonts w:cs="Arial"/>
          <w:sz w:val="21"/>
          <w:szCs w:val="21"/>
        </w:rPr>
        <w:t>2</w:t>
      </w:r>
      <w:r w:rsidR="00E07864" w:rsidRPr="00BD0D5F">
        <w:rPr>
          <w:rFonts w:cs="Arial"/>
          <w:sz w:val="21"/>
          <w:szCs w:val="21"/>
        </w:rPr>
        <w:t>6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9</w:t>
      </w:r>
      <w:r w:rsidR="008F0E49" w:rsidRPr="00BD0D5F">
        <w:rPr>
          <w:rFonts w:cs="Arial"/>
          <w:sz w:val="21"/>
          <w:szCs w:val="21"/>
        </w:rPr>
        <w:t>%</w:t>
      </w:r>
      <w:r w:rsidR="00AC6C33" w:rsidRPr="00BD0D5F">
        <w:rPr>
          <w:rFonts w:cs="Arial"/>
          <w:sz w:val="21"/>
          <w:szCs w:val="21"/>
        </w:rPr>
        <w:t xml:space="preserve"> in Region Vojvodine</w:t>
      </w:r>
      <w:r w:rsidR="00DF3E99" w:rsidRPr="00BD0D5F">
        <w:rPr>
          <w:rFonts w:cs="Arial"/>
          <w:sz w:val="21"/>
          <w:szCs w:val="21"/>
        </w:rPr>
        <w:t xml:space="preserve">, </w:t>
      </w:r>
      <w:r w:rsidR="008F0E49" w:rsidRPr="00BD0D5F">
        <w:rPr>
          <w:rFonts w:cs="Arial"/>
          <w:sz w:val="21"/>
          <w:szCs w:val="21"/>
        </w:rPr>
        <w:t>1</w:t>
      </w:r>
      <w:r w:rsidR="00231000" w:rsidRPr="00BD0D5F">
        <w:rPr>
          <w:rFonts w:cs="Arial"/>
          <w:sz w:val="21"/>
          <w:szCs w:val="21"/>
        </w:rPr>
        <w:t>3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4</w:t>
      </w:r>
      <w:r w:rsidR="008F0E49" w:rsidRPr="00BD0D5F">
        <w:rPr>
          <w:rFonts w:cs="Arial"/>
          <w:sz w:val="21"/>
          <w:szCs w:val="21"/>
        </w:rPr>
        <w:t xml:space="preserve">% </w:t>
      </w:r>
      <w:r w:rsidR="00AC6C33" w:rsidRPr="00BD0D5F">
        <w:rPr>
          <w:rFonts w:cs="Arial"/>
          <w:sz w:val="21"/>
          <w:szCs w:val="21"/>
        </w:rPr>
        <w:t>in Region Šumadije i Zapadne Srbije</w:t>
      </w:r>
      <w:r w:rsidR="00DF3E99" w:rsidRPr="00BD0D5F">
        <w:rPr>
          <w:rFonts w:cs="Arial"/>
          <w:sz w:val="21"/>
          <w:szCs w:val="21"/>
        </w:rPr>
        <w:t xml:space="preserve"> </w:t>
      </w:r>
      <w:r w:rsidR="00D3143F" w:rsidRPr="00BD0D5F">
        <w:rPr>
          <w:rFonts w:cs="Arial"/>
          <w:sz w:val="21"/>
          <w:szCs w:val="21"/>
        </w:rPr>
        <w:t xml:space="preserve">and </w:t>
      </w:r>
      <w:r w:rsidR="00E07864" w:rsidRPr="00BD0D5F">
        <w:rPr>
          <w:rFonts w:cs="Arial"/>
          <w:sz w:val="21"/>
          <w:szCs w:val="21"/>
        </w:rPr>
        <w:t>8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3</w:t>
      </w:r>
      <w:r w:rsidR="008F0E49" w:rsidRPr="00BD0D5F">
        <w:rPr>
          <w:rFonts w:cs="Arial"/>
          <w:sz w:val="21"/>
          <w:szCs w:val="21"/>
        </w:rPr>
        <w:t xml:space="preserve">% </w:t>
      </w:r>
      <w:r w:rsidR="00AC6C33" w:rsidRPr="00BD0D5F">
        <w:rPr>
          <w:rFonts w:cs="Arial"/>
          <w:sz w:val="21"/>
          <w:szCs w:val="21"/>
        </w:rPr>
        <w:t>in Region Južne i Istočne Srbije</w:t>
      </w:r>
      <w:r w:rsidRPr="00BD0D5F">
        <w:rPr>
          <w:rFonts w:cs="Arial"/>
          <w:sz w:val="21"/>
          <w:szCs w:val="21"/>
        </w:rPr>
        <w:t>.</w:t>
      </w:r>
      <w:r w:rsidR="00CD3768" w:rsidRPr="00BD0D5F">
        <w:rPr>
          <w:rFonts w:cs="Arial"/>
          <w:sz w:val="21"/>
          <w:szCs w:val="21"/>
        </w:rPr>
        <w:t xml:space="preserve"> </w:t>
      </w:r>
    </w:p>
    <w:p w:rsidR="000C2B67" w:rsidRPr="00BD0D5F" w:rsidRDefault="00374991" w:rsidP="00BD0D5F">
      <w:pPr>
        <w:autoSpaceDE w:val="0"/>
        <w:autoSpaceDN w:val="0"/>
        <w:adjustRightInd w:val="0"/>
        <w:spacing w:before="120" w:after="120" w:line="312" w:lineRule="auto"/>
        <w:ind w:left="397" w:right="397"/>
        <w:jc w:val="both"/>
        <w:rPr>
          <w:rFonts w:cs="Arial"/>
          <w:sz w:val="21"/>
          <w:szCs w:val="21"/>
        </w:rPr>
      </w:pPr>
      <w:r w:rsidRPr="00BD0D5F">
        <w:rPr>
          <w:rFonts w:cs="Arial"/>
          <w:sz w:val="21"/>
          <w:szCs w:val="21"/>
        </w:rPr>
        <w:t xml:space="preserve">Observed by activities, the greatest share </w:t>
      </w:r>
      <w:r w:rsidR="00F34F1B" w:rsidRPr="00BD0D5F">
        <w:rPr>
          <w:rFonts w:cs="Arial"/>
          <w:sz w:val="21"/>
          <w:szCs w:val="21"/>
        </w:rPr>
        <w:t>of</w:t>
      </w:r>
      <w:r w:rsidRPr="00BD0D5F">
        <w:rPr>
          <w:rFonts w:cs="Arial"/>
          <w:sz w:val="21"/>
          <w:szCs w:val="21"/>
        </w:rPr>
        <w:t xml:space="preserve"> </w:t>
      </w:r>
      <w:r w:rsidR="004D0ED2" w:rsidRPr="00BD0D5F">
        <w:rPr>
          <w:rFonts w:cs="Arial"/>
          <w:sz w:val="21"/>
          <w:szCs w:val="21"/>
        </w:rPr>
        <w:t xml:space="preserve">total </w:t>
      </w:r>
      <w:r w:rsidRPr="00BD0D5F">
        <w:rPr>
          <w:rFonts w:cs="Arial"/>
          <w:sz w:val="21"/>
          <w:szCs w:val="21"/>
        </w:rPr>
        <w:t xml:space="preserve">realized investments in fixed assets in the Republic of Serbia was noted as follows: </w:t>
      </w:r>
      <w:r w:rsidR="00D5150C" w:rsidRPr="00BD0D5F">
        <w:rPr>
          <w:rFonts w:cs="Arial"/>
          <w:sz w:val="21"/>
          <w:szCs w:val="21"/>
        </w:rPr>
        <w:t>sect</w:t>
      </w:r>
      <w:r w:rsidR="00F34F1B" w:rsidRPr="00BD0D5F">
        <w:rPr>
          <w:rFonts w:cs="Arial"/>
          <w:sz w:val="21"/>
          <w:szCs w:val="21"/>
        </w:rPr>
        <w:t>i</w:t>
      </w:r>
      <w:r w:rsidR="00D5150C" w:rsidRPr="00BD0D5F">
        <w:rPr>
          <w:rFonts w:cs="Arial"/>
          <w:sz w:val="21"/>
          <w:szCs w:val="21"/>
        </w:rPr>
        <w:t>o</w:t>
      </w:r>
      <w:r w:rsidR="00F34F1B" w:rsidRPr="00BD0D5F">
        <w:rPr>
          <w:rFonts w:cs="Arial"/>
          <w:sz w:val="21"/>
          <w:szCs w:val="21"/>
        </w:rPr>
        <w:t>n</w:t>
      </w:r>
      <w:r w:rsidR="00A91879" w:rsidRPr="00BD0D5F">
        <w:rPr>
          <w:rFonts w:cs="Arial"/>
          <w:sz w:val="21"/>
          <w:szCs w:val="21"/>
        </w:rPr>
        <w:t xml:space="preserve"> of manufacturing </w:t>
      </w:r>
      <w:r w:rsidR="00E07864" w:rsidRPr="00BD0D5F">
        <w:rPr>
          <w:rFonts w:cs="Arial"/>
          <w:sz w:val="21"/>
          <w:szCs w:val="21"/>
        </w:rPr>
        <w:t>(</w:t>
      </w:r>
      <w:r w:rsidR="00DD0985" w:rsidRPr="00BD0D5F">
        <w:rPr>
          <w:rFonts w:cs="Arial"/>
          <w:sz w:val="21"/>
          <w:szCs w:val="21"/>
        </w:rPr>
        <w:t>2</w:t>
      </w:r>
      <w:r w:rsidR="00E07864" w:rsidRPr="00BD0D5F">
        <w:rPr>
          <w:rFonts w:cs="Arial"/>
          <w:sz w:val="21"/>
          <w:szCs w:val="21"/>
        </w:rPr>
        <w:t>3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2</w:t>
      </w:r>
      <w:r w:rsidR="00DD0985" w:rsidRPr="00BD0D5F">
        <w:rPr>
          <w:rFonts w:cs="Arial"/>
          <w:sz w:val="21"/>
          <w:szCs w:val="21"/>
        </w:rPr>
        <w:t>%</w:t>
      </w:r>
      <w:r w:rsidR="00E07864" w:rsidRPr="00BD0D5F">
        <w:rPr>
          <w:rFonts w:cs="Arial"/>
          <w:sz w:val="21"/>
          <w:szCs w:val="21"/>
        </w:rPr>
        <w:t>)</w:t>
      </w:r>
      <w:r w:rsidR="00D5150C" w:rsidRPr="00BD0D5F">
        <w:rPr>
          <w:rFonts w:cs="Arial"/>
          <w:sz w:val="21"/>
          <w:szCs w:val="21"/>
        </w:rPr>
        <w:t xml:space="preserve">, </w:t>
      </w:r>
      <w:r w:rsidR="00DD0985" w:rsidRPr="00BD0D5F">
        <w:rPr>
          <w:rFonts w:cs="Arial"/>
          <w:sz w:val="21"/>
          <w:szCs w:val="21"/>
        </w:rPr>
        <w:t xml:space="preserve">section of </w:t>
      </w:r>
      <w:r w:rsidR="004D0ED2" w:rsidRPr="00BD0D5F">
        <w:rPr>
          <w:rFonts w:cs="Arial"/>
          <w:sz w:val="21"/>
          <w:szCs w:val="21"/>
        </w:rPr>
        <w:t>public administration and defence;</w:t>
      </w:r>
      <w:r w:rsidR="00E07864" w:rsidRPr="00BD0D5F">
        <w:rPr>
          <w:rFonts w:cs="Arial"/>
          <w:sz w:val="21"/>
          <w:szCs w:val="21"/>
        </w:rPr>
        <w:t xml:space="preserve"> </w:t>
      </w:r>
      <w:r w:rsidR="00FD61E7" w:rsidRPr="00BD0D5F">
        <w:rPr>
          <w:rFonts w:cs="Arial"/>
          <w:sz w:val="21"/>
          <w:szCs w:val="21"/>
        </w:rPr>
        <w:t>compulsory</w:t>
      </w:r>
      <w:r w:rsidR="00E07864" w:rsidRPr="00BD0D5F">
        <w:rPr>
          <w:rFonts w:cs="Arial"/>
          <w:sz w:val="21"/>
          <w:szCs w:val="21"/>
        </w:rPr>
        <w:t xml:space="preserve"> social </w:t>
      </w:r>
      <w:r w:rsidR="004D0ED2" w:rsidRPr="00BD0D5F">
        <w:rPr>
          <w:rFonts w:cs="Arial"/>
          <w:sz w:val="21"/>
          <w:szCs w:val="21"/>
        </w:rPr>
        <w:t>security</w:t>
      </w:r>
      <w:r w:rsidR="00E07864" w:rsidRPr="00BD0D5F">
        <w:rPr>
          <w:rFonts w:cs="Arial"/>
          <w:sz w:val="21"/>
          <w:szCs w:val="21"/>
        </w:rPr>
        <w:t xml:space="preserve"> (15.3%), section of </w:t>
      </w:r>
      <w:r w:rsidR="00DD0985" w:rsidRPr="00BD0D5F">
        <w:rPr>
          <w:rFonts w:cs="Arial"/>
          <w:sz w:val="21"/>
          <w:szCs w:val="21"/>
        </w:rPr>
        <w:t xml:space="preserve">electricity, gas, steam and air conditioning supply </w:t>
      </w:r>
      <w:r w:rsidR="00E07864" w:rsidRPr="00BD0D5F">
        <w:rPr>
          <w:rFonts w:cs="Arial"/>
          <w:sz w:val="21"/>
          <w:szCs w:val="21"/>
        </w:rPr>
        <w:t>(</w:t>
      </w:r>
      <w:r w:rsidR="00DD0985" w:rsidRPr="00BD0D5F">
        <w:rPr>
          <w:rFonts w:cs="Arial"/>
          <w:sz w:val="21"/>
          <w:szCs w:val="21"/>
        </w:rPr>
        <w:t>1</w:t>
      </w:r>
      <w:r w:rsidR="00E07864" w:rsidRPr="00BD0D5F">
        <w:rPr>
          <w:rFonts w:cs="Arial"/>
          <w:sz w:val="21"/>
          <w:szCs w:val="21"/>
        </w:rPr>
        <w:t>0</w:t>
      </w:r>
      <w:r w:rsidR="00DD0985" w:rsidRPr="00BD0D5F">
        <w:rPr>
          <w:rFonts w:cs="Arial"/>
          <w:sz w:val="21"/>
          <w:szCs w:val="21"/>
        </w:rPr>
        <w:t>%</w:t>
      </w:r>
      <w:r w:rsidR="00E07864" w:rsidRPr="00BD0D5F">
        <w:rPr>
          <w:rFonts w:cs="Arial"/>
          <w:sz w:val="21"/>
          <w:szCs w:val="21"/>
        </w:rPr>
        <w:t>)</w:t>
      </w:r>
      <w:r w:rsidR="00DD0985" w:rsidRPr="00BD0D5F">
        <w:rPr>
          <w:rFonts w:cs="Arial"/>
          <w:sz w:val="21"/>
          <w:szCs w:val="21"/>
        </w:rPr>
        <w:t>,</w:t>
      </w:r>
      <w:r w:rsidR="00E26260" w:rsidRPr="00BD0D5F">
        <w:rPr>
          <w:rFonts w:cs="Arial"/>
          <w:sz w:val="21"/>
          <w:szCs w:val="21"/>
        </w:rPr>
        <w:t xml:space="preserve"> </w:t>
      </w:r>
      <w:r w:rsidR="00545EA0" w:rsidRPr="00BD0D5F">
        <w:rPr>
          <w:rFonts w:cs="Arial"/>
          <w:sz w:val="21"/>
          <w:szCs w:val="21"/>
        </w:rPr>
        <w:t xml:space="preserve">section of wholesale and retail trade; repair of motor vehicles and motorcycles </w:t>
      </w:r>
      <w:r w:rsidR="00E07864" w:rsidRPr="00BD0D5F">
        <w:rPr>
          <w:rFonts w:cs="Arial"/>
          <w:sz w:val="21"/>
          <w:szCs w:val="21"/>
        </w:rPr>
        <w:t>(9</w:t>
      </w:r>
      <w:r w:rsidR="00545EA0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4</w:t>
      </w:r>
      <w:r w:rsidR="00545EA0" w:rsidRPr="00BD0D5F">
        <w:rPr>
          <w:rFonts w:cs="Arial"/>
          <w:sz w:val="21"/>
          <w:szCs w:val="21"/>
        </w:rPr>
        <w:t>%</w:t>
      </w:r>
      <w:r w:rsidR="00E07864" w:rsidRPr="00BD0D5F">
        <w:rPr>
          <w:rFonts w:cs="Arial"/>
          <w:sz w:val="21"/>
          <w:szCs w:val="21"/>
        </w:rPr>
        <w:t>)</w:t>
      </w:r>
      <w:r w:rsidR="00545EA0" w:rsidRPr="00BD0D5F">
        <w:rPr>
          <w:rFonts w:cs="Arial"/>
          <w:sz w:val="21"/>
          <w:szCs w:val="21"/>
        </w:rPr>
        <w:t xml:space="preserve">, </w:t>
      </w:r>
      <w:r w:rsidR="00E07864" w:rsidRPr="00BD0D5F">
        <w:rPr>
          <w:rFonts w:cs="Arial"/>
          <w:sz w:val="21"/>
          <w:szCs w:val="21"/>
        </w:rPr>
        <w:t>a</w:t>
      </w:r>
      <w:r w:rsidR="00545EA0" w:rsidRPr="00BD0D5F">
        <w:rPr>
          <w:rFonts w:cs="Arial"/>
          <w:sz w:val="21"/>
          <w:szCs w:val="21"/>
        </w:rPr>
        <w:t>nd section of transport</w:t>
      </w:r>
      <w:r w:rsidR="004A2CD2" w:rsidRPr="00BD0D5F">
        <w:rPr>
          <w:rFonts w:cs="Arial"/>
          <w:sz w:val="21"/>
          <w:szCs w:val="21"/>
        </w:rPr>
        <w:t>ation</w:t>
      </w:r>
      <w:r w:rsidR="00545EA0" w:rsidRPr="00BD0D5F">
        <w:rPr>
          <w:rFonts w:cs="Arial"/>
          <w:sz w:val="21"/>
          <w:szCs w:val="21"/>
        </w:rPr>
        <w:t xml:space="preserve"> and storage</w:t>
      </w:r>
      <w:r w:rsidR="00DD0985" w:rsidRPr="00BD0D5F">
        <w:rPr>
          <w:rFonts w:cs="Arial"/>
          <w:sz w:val="21"/>
          <w:szCs w:val="21"/>
        </w:rPr>
        <w:t xml:space="preserve"> </w:t>
      </w:r>
      <w:r w:rsidR="00E07864" w:rsidRPr="00BD0D5F">
        <w:rPr>
          <w:rFonts w:cs="Arial"/>
          <w:sz w:val="21"/>
          <w:szCs w:val="21"/>
        </w:rPr>
        <w:t>(</w:t>
      </w:r>
      <w:r w:rsidR="00545EA0" w:rsidRPr="00BD0D5F">
        <w:rPr>
          <w:rFonts w:cs="Arial"/>
          <w:sz w:val="21"/>
          <w:szCs w:val="21"/>
        </w:rPr>
        <w:t>7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6</w:t>
      </w:r>
      <w:r w:rsidR="00E26260" w:rsidRPr="00BD0D5F">
        <w:rPr>
          <w:rFonts w:cs="Arial"/>
          <w:sz w:val="21"/>
          <w:szCs w:val="21"/>
        </w:rPr>
        <w:t>%</w:t>
      </w:r>
      <w:r w:rsidR="00E07864" w:rsidRPr="00BD0D5F">
        <w:rPr>
          <w:rFonts w:cs="Arial"/>
          <w:sz w:val="21"/>
          <w:szCs w:val="21"/>
        </w:rPr>
        <w:t>)</w:t>
      </w:r>
      <w:r w:rsidR="00DD0985" w:rsidRPr="00BD0D5F">
        <w:rPr>
          <w:rFonts w:cs="Arial"/>
          <w:sz w:val="21"/>
          <w:szCs w:val="21"/>
        </w:rPr>
        <w:t>.</w:t>
      </w:r>
    </w:p>
    <w:p w:rsidR="0085382A" w:rsidRPr="00BD0D5F" w:rsidRDefault="00D5150C" w:rsidP="00BD0D5F">
      <w:pPr>
        <w:pStyle w:val="BodyText"/>
        <w:spacing w:before="120" w:line="312" w:lineRule="auto"/>
        <w:ind w:left="397" w:right="397"/>
        <w:jc w:val="both"/>
        <w:rPr>
          <w:sz w:val="21"/>
          <w:szCs w:val="21"/>
        </w:rPr>
      </w:pPr>
      <w:r w:rsidRPr="00BD0D5F">
        <w:rPr>
          <w:rFonts w:cs="Arial"/>
          <w:sz w:val="21"/>
          <w:szCs w:val="21"/>
        </w:rPr>
        <w:t xml:space="preserve">The greatest share in total payments for investments in fixed assets related to </w:t>
      </w:r>
      <w:r w:rsidR="00D21B18" w:rsidRPr="00BD0D5F">
        <w:rPr>
          <w:rFonts w:cs="Arial"/>
          <w:sz w:val="21"/>
          <w:szCs w:val="21"/>
        </w:rPr>
        <w:t xml:space="preserve">payments from own resources – </w:t>
      </w:r>
      <w:r w:rsidR="00DD0985" w:rsidRPr="00BD0D5F">
        <w:rPr>
          <w:rFonts w:cs="Arial"/>
          <w:sz w:val="21"/>
          <w:szCs w:val="21"/>
        </w:rPr>
        <w:t>7</w:t>
      </w:r>
      <w:r w:rsidR="00E07864" w:rsidRPr="00BD0D5F">
        <w:rPr>
          <w:rFonts w:cs="Arial"/>
          <w:sz w:val="21"/>
          <w:szCs w:val="21"/>
        </w:rPr>
        <w:t>7</w:t>
      </w:r>
      <w:r w:rsidR="00DD0985" w:rsidRPr="00BD0D5F">
        <w:rPr>
          <w:rFonts w:cs="Arial"/>
          <w:sz w:val="21"/>
          <w:szCs w:val="21"/>
        </w:rPr>
        <w:t>.</w:t>
      </w:r>
      <w:r w:rsidR="00E07864" w:rsidRPr="00BD0D5F">
        <w:rPr>
          <w:rFonts w:cs="Arial"/>
          <w:sz w:val="21"/>
          <w:szCs w:val="21"/>
        </w:rPr>
        <w:t>2</w:t>
      </w:r>
      <w:r w:rsidR="00DD0985" w:rsidRPr="00BD0D5F">
        <w:rPr>
          <w:rFonts w:cs="Arial"/>
          <w:sz w:val="21"/>
          <w:szCs w:val="21"/>
        </w:rPr>
        <w:t>%</w:t>
      </w:r>
      <w:r w:rsidRPr="00BD0D5F">
        <w:rPr>
          <w:rFonts w:cs="Arial"/>
          <w:sz w:val="21"/>
          <w:szCs w:val="21"/>
        </w:rPr>
        <w:t xml:space="preserve">.  </w:t>
      </w:r>
    </w:p>
    <w:p w:rsidR="00F00B89" w:rsidRDefault="00F00B89" w:rsidP="00F00B89">
      <w:pPr>
        <w:autoSpaceDE w:val="0"/>
        <w:autoSpaceDN w:val="0"/>
        <w:adjustRightInd w:val="0"/>
        <w:spacing w:before="120" w:after="120" w:line="228" w:lineRule="auto"/>
        <w:jc w:val="both"/>
        <w:rPr>
          <w:rFonts w:cs="Arial"/>
          <w:color w:val="FF0000"/>
          <w:szCs w:val="20"/>
        </w:rPr>
      </w:pPr>
      <w:r w:rsidRPr="00CF3EEA">
        <w:rPr>
          <w:rFonts w:cs="Arial"/>
          <w:color w:val="FF0000"/>
          <w:szCs w:val="20"/>
        </w:rPr>
        <w:t xml:space="preserve">       </w:t>
      </w:r>
    </w:p>
    <w:p w:rsidR="00BD0D5F" w:rsidRDefault="00BD0D5F" w:rsidP="00F00B89">
      <w:pPr>
        <w:autoSpaceDE w:val="0"/>
        <w:autoSpaceDN w:val="0"/>
        <w:adjustRightInd w:val="0"/>
        <w:spacing w:before="120" w:after="120" w:line="228" w:lineRule="auto"/>
        <w:jc w:val="both"/>
        <w:rPr>
          <w:rFonts w:cs="Arial"/>
          <w:color w:val="FF0000"/>
          <w:szCs w:val="20"/>
        </w:rPr>
      </w:pPr>
    </w:p>
    <w:p w:rsidR="00BD0D5F" w:rsidRDefault="00BD0D5F" w:rsidP="00F00B89">
      <w:pPr>
        <w:autoSpaceDE w:val="0"/>
        <w:autoSpaceDN w:val="0"/>
        <w:adjustRightInd w:val="0"/>
        <w:spacing w:before="120" w:after="120" w:line="228" w:lineRule="auto"/>
        <w:jc w:val="both"/>
        <w:rPr>
          <w:rFonts w:cs="Arial"/>
          <w:color w:val="FF0000"/>
          <w:szCs w:val="20"/>
        </w:rPr>
      </w:pPr>
    </w:p>
    <w:p w:rsidR="00BD0D5F" w:rsidRDefault="00BD0D5F" w:rsidP="00F00B89">
      <w:pPr>
        <w:autoSpaceDE w:val="0"/>
        <w:autoSpaceDN w:val="0"/>
        <w:adjustRightInd w:val="0"/>
        <w:spacing w:before="120" w:after="120" w:line="228" w:lineRule="auto"/>
        <w:jc w:val="both"/>
        <w:rPr>
          <w:rFonts w:cs="Arial"/>
          <w:color w:val="FF000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46"/>
        <w:gridCol w:w="5047"/>
      </w:tblGrid>
      <w:tr w:rsidR="00FE168D" w:rsidRPr="00CF3EEA" w:rsidTr="002A3174">
        <w:trPr>
          <w:trHeight w:val="630"/>
          <w:jc w:val="center"/>
        </w:trPr>
        <w:tc>
          <w:tcPr>
            <w:tcW w:w="5154" w:type="dxa"/>
          </w:tcPr>
          <w:p w:rsidR="00FE168D" w:rsidRPr="00CF3EEA" w:rsidRDefault="00D5150C" w:rsidP="00926059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3EEA">
              <w:rPr>
                <w:rFonts w:cs="Arial"/>
                <w:b/>
                <w:sz w:val="18"/>
                <w:szCs w:val="18"/>
              </w:rPr>
              <w:lastRenderedPageBreak/>
              <w:t xml:space="preserve">Realized investments in </w:t>
            </w:r>
            <w:r w:rsidR="00CC2BE1" w:rsidRPr="00CF3EEA"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CF3EEA">
              <w:rPr>
                <w:rFonts w:cs="Arial"/>
                <w:b/>
                <w:sz w:val="18"/>
                <w:szCs w:val="18"/>
              </w:rPr>
              <w:t>fixed assets in the Republic of Serbia</w:t>
            </w:r>
            <w:r w:rsidR="003F5FAF" w:rsidRPr="00CF3EEA">
              <w:rPr>
                <w:rFonts w:cs="Arial"/>
                <w:b/>
                <w:sz w:val="18"/>
                <w:szCs w:val="18"/>
              </w:rPr>
              <w:t xml:space="preserve">, by regions, </w:t>
            </w:r>
            <w:r w:rsidR="00926059" w:rsidRPr="00CF3EEA">
              <w:rPr>
                <w:rFonts w:cs="Arial"/>
                <w:b/>
                <w:sz w:val="18"/>
                <w:szCs w:val="18"/>
              </w:rPr>
              <w:t>2017</w:t>
            </w:r>
            <w:r w:rsidRPr="00CF3EE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155" w:type="dxa"/>
          </w:tcPr>
          <w:p w:rsidR="00FE168D" w:rsidRPr="00CF3EEA" w:rsidRDefault="00D5150C" w:rsidP="004D2F7C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CF3EEA">
              <w:rPr>
                <w:rFonts w:cs="Arial"/>
                <w:b/>
                <w:sz w:val="18"/>
                <w:szCs w:val="18"/>
              </w:rPr>
              <w:t xml:space="preserve">Payments for investments in </w:t>
            </w:r>
            <w:r w:rsidR="00CC2BE1" w:rsidRPr="00CF3EEA">
              <w:rPr>
                <w:rFonts w:cs="Arial"/>
                <w:b/>
                <w:sz w:val="18"/>
                <w:szCs w:val="18"/>
              </w:rPr>
              <w:t xml:space="preserve">total </w:t>
            </w:r>
            <w:r w:rsidRPr="00CF3EEA">
              <w:rPr>
                <w:rFonts w:cs="Arial"/>
                <w:b/>
                <w:sz w:val="18"/>
                <w:szCs w:val="18"/>
              </w:rPr>
              <w:t>fixed assets in the Republic of Serbia</w:t>
            </w:r>
            <w:r w:rsidR="003F5FAF" w:rsidRPr="00CF3EEA">
              <w:rPr>
                <w:rFonts w:cs="Arial"/>
                <w:b/>
                <w:sz w:val="18"/>
                <w:szCs w:val="18"/>
              </w:rPr>
              <w:t xml:space="preserve">, by sources of financing, </w:t>
            </w:r>
            <w:r w:rsidR="00926059" w:rsidRPr="00CF3EEA">
              <w:rPr>
                <w:rFonts w:cs="Arial"/>
                <w:b/>
                <w:sz w:val="18"/>
                <w:szCs w:val="18"/>
              </w:rPr>
              <w:t>2017</w:t>
            </w:r>
            <w:r w:rsidRPr="00CF3EEA">
              <w:rPr>
                <w:rFonts w:cs="Arial"/>
                <w:b/>
                <w:sz w:val="18"/>
                <w:szCs w:val="18"/>
              </w:rPr>
              <w:t xml:space="preserve"> </w:t>
            </w:r>
          </w:p>
          <w:p w:rsidR="00FE168D" w:rsidRPr="00CF3EEA" w:rsidRDefault="00FE168D" w:rsidP="004D2F7C">
            <w:pPr>
              <w:tabs>
                <w:tab w:val="left" w:pos="1092"/>
                <w:tab w:val="center" w:pos="2393"/>
              </w:tabs>
              <w:rPr>
                <w:b/>
              </w:rPr>
            </w:pPr>
          </w:p>
        </w:tc>
      </w:tr>
      <w:tr w:rsidR="00FE168D" w:rsidRPr="00CF3EEA" w:rsidTr="002A3174">
        <w:trPr>
          <w:trHeight w:val="3457"/>
          <w:jc w:val="center"/>
        </w:trPr>
        <w:tc>
          <w:tcPr>
            <w:tcW w:w="5154" w:type="dxa"/>
          </w:tcPr>
          <w:p w:rsidR="00FE168D" w:rsidRPr="00CF3EEA" w:rsidRDefault="002A3174" w:rsidP="004D2F7C">
            <w:pPr>
              <w:jc w:val="center"/>
            </w:pPr>
            <w:r w:rsidRPr="00CF3EEA">
              <w:rPr>
                <w:noProof/>
                <w:lang w:val="en-US"/>
              </w:rPr>
              <w:drawing>
                <wp:inline distT="0" distB="0" distL="0" distR="0" wp14:anchorId="3F79DEB7" wp14:editId="5C36A0BD">
                  <wp:extent cx="3162300" cy="239077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543"/>
                          <a:stretch/>
                        </pic:blipFill>
                        <pic:spPr bwMode="auto">
                          <a:xfrm>
                            <a:off x="0" y="0"/>
                            <a:ext cx="31623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55" w:type="dxa"/>
          </w:tcPr>
          <w:p w:rsidR="00FE168D" w:rsidRPr="00CF3EEA" w:rsidRDefault="002A3174" w:rsidP="004D2F7C">
            <w:pPr>
              <w:jc w:val="center"/>
            </w:pPr>
            <w:r w:rsidRPr="00CF3EEA">
              <w:rPr>
                <w:noProof/>
                <w:lang w:val="en-US"/>
              </w:rPr>
              <w:drawing>
                <wp:inline distT="0" distB="0" distL="0" distR="0" wp14:anchorId="24128F5A" wp14:editId="7112040E">
                  <wp:extent cx="3162300" cy="239077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448"/>
                          <a:stretch/>
                        </pic:blipFill>
                        <pic:spPr bwMode="auto">
                          <a:xfrm>
                            <a:off x="0" y="0"/>
                            <a:ext cx="31623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6299E" w:rsidRPr="00CF3EEA" w:rsidRDefault="0036299E">
      <w:pPr>
        <w:rPr>
          <w:rFonts w:cs="Arial"/>
          <w:b/>
          <w:szCs w:val="20"/>
        </w:rPr>
      </w:pPr>
    </w:p>
    <w:p w:rsidR="0036299E" w:rsidRDefault="0036299E">
      <w:pPr>
        <w:rPr>
          <w:rFonts w:cs="Arial"/>
          <w:b/>
          <w:szCs w:val="20"/>
        </w:rPr>
      </w:pPr>
    </w:p>
    <w:p w:rsidR="00BD0D5F" w:rsidRDefault="00BD0D5F">
      <w:pPr>
        <w:rPr>
          <w:rFonts w:cs="Arial"/>
          <w:b/>
          <w:szCs w:val="20"/>
        </w:rPr>
      </w:pPr>
    </w:p>
    <w:p w:rsidR="00BD0D5F" w:rsidRPr="00CF3EEA" w:rsidRDefault="00BD0D5F">
      <w:pPr>
        <w:rPr>
          <w:rFonts w:cs="Arial"/>
          <w:b/>
          <w:szCs w:val="20"/>
        </w:rPr>
      </w:pPr>
      <w:bookmarkStart w:id="0" w:name="_GoBack"/>
      <w:bookmarkEnd w:id="0"/>
    </w:p>
    <w:p w:rsidR="0036299E" w:rsidRPr="00BD0D5F" w:rsidRDefault="0036299E" w:rsidP="0036299E">
      <w:pPr>
        <w:jc w:val="center"/>
        <w:rPr>
          <w:rFonts w:cs="Arial"/>
          <w:b/>
          <w:sz w:val="18"/>
          <w:szCs w:val="18"/>
        </w:rPr>
      </w:pPr>
      <w:r w:rsidRPr="00BD0D5F">
        <w:rPr>
          <w:rFonts w:cs="Arial"/>
          <w:b/>
          <w:sz w:val="18"/>
          <w:szCs w:val="18"/>
        </w:rPr>
        <w:t xml:space="preserve">Realized investments in total fixed assets in the Republic of </w:t>
      </w:r>
      <w:r w:rsidR="00920296" w:rsidRPr="00BD0D5F">
        <w:rPr>
          <w:rFonts w:cs="Arial"/>
          <w:b/>
          <w:sz w:val="18"/>
          <w:szCs w:val="18"/>
        </w:rPr>
        <w:t>Serbia, by CA sections, 2017</w:t>
      </w:r>
    </w:p>
    <w:p w:rsidR="0036299E" w:rsidRDefault="0036299E">
      <w:pPr>
        <w:rPr>
          <w:rFonts w:cs="Arial"/>
          <w:b/>
          <w:szCs w:val="20"/>
        </w:rPr>
      </w:pPr>
    </w:p>
    <w:p w:rsidR="00221A3C" w:rsidRDefault="00991C21" w:rsidP="00221A3C">
      <w:pPr>
        <w:jc w:val="center"/>
        <w:rPr>
          <w:rFonts w:cs="Arial"/>
          <w:b/>
          <w:szCs w:val="20"/>
        </w:rPr>
      </w:pPr>
      <w:r>
        <w:rPr>
          <w:noProof/>
          <w:lang w:val="en-US"/>
        </w:rPr>
        <w:drawing>
          <wp:inline distT="0" distB="0" distL="0" distR="0" wp14:anchorId="5FEAF943" wp14:editId="6CF018F1">
            <wp:extent cx="6124575" cy="317182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299E" w:rsidRDefault="0036299E" w:rsidP="00221A3C">
      <w:pPr>
        <w:jc w:val="center"/>
        <w:rPr>
          <w:rFonts w:cs="Arial"/>
          <w:b/>
          <w:szCs w:val="20"/>
        </w:rPr>
      </w:pPr>
    </w:p>
    <w:p w:rsidR="00BD0D5F" w:rsidRPr="00CF3EEA" w:rsidRDefault="00BD0D5F">
      <w:pPr>
        <w:rPr>
          <w:rFonts w:cs="Arial"/>
          <w:b/>
          <w:szCs w:val="20"/>
        </w:rPr>
      </w:pPr>
    </w:p>
    <w:p w:rsidR="00B24A67" w:rsidRPr="00CF3EEA" w:rsidRDefault="00B24A67">
      <w:pPr>
        <w:rPr>
          <w:rFonts w:cs="Arial"/>
          <w:b/>
          <w:szCs w:val="20"/>
        </w:rPr>
      </w:pPr>
    </w:p>
    <w:p w:rsidR="00151025" w:rsidRPr="00CF3EEA" w:rsidRDefault="00151025" w:rsidP="00151025">
      <w:pPr>
        <w:rPr>
          <w:rFonts w:cs="Arial"/>
          <w:b/>
          <w:szCs w:val="20"/>
        </w:rPr>
      </w:pPr>
      <w:r w:rsidRPr="00CF3EEA">
        <w:rPr>
          <w:rFonts w:cs="Arial"/>
          <w:b/>
          <w:szCs w:val="20"/>
        </w:rPr>
        <w:t xml:space="preserve">1. </w:t>
      </w:r>
      <w:r w:rsidR="00922BEF" w:rsidRPr="00CF3EEA">
        <w:rPr>
          <w:rFonts w:cs="Arial"/>
          <w:b/>
          <w:szCs w:val="20"/>
        </w:rPr>
        <w:t>Realized investments in fixed assets</w:t>
      </w:r>
    </w:p>
    <w:p w:rsidR="00151025" w:rsidRPr="00CF3EEA" w:rsidRDefault="00151025" w:rsidP="00151025">
      <w:pPr>
        <w:rPr>
          <w:rFonts w:cs="Arial"/>
          <w:sz w:val="10"/>
          <w:szCs w:val="10"/>
        </w:rPr>
      </w:pPr>
    </w:p>
    <w:p w:rsidR="00151025" w:rsidRPr="00CF3EEA" w:rsidRDefault="00922BEF" w:rsidP="00151025">
      <w:pPr>
        <w:rPr>
          <w:rFonts w:cs="Arial"/>
          <w:sz w:val="18"/>
          <w:szCs w:val="18"/>
        </w:rPr>
      </w:pPr>
      <w:r w:rsidRPr="00CF3EEA">
        <w:rPr>
          <w:rFonts w:cs="Arial"/>
          <w:sz w:val="18"/>
          <w:szCs w:val="18"/>
        </w:rPr>
        <w:t>Republic of Serbia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1701"/>
        <w:gridCol w:w="1701"/>
        <w:gridCol w:w="1701"/>
      </w:tblGrid>
      <w:tr w:rsidR="00151025" w:rsidRPr="00CF3EEA">
        <w:trPr>
          <w:jc w:val="center"/>
        </w:trPr>
        <w:tc>
          <w:tcPr>
            <w:tcW w:w="493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F3EEA" w:rsidRDefault="00151025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  <w:p w:rsidR="00151025" w:rsidRPr="00CF3EEA" w:rsidRDefault="00151025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F3EEA" w:rsidRDefault="00F77667" w:rsidP="00C05EAD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Value in </w:t>
            </w:r>
            <w:r w:rsidR="00C05EAD" w:rsidRPr="00CF3EEA">
              <w:rPr>
                <w:sz w:val="16"/>
                <w:szCs w:val="16"/>
              </w:rPr>
              <w:t>mill.</w:t>
            </w:r>
            <w:r w:rsidR="00151025" w:rsidRPr="00CF3EEA">
              <w:rPr>
                <w:rFonts w:cs="Arial"/>
                <w:sz w:val="16"/>
                <w:szCs w:val="16"/>
              </w:rPr>
              <w:t xml:space="preserve"> </w:t>
            </w:r>
            <w:r w:rsidR="00BC3A13" w:rsidRPr="00CF3EEA">
              <w:rPr>
                <w:rFonts w:cs="Arial"/>
                <w:sz w:val="16"/>
                <w:szCs w:val="16"/>
              </w:rPr>
              <w:t>RSD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025" w:rsidRPr="00CF3EEA" w:rsidRDefault="00BC3A13" w:rsidP="00926059">
            <w:pPr>
              <w:spacing w:before="120" w:after="120"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Inde</w:t>
            </w:r>
            <w:r w:rsidR="00742955" w:rsidRPr="00CF3EEA">
              <w:rPr>
                <w:rFonts w:cs="Arial"/>
                <w:sz w:val="16"/>
                <w:szCs w:val="16"/>
              </w:rPr>
              <w:t>x</w:t>
            </w:r>
            <w:r w:rsidR="00871C1C" w:rsidRPr="00CF3EEA">
              <w:rPr>
                <w:rFonts w:cs="Arial"/>
                <w:sz w:val="16"/>
                <w:szCs w:val="16"/>
              </w:rPr>
              <w:t xml:space="preserve">                    </w:t>
            </w:r>
            <w:r w:rsidR="0079049E" w:rsidRPr="00CF3EEA">
              <w:rPr>
                <w:rFonts w:cs="Arial"/>
                <w:sz w:val="16"/>
                <w:szCs w:val="16"/>
              </w:rPr>
              <w:t>201</w:t>
            </w:r>
            <w:r w:rsidR="00926059" w:rsidRPr="00CF3EEA">
              <w:rPr>
                <w:rFonts w:cs="Arial"/>
                <w:sz w:val="16"/>
                <w:szCs w:val="16"/>
              </w:rPr>
              <w:t>7</w:t>
            </w:r>
            <w:r w:rsidR="0079049E" w:rsidRPr="00CF3EEA">
              <w:rPr>
                <w:rFonts w:cs="Arial"/>
                <w:sz w:val="16"/>
                <w:szCs w:val="16"/>
              </w:rPr>
              <w:t>/201</w:t>
            </w:r>
            <w:r w:rsidR="00926059" w:rsidRPr="00CF3EEA">
              <w:rPr>
                <w:rFonts w:cs="Arial"/>
                <w:sz w:val="16"/>
                <w:szCs w:val="16"/>
              </w:rPr>
              <w:t>6</w:t>
            </w:r>
          </w:p>
        </w:tc>
      </w:tr>
      <w:tr w:rsidR="00151025" w:rsidRPr="00CF3EEA">
        <w:trPr>
          <w:jc w:val="center"/>
        </w:trPr>
        <w:tc>
          <w:tcPr>
            <w:tcW w:w="493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F3EEA" w:rsidRDefault="00151025" w:rsidP="00151025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F3EEA" w:rsidRDefault="00926059" w:rsidP="000A1C50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025" w:rsidRPr="00CF3EEA" w:rsidRDefault="00926059" w:rsidP="000A1C50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2017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1025" w:rsidRPr="00CF3EEA" w:rsidRDefault="00151025" w:rsidP="00151025">
            <w:pPr>
              <w:spacing w:before="120" w:after="120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151025" w:rsidRPr="00CF3EEA">
        <w:trPr>
          <w:jc w:val="center"/>
        </w:trPr>
        <w:tc>
          <w:tcPr>
            <w:tcW w:w="493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51025" w:rsidRPr="00CF3EEA" w:rsidRDefault="00151025" w:rsidP="006C4D34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</w:tcPr>
          <w:p w:rsidR="00151025" w:rsidRPr="00CF3EEA" w:rsidRDefault="00151025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151025" w:rsidRPr="00CF3EEA" w:rsidRDefault="00151025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151025" w:rsidRPr="00CF3EEA" w:rsidRDefault="00151025" w:rsidP="006C4D34">
            <w:pPr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157F26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:rsidR="00926059" w:rsidRPr="00CF3EEA" w:rsidRDefault="00926059" w:rsidP="00926059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Realized investments in </w:t>
            </w:r>
            <w:r w:rsidR="00683ED2" w:rsidRPr="00CF3EEA">
              <w:rPr>
                <w:rFonts w:cs="Arial"/>
                <w:b/>
                <w:sz w:val="16"/>
                <w:szCs w:val="16"/>
              </w:rPr>
              <w:t>total</w:t>
            </w:r>
            <w:r w:rsidR="00683ED2" w:rsidRPr="00CF3EEA">
              <w:rPr>
                <w:rFonts w:cs="Arial"/>
                <w:sz w:val="16"/>
                <w:szCs w:val="16"/>
              </w:rPr>
              <w:t xml:space="preserve"> </w:t>
            </w:r>
            <w:r w:rsidRPr="00CF3EEA">
              <w:rPr>
                <w:rFonts w:cs="Arial"/>
                <w:sz w:val="16"/>
                <w:szCs w:val="16"/>
              </w:rPr>
              <w:t>fixed assets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6059" w:rsidRPr="00CF3EEA" w:rsidRDefault="00926059" w:rsidP="0092605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601619, 8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6059" w:rsidRPr="00CF3EEA" w:rsidRDefault="00926059" w:rsidP="0092605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684290, 7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6059" w:rsidRPr="00CF3EEA" w:rsidRDefault="00926059" w:rsidP="0092605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113,7</w:t>
            </w:r>
          </w:p>
        </w:tc>
      </w:tr>
      <w:tr w:rsidR="00926059" w:rsidRPr="00CF3EEA" w:rsidTr="00157F26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:rsidR="00926059" w:rsidRPr="00CF3EEA" w:rsidRDefault="00926059" w:rsidP="00926059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Of which: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6059" w:rsidRPr="00CF3EEA" w:rsidRDefault="00926059" w:rsidP="00926059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6059" w:rsidRPr="00CF3EEA" w:rsidRDefault="00926059" w:rsidP="00926059">
            <w:pPr>
              <w:ind w:right="170"/>
              <w:rPr>
                <w:rFonts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926059" w:rsidRPr="00CF3EEA" w:rsidRDefault="00926059" w:rsidP="00926059">
            <w:pPr>
              <w:ind w:right="170"/>
              <w:rPr>
                <w:szCs w:val="20"/>
              </w:rPr>
            </w:pPr>
          </w:p>
        </w:tc>
      </w:tr>
      <w:tr w:rsidR="00926059" w:rsidRPr="00CF3EEA" w:rsidTr="00157F26">
        <w:trPr>
          <w:jc w:val="center"/>
        </w:trPr>
        <w:tc>
          <w:tcPr>
            <w:tcW w:w="4933" w:type="dxa"/>
            <w:tcBorders>
              <w:right w:val="single" w:sz="4" w:space="0" w:color="auto"/>
            </w:tcBorders>
            <w:shd w:val="clear" w:color="auto" w:fill="auto"/>
          </w:tcPr>
          <w:p w:rsidR="00926059" w:rsidRPr="00CF3EEA" w:rsidRDefault="00926059" w:rsidP="00926059">
            <w:pPr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Realized investments in </w:t>
            </w:r>
            <w:r w:rsidRPr="00CF3EEA">
              <w:rPr>
                <w:rFonts w:cs="Arial"/>
                <w:b/>
                <w:sz w:val="16"/>
                <w:szCs w:val="16"/>
              </w:rPr>
              <w:t>new</w:t>
            </w:r>
            <w:r w:rsidRPr="00CF3EEA">
              <w:rPr>
                <w:rFonts w:cs="Arial"/>
                <w:sz w:val="16"/>
                <w:szCs w:val="16"/>
              </w:rPr>
              <w:t xml:space="preserve"> fixed assets 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:rsidR="00926059" w:rsidRPr="00CF3EEA" w:rsidRDefault="00926059" w:rsidP="0092605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533604, 9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926059" w:rsidRPr="00CF3EEA" w:rsidRDefault="00926059" w:rsidP="0092605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606751, 1 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26059" w:rsidRPr="00CF3EEA" w:rsidRDefault="00926059" w:rsidP="00926059">
            <w:pPr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113,7</w:t>
            </w:r>
          </w:p>
        </w:tc>
      </w:tr>
    </w:tbl>
    <w:p w:rsidR="00B24A67" w:rsidRPr="00CF3EEA" w:rsidRDefault="00B24A67" w:rsidP="00AC2D9E">
      <w:pPr>
        <w:spacing w:after="40"/>
        <w:ind w:left="284" w:hanging="284"/>
        <w:rPr>
          <w:b/>
        </w:rPr>
      </w:pPr>
    </w:p>
    <w:p w:rsidR="00B24A67" w:rsidRPr="00CF3EEA" w:rsidRDefault="00B24A67" w:rsidP="00AC2D9E">
      <w:pPr>
        <w:spacing w:after="40"/>
        <w:ind w:left="284" w:hanging="284"/>
        <w:rPr>
          <w:b/>
        </w:rPr>
      </w:pPr>
    </w:p>
    <w:p w:rsidR="00221A3C" w:rsidRDefault="00221A3C" w:rsidP="00AC2D9E">
      <w:pPr>
        <w:spacing w:after="40"/>
        <w:ind w:left="284" w:hanging="284"/>
        <w:rPr>
          <w:b/>
        </w:rPr>
      </w:pPr>
    </w:p>
    <w:p w:rsidR="00221A3C" w:rsidRDefault="00221A3C" w:rsidP="00AC2D9E">
      <w:pPr>
        <w:spacing w:after="40"/>
        <w:ind w:left="284" w:hanging="284"/>
        <w:rPr>
          <w:b/>
        </w:rPr>
      </w:pPr>
    </w:p>
    <w:p w:rsidR="00221A3C" w:rsidRDefault="00221A3C" w:rsidP="00AC2D9E">
      <w:pPr>
        <w:spacing w:after="40"/>
        <w:ind w:left="284" w:hanging="284"/>
        <w:rPr>
          <w:b/>
        </w:rPr>
      </w:pPr>
    </w:p>
    <w:p w:rsidR="00C66F12" w:rsidRPr="00CF3EEA" w:rsidRDefault="006C4D34" w:rsidP="00AC2D9E">
      <w:pPr>
        <w:spacing w:after="40"/>
        <w:ind w:left="284" w:hanging="284"/>
        <w:rPr>
          <w:b/>
        </w:rPr>
      </w:pPr>
      <w:r w:rsidRPr="00CF3EEA">
        <w:rPr>
          <w:b/>
        </w:rPr>
        <w:t>2</w:t>
      </w:r>
      <w:r w:rsidR="00AC2D9E" w:rsidRPr="00CF3EEA">
        <w:rPr>
          <w:b/>
        </w:rPr>
        <w:t xml:space="preserve">. </w:t>
      </w:r>
      <w:r w:rsidR="00742955" w:rsidRPr="00CF3EEA">
        <w:rPr>
          <w:b/>
        </w:rPr>
        <w:t xml:space="preserve">Realized investments in </w:t>
      </w:r>
      <w:r w:rsidR="00683ED2" w:rsidRPr="00CF3EEA">
        <w:rPr>
          <w:b/>
        </w:rPr>
        <w:t xml:space="preserve">total </w:t>
      </w:r>
      <w:r w:rsidR="00742955" w:rsidRPr="00CF3EEA">
        <w:rPr>
          <w:b/>
        </w:rPr>
        <w:t>fixed assets, by technical structure, investor</w:t>
      </w:r>
      <w:r w:rsidR="002E5A48" w:rsidRPr="00CF3EEA">
        <w:rPr>
          <w:b/>
        </w:rPr>
        <w:t>’s activity and head office</w:t>
      </w:r>
      <w:r w:rsidR="007F2A71" w:rsidRPr="00CF3EEA">
        <w:rPr>
          <w:b/>
        </w:rPr>
        <w:t xml:space="preserve">, </w:t>
      </w:r>
      <w:r w:rsidR="00926059" w:rsidRPr="00CF3EEA">
        <w:rPr>
          <w:b/>
        </w:rPr>
        <w:t>2017</w:t>
      </w:r>
    </w:p>
    <w:p w:rsidR="00711809" w:rsidRPr="00CF3EEA" w:rsidRDefault="00674711" w:rsidP="00C66F12">
      <w:pPr>
        <w:spacing w:after="40"/>
        <w:ind w:left="284" w:hanging="284"/>
        <w:jc w:val="right"/>
        <w:rPr>
          <w:b/>
        </w:rPr>
      </w:pPr>
      <w:r w:rsidRPr="00CF3EEA">
        <w:rPr>
          <w:sz w:val="16"/>
          <w:szCs w:val="16"/>
        </w:rPr>
        <w:t>mill</w:t>
      </w:r>
      <w:r w:rsidR="001A4E25" w:rsidRPr="00CF3EEA">
        <w:rPr>
          <w:sz w:val="16"/>
          <w:szCs w:val="16"/>
        </w:rPr>
        <w:t xml:space="preserve">. </w:t>
      </w:r>
      <w:r w:rsidR="00BC3A13" w:rsidRPr="00CF3EEA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AC2D9E" w:rsidRPr="00CF3EEA" w:rsidTr="00926059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CF3EEA" w:rsidRDefault="00AC2D9E" w:rsidP="00B24A67">
            <w:pPr>
              <w:spacing w:line="252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CF3EEA" w:rsidRDefault="00742955" w:rsidP="00B24A67">
            <w:pPr>
              <w:spacing w:before="80" w:after="8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bCs/>
                <w:sz w:val="16"/>
                <w:szCs w:val="16"/>
              </w:rPr>
              <w:t>Republic of Serbia</w:t>
            </w:r>
          </w:p>
        </w:tc>
      </w:tr>
      <w:tr w:rsidR="00AC2D9E" w:rsidRPr="00CF3EEA" w:rsidTr="009260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CF3EEA" w:rsidRDefault="00AC2D9E" w:rsidP="00B24A67">
            <w:pPr>
              <w:spacing w:line="252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CF3EEA" w:rsidRDefault="00742955" w:rsidP="00B24A6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CF3EEA" w:rsidRDefault="00645B3C" w:rsidP="00B24A67">
            <w:pPr>
              <w:spacing w:before="80" w:after="8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</w:t>
            </w:r>
            <w:r w:rsidR="00AC2D9E" w:rsidRPr="00CF3EEA">
              <w:rPr>
                <w:rFonts w:cs="Arial"/>
                <w:sz w:val="16"/>
                <w:szCs w:val="16"/>
              </w:rPr>
              <w:t xml:space="preserve"> – </w:t>
            </w:r>
            <w:r w:rsidRPr="00CF3EEA">
              <w:rPr>
                <w:rFonts w:cs="Arial"/>
                <w:sz w:val="16"/>
                <w:szCs w:val="16"/>
              </w:rPr>
              <w:t>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CF3EEA" w:rsidRDefault="00645B3C" w:rsidP="00B24A67">
            <w:pPr>
              <w:spacing w:before="80" w:after="8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</w:t>
            </w:r>
            <w:r w:rsidR="00AC2D9E" w:rsidRPr="00CF3EEA">
              <w:rPr>
                <w:rFonts w:cs="Arial"/>
                <w:sz w:val="16"/>
                <w:szCs w:val="16"/>
              </w:rPr>
              <w:t xml:space="preserve"> – </w:t>
            </w:r>
            <w:r w:rsidRPr="00CF3EEA">
              <w:rPr>
                <w:rFonts w:cs="Arial"/>
                <w:sz w:val="16"/>
                <w:szCs w:val="16"/>
              </w:rPr>
              <w:t>jug</w:t>
            </w:r>
          </w:p>
        </w:tc>
      </w:tr>
      <w:tr w:rsidR="00AC2D9E" w:rsidRPr="00CF3EEA" w:rsidTr="00926059">
        <w:trPr>
          <w:trHeight w:val="680"/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D9E" w:rsidRPr="00CF3EEA" w:rsidRDefault="00AC2D9E" w:rsidP="00B24A67">
            <w:pPr>
              <w:spacing w:line="252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CF3EEA" w:rsidRDefault="00AC2D9E" w:rsidP="00B24A6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CF3EEA" w:rsidRDefault="00645B3C" w:rsidP="00B24A6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Beogradski region</w:t>
            </w:r>
            <w:r w:rsidR="00AC2D9E" w:rsidRPr="00CF3EE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CF3EEA" w:rsidRDefault="00645B3C" w:rsidP="00B24A67">
            <w:pPr>
              <w:spacing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CF3EEA" w:rsidRDefault="00645B3C" w:rsidP="00B24A67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D9E" w:rsidRPr="00920296" w:rsidRDefault="00645B3C" w:rsidP="00B24A67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20296">
              <w:rPr>
                <w:rFonts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D9E" w:rsidRPr="00CF3EEA" w:rsidRDefault="00645B3C" w:rsidP="00B24A67">
            <w:pPr>
              <w:spacing w:before="60" w:after="60" w:line="252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AC2D9E" w:rsidRPr="00CF3EEA" w:rsidTr="00926059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C2D9E" w:rsidRPr="00CF3EEA" w:rsidRDefault="00AC2D9E" w:rsidP="00B24A67">
            <w:pPr>
              <w:spacing w:line="252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CF3EEA" w:rsidRDefault="00AC2D9E" w:rsidP="00B24A67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CF3EEA" w:rsidRDefault="00AC2D9E" w:rsidP="00B24A67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CF3EEA" w:rsidRDefault="00AC2D9E" w:rsidP="00B24A67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CF3EEA" w:rsidRDefault="00AC2D9E" w:rsidP="00B24A67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CF3EEA" w:rsidRDefault="00AC2D9E" w:rsidP="00B24A67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C2D9E" w:rsidRPr="00CF3EEA" w:rsidRDefault="00AC2D9E" w:rsidP="00B24A67">
            <w:pPr>
              <w:spacing w:line="252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684290,7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351469,4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184045,9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91674,1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57101,3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296282,2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162770,9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79655,6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33715,4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20140,2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327975,8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154301,8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87186,4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53429,4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33058,2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60032,7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34396,6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17203,9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4529,2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3903,0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Agriculture, forestry and fishing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20702,0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3209,1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15532,3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1289,2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5080,8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942,1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383,8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10211,7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1209,6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8057,8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5409,5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Mining and quarrying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34660,3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26970,9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2476,8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18098,6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16507,7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14210,8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8401,6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1344,3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2061,7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Manufacturing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158669,9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28733,5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59304,9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44114,0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26517,5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46167,5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9134,7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19518,3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10680,2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6834,4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107157,7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18546,4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37997,2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31467,2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19146,9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1052,3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1789,4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1966,6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68647,1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52968,6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13998,5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1218,1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22378,8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9983,3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11541,8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40030,6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36861,6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6237,7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6123,6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Water supply, sewerage, waste management and remediation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14157,9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4611,6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3432,8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4342,5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1770,9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2082,5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7776,9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2135,0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29397,6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17989,8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3942,2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5612,3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1853,4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13128,5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9409,5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13215,9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2546,2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2319,3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Wholesale and retail trade; repair of motor vehicles and motorcycles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64625,0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24417,0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25743,3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10271,0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4193,8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24541,0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6340,1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11177,3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4918,6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2105,0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32397,1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15932,5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9612,2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4932,4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7686,9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2144,4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4953,7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Transportation and storage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51876,1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35214,6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8220,5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5834,9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2606,1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21370,0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18877,7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28652,1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14916,2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6120,4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5185,1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52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1420,7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52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D0D5F" w:rsidRPr="00CF3EEA" w:rsidTr="006F17A1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D5F" w:rsidRPr="00CF3EEA" w:rsidRDefault="00BD0D5F" w:rsidP="006F17A1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BD0D5F" w:rsidRPr="00CF3EEA" w:rsidTr="006F17A1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D5F" w:rsidRPr="00CF3EEA" w:rsidRDefault="00BD0D5F" w:rsidP="006F17A1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Accommodation and food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6307,2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3992,4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D0D5F" w:rsidRPr="00CF3EEA" w:rsidTr="006F17A1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D5F" w:rsidRPr="00CF3EEA" w:rsidRDefault="00BD0D5F" w:rsidP="006F17A1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2907,2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1807,1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876,3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D0D5F" w:rsidRPr="00CF3EEA" w:rsidTr="006F17A1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D5F" w:rsidRPr="00CF3EEA" w:rsidRDefault="00BD0D5F" w:rsidP="006F17A1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1871,7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D0D5F" w:rsidRPr="00CF3EEA" w:rsidTr="006F17A1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0D5F" w:rsidRPr="00CF3EEA" w:rsidRDefault="00BD0D5F" w:rsidP="006F17A1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D0D5F" w:rsidRPr="00CF3EEA" w:rsidRDefault="00BD0D5F" w:rsidP="006F17A1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BD0D5F" w:rsidRDefault="00BD0D5F"/>
    <w:p w:rsidR="00BD0D5F" w:rsidRPr="00CF3EEA" w:rsidRDefault="00BD0D5F"/>
    <w:p w:rsidR="00926059" w:rsidRPr="00CF3EEA" w:rsidRDefault="00926059">
      <w:pPr>
        <w:rPr>
          <w:b/>
        </w:rPr>
      </w:pPr>
      <w:r w:rsidRPr="00CF3EEA">
        <w:rPr>
          <w:b/>
        </w:rPr>
        <w:br w:type="page"/>
      </w:r>
    </w:p>
    <w:p w:rsidR="00C66F12" w:rsidRPr="00CF3EEA" w:rsidRDefault="006C4D34" w:rsidP="00E61C25">
      <w:pPr>
        <w:spacing w:after="40"/>
        <w:ind w:left="284" w:hanging="284"/>
      </w:pPr>
      <w:r w:rsidRPr="00CF3EEA">
        <w:rPr>
          <w:b/>
        </w:rPr>
        <w:lastRenderedPageBreak/>
        <w:t>2</w:t>
      </w:r>
      <w:r w:rsidR="00E61C25" w:rsidRPr="00CF3EEA">
        <w:rPr>
          <w:b/>
        </w:rPr>
        <w:t xml:space="preserve">. </w:t>
      </w:r>
      <w:r w:rsidR="006C7A26" w:rsidRPr="00CF3EEA">
        <w:rPr>
          <w:b/>
        </w:rPr>
        <w:t xml:space="preserve">Realized investments in </w:t>
      </w:r>
      <w:r w:rsidR="00683ED2" w:rsidRPr="00CF3EEA">
        <w:rPr>
          <w:b/>
        </w:rPr>
        <w:t xml:space="preserve">total </w:t>
      </w:r>
      <w:r w:rsidR="006C7A26" w:rsidRPr="00CF3EEA">
        <w:rPr>
          <w:b/>
        </w:rPr>
        <w:t xml:space="preserve">fixed assets, by technical structure, </w:t>
      </w:r>
      <w:r w:rsidR="002E5A48" w:rsidRPr="00CF3EEA">
        <w:rPr>
          <w:b/>
        </w:rPr>
        <w:t xml:space="preserve">investor’s </w:t>
      </w:r>
      <w:r w:rsidR="006C7A26" w:rsidRPr="00CF3EEA">
        <w:rPr>
          <w:b/>
        </w:rPr>
        <w:t>activity and head</w:t>
      </w:r>
      <w:r w:rsidR="002E5A48" w:rsidRPr="00CF3EEA">
        <w:rPr>
          <w:b/>
        </w:rPr>
        <w:t xml:space="preserve"> office</w:t>
      </w:r>
      <w:r w:rsidR="00433923" w:rsidRPr="00CF3EEA">
        <w:rPr>
          <w:b/>
        </w:rPr>
        <w:t xml:space="preserve">, </w:t>
      </w:r>
      <w:r w:rsidR="00926059" w:rsidRPr="00CF3EEA">
        <w:rPr>
          <w:b/>
        </w:rPr>
        <w:t>2017</w:t>
      </w:r>
      <w:r w:rsidR="006C7A26" w:rsidRPr="00CF3EEA">
        <w:rPr>
          <w:b/>
        </w:rPr>
        <w:t xml:space="preserve"> </w:t>
      </w:r>
      <w:r w:rsidR="00E61C25" w:rsidRPr="00CF3EEA">
        <w:rPr>
          <w:sz w:val="18"/>
          <w:szCs w:val="18"/>
        </w:rPr>
        <w:t>(</w:t>
      </w:r>
      <w:r w:rsidR="006D0ACB" w:rsidRPr="00CF3EEA">
        <w:rPr>
          <w:sz w:val="18"/>
          <w:szCs w:val="18"/>
        </w:rPr>
        <w:t>continued</w:t>
      </w:r>
      <w:r w:rsidR="00E61C25" w:rsidRPr="00CF3EEA">
        <w:rPr>
          <w:sz w:val="18"/>
          <w:szCs w:val="18"/>
        </w:rPr>
        <w:t>)</w:t>
      </w:r>
    </w:p>
    <w:p w:rsidR="00E61C25" w:rsidRPr="00CF3EEA" w:rsidRDefault="00674711" w:rsidP="00C66F12">
      <w:pPr>
        <w:spacing w:after="40"/>
        <w:ind w:left="284" w:hanging="284"/>
        <w:jc w:val="right"/>
      </w:pPr>
      <w:r w:rsidRPr="00CF3EEA">
        <w:rPr>
          <w:sz w:val="16"/>
          <w:szCs w:val="16"/>
        </w:rPr>
        <w:t>mill</w:t>
      </w:r>
      <w:r w:rsidR="001A4E25" w:rsidRPr="00CF3EEA">
        <w:rPr>
          <w:sz w:val="16"/>
          <w:szCs w:val="16"/>
        </w:rPr>
        <w:t>.</w:t>
      </w:r>
      <w:r w:rsidR="000E5846" w:rsidRPr="00CF3EEA">
        <w:rPr>
          <w:sz w:val="16"/>
          <w:szCs w:val="16"/>
        </w:rPr>
        <w:t xml:space="preserve"> </w:t>
      </w:r>
      <w:r w:rsidR="00BC3A13" w:rsidRPr="00CF3EEA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E61C25" w:rsidRPr="00CF3EEA" w:rsidTr="00926059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C25" w:rsidRPr="00CF3EEA" w:rsidRDefault="00E61C25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1C25" w:rsidRPr="00CF3EEA" w:rsidRDefault="006D0ACB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Republic</w:t>
            </w:r>
            <w:r w:rsidR="00E61C25" w:rsidRPr="00CF3EEA">
              <w:rPr>
                <w:rFonts w:cs="Arial"/>
                <w:sz w:val="16"/>
                <w:szCs w:val="16"/>
              </w:rPr>
              <w:t xml:space="preserve"> </w:t>
            </w:r>
            <w:r w:rsidRPr="00CF3EEA">
              <w:rPr>
                <w:rFonts w:cs="Arial"/>
                <w:sz w:val="16"/>
                <w:szCs w:val="16"/>
              </w:rPr>
              <w:t xml:space="preserve">of </w:t>
            </w:r>
            <w:r w:rsidR="00BC3A13" w:rsidRPr="00CF3EEA">
              <w:rPr>
                <w:rFonts w:cs="Arial"/>
                <w:sz w:val="16"/>
                <w:szCs w:val="16"/>
              </w:rPr>
              <w:t>S</w:t>
            </w:r>
            <w:r w:rsidRPr="00CF3EEA">
              <w:rPr>
                <w:rFonts w:cs="Arial"/>
                <w:sz w:val="16"/>
                <w:szCs w:val="16"/>
              </w:rPr>
              <w:t>e</w:t>
            </w:r>
            <w:r w:rsidR="00BC3A13" w:rsidRPr="00CF3EEA">
              <w:rPr>
                <w:rFonts w:cs="Arial"/>
                <w:sz w:val="16"/>
                <w:szCs w:val="16"/>
              </w:rPr>
              <w:t>rbia</w:t>
            </w:r>
          </w:p>
        </w:tc>
      </w:tr>
      <w:tr w:rsidR="00645B3C" w:rsidRPr="00CF3EEA" w:rsidTr="00926059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645B3C" w:rsidRPr="00CF3EEA" w:rsidTr="00926059">
        <w:trPr>
          <w:trHeight w:val="725"/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920296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20296">
              <w:rPr>
                <w:rFonts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157F26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7F26" w:rsidRPr="00CF3EEA" w:rsidRDefault="00157F26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157F26" w:rsidRPr="00CF3EEA" w:rsidRDefault="00157F26" w:rsidP="00B24A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CF3EEA" w:rsidRDefault="00157F26" w:rsidP="00B24A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CF3EEA" w:rsidRDefault="00157F26" w:rsidP="00B24A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CF3EEA" w:rsidRDefault="00157F26" w:rsidP="00B24A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157F26" w:rsidRPr="00CF3EEA" w:rsidRDefault="00157F26" w:rsidP="00B24A67">
            <w:pPr>
              <w:spacing w:line="264" w:lineRule="auto"/>
              <w:ind w:right="113"/>
              <w:jc w:val="righ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57F26" w:rsidRPr="00CF3EEA" w:rsidRDefault="00157F26" w:rsidP="00B24A6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Information and communication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41362,7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37004,0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3162,1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7022,9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6404,1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24507,2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22294,4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1235,5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730,6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6059" w:rsidRPr="00CF3EEA" w:rsidRDefault="00926059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9832,6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8305,5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926059" w:rsidRPr="00CF3EEA" w:rsidTr="00926059">
        <w:trPr>
          <w:jc w:val="center"/>
        </w:trPr>
        <w:tc>
          <w:tcPr>
            <w:tcW w:w="3289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926059" w:rsidRPr="00CF3EEA" w:rsidRDefault="00926059" w:rsidP="00B24A6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6059" w:rsidRPr="00CF3EEA" w:rsidRDefault="00926059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Financial and insurance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16508,0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14359,1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1671,3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444,6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5996,0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5512,9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6436,0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5365,2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4076,0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3480,9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458,8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Real estate 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3886,6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2126,5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1436,7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285,5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2509,7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673,2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1228,8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526,4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Professional, scientific and technical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33857,4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30700,8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1884,4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743,9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528,3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27231,0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25841,7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581,6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5809,4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4190,7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1205,1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Administrative and support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9905,5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7413,6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1490,9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813,7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187,3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8188,2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6680,1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730,8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Public administration and defence; compulsory social security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104763,4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77507,5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10108,4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8838,2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8309,2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81478,3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61028,1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7118,7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12512,6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10392,9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954,7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724,1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10772,5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6086,5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2553,9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8172,3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2520,1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2336,4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2001,4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4647,7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1241,8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1404,5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1172,7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1020,2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584,6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599,8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Human health and social work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9211,2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2789,7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2438,8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1442,0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2540,7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3458,2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1914,5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5635,8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2116,8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1827,1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Arts, entertainment and recreation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5886,4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3655,3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983,1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2777,9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1179,8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Other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1694,1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988,9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531,6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680,5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471,8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  <w:tr w:rsidR="00BC13D7" w:rsidRPr="00CF3EEA" w:rsidTr="00926059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24A6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24A6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...</w:t>
            </w:r>
          </w:p>
        </w:tc>
      </w:tr>
    </w:tbl>
    <w:p w:rsidR="00711809" w:rsidRPr="00CF3EEA" w:rsidRDefault="00711809" w:rsidP="006A7E8E"/>
    <w:p w:rsidR="00711809" w:rsidRPr="00CF3EEA" w:rsidRDefault="00711809" w:rsidP="006A7E8E"/>
    <w:p w:rsidR="00BD0D5F" w:rsidRDefault="00BD0D5F">
      <w:pPr>
        <w:rPr>
          <w:b/>
        </w:rPr>
      </w:pPr>
      <w:r>
        <w:rPr>
          <w:b/>
        </w:rPr>
        <w:br w:type="page"/>
      </w:r>
    </w:p>
    <w:p w:rsidR="00C66F12" w:rsidRPr="00CF3EEA" w:rsidRDefault="006C4D34" w:rsidP="008E22BA">
      <w:pPr>
        <w:pStyle w:val="BodyText"/>
        <w:spacing w:after="40"/>
        <w:ind w:left="284" w:hanging="284"/>
        <w:rPr>
          <w:b/>
        </w:rPr>
      </w:pPr>
      <w:r w:rsidRPr="00CF3EEA">
        <w:rPr>
          <w:b/>
        </w:rPr>
        <w:lastRenderedPageBreak/>
        <w:t>3</w:t>
      </w:r>
      <w:r w:rsidR="008E22BA" w:rsidRPr="00CF3EEA">
        <w:rPr>
          <w:b/>
        </w:rPr>
        <w:t xml:space="preserve">. </w:t>
      </w:r>
      <w:r w:rsidR="006D0ACB" w:rsidRPr="00CF3EEA">
        <w:rPr>
          <w:b/>
        </w:rPr>
        <w:t xml:space="preserve">Realized investments in new fixed assets, by technical structure, </w:t>
      </w:r>
      <w:r w:rsidR="002E5A48" w:rsidRPr="00CF3EEA">
        <w:rPr>
          <w:b/>
        </w:rPr>
        <w:t xml:space="preserve">investor’s </w:t>
      </w:r>
      <w:r w:rsidR="006D0ACB" w:rsidRPr="00CF3EEA">
        <w:rPr>
          <w:b/>
        </w:rPr>
        <w:t>activity and head</w:t>
      </w:r>
      <w:r w:rsidR="002E5A48" w:rsidRPr="00CF3EEA">
        <w:rPr>
          <w:b/>
        </w:rPr>
        <w:t xml:space="preserve"> office</w:t>
      </w:r>
      <w:r w:rsidR="007F2A71" w:rsidRPr="00CF3EEA">
        <w:rPr>
          <w:b/>
        </w:rPr>
        <w:t xml:space="preserve">, </w:t>
      </w:r>
      <w:r w:rsidR="00926059" w:rsidRPr="00CF3EEA">
        <w:rPr>
          <w:b/>
        </w:rPr>
        <w:t>2017</w:t>
      </w:r>
      <w:r w:rsidR="006D0ACB" w:rsidRPr="00CF3EEA">
        <w:rPr>
          <w:b/>
        </w:rPr>
        <w:t xml:space="preserve"> </w:t>
      </w:r>
      <w:r w:rsidRPr="00CF3EEA">
        <w:rPr>
          <w:b/>
        </w:rPr>
        <w:t xml:space="preserve"> </w:t>
      </w:r>
    </w:p>
    <w:p w:rsidR="008E22BA" w:rsidRPr="00CF3EEA" w:rsidRDefault="00674711" w:rsidP="00C66F12">
      <w:pPr>
        <w:pStyle w:val="BodyText"/>
        <w:spacing w:after="40"/>
        <w:ind w:left="284" w:hanging="284"/>
        <w:jc w:val="right"/>
        <w:rPr>
          <w:b/>
        </w:rPr>
      </w:pPr>
      <w:r w:rsidRPr="00CF3EEA">
        <w:rPr>
          <w:sz w:val="16"/>
          <w:szCs w:val="16"/>
        </w:rPr>
        <w:t>mill</w:t>
      </w:r>
      <w:r w:rsidR="001A4E25" w:rsidRPr="00CF3EEA">
        <w:rPr>
          <w:sz w:val="16"/>
          <w:szCs w:val="16"/>
        </w:rPr>
        <w:t xml:space="preserve">. </w:t>
      </w:r>
      <w:r w:rsidR="00BC3A13" w:rsidRPr="00CF3EEA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8E22BA" w:rsidRPr="00CF3EEA" w:rsidTr="00BC13D7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CF3EEA" w:rsidRDefault="008E22BA" w:rsidP="00BC13D7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CF3EEA" w:rsidRDefault="00BC3A13" w:rsidP="00BC13D7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Republi</w:t>
            </w:r>
            <w:r w:rsidR="006D0ACB" w:rsidRPr="00CF3EEA">
              <w:rPr>
                <w:rFonts w:cs="Arial"/>
                <w:sz w:val="16"/>
                <w:szCs w:val="16"/>
              </w:rPr>
              <w:t>c of</w:t>
            </w:r>
            <w:r w:rsidR="008E22BA" w:rsidRPr="00CF3EEA">
              <w:rPr>
                <w:rFonts w:cs="Arial"/>
                <w:sz w:val="16"/>
                <w:szCs w:val="16"/>
              </w:rPr>
              <w:t xml:space="preserve"> </w:t>
            </w:r>
            <w:r w:rsidRPr="00CF3EEA">
              <w:rPr>
                <w:rFonts w:cs="Arial"/>
                <w:sz w:val="16"/>
                <w:szCs w:val="16"/>
              </w:rPr>
              <w:t>S</w:t>
            </w:r>
            <w:r w:rsidR="006D0ACB" w:rsidRPr="00CF3EEA">
              <w:rPr>
                <w:rFonts w:cs="Arial"/>
                <w:sz w:val="16"/>
                <w:szCs w:val="16"/>
              </w:rPr>
              <w:t>e</w:t>
            </w:r>
            <w:r w:rsidRPr="00CF3EEA">
              <w:rPr>
                <w:rFonts w:cs="Arial"/>
                <w:sz w:val="16"/>
                <w:szCs w:val="16"/>
              </w:rPr>
              <w:t>rbia</w:t>
            </w:r>
          </w:p>
        </w:tc>
      </w:tr>
      <w:tr w:rsidR="00645B3C" w:rsidRPr="00CF3EEA" w:rsidTr="00BC13D7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645B3C" w:rsidRPr="00CF3EEA" w:rsidTr="00BC13D7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920296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20296">
              <w:rPr>
                <w:rFonts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CF3EEA" w:rsidRDefault="00645B3C" w:rsidP="00BC13D7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8E22BA" w:rsidRPr="00CF3EEA" w:rsidTr="00BC13D7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2BA" w:rsidRPr="00CF3EEA" w:rsidRDefault="008E22BA" w:rsidP="00BC13D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BC13D7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BC13D7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BC13D7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BC13D7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BC13D7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BC13D7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606751,1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323130,4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155095,4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78571,9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49953,4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267093,5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149624,0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71861,3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28923,3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16684,9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300564,8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147269,2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75273,5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47755,3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30266,8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39092,8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26237,2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7960,6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1893,3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Agriculture, forestry and fishing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15763,0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2860,1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11400,1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1041,3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4294,8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646,6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3078,8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8613,8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1170,4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6668,5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2854,4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Mining and quarrying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33375,4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777,3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26712,5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2190,9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3694,6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18063,9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16495,1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13276,7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753,2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8272,2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1083,2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Manufacturing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133242,9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22755,1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47705,7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39517,5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23264,6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32531,7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4494,6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14316,3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8626,0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5094,7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97993,9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17875,5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32281,1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29967,5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17869,8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385,0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1108,3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924,0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Electricity, gas, steam and air conditioning supply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65635,4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50032,9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13983,0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1163,8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22322,5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9983,3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11527,4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592,9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40016,1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36861,3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2352,7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565,8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3296,8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3188,3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Water supply, sewerage, waste management and remediation activities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13147,1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4284,1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3052,8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1706,4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5701,6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2074,8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921,5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7288,0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3150,4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1369,4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2001,7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766,5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Construction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23173,7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14668,0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3277,5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3934,6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1293,5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12330,7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9341,9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2019,8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10769,0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5292,2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2549,2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1912,0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1015,6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Wholesale and retail trade; repair of motor vehicles and motorcycles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50713,5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20801,1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18816,1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8163,6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2932,7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19824,8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4589,7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9977,1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1182,7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28547,8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14420,3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8504,8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3930,2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1692,5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2340,9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1791,1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Transportation and storage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45404,7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33910,7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5728,4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3717,7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2047,9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20727,9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18606,5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23434,2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14142,2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3972,6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3367,9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1951,5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1242,6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1162,0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Accommodation and food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5462,9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3556,3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835,6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795,8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2464,9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1714,7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526,3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2924,5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76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515D9F" w:rsidRPr="00CF3EEA" w:rsidRDefault="00515D9F"/>
    <w:p w:rsidR="00515D9F" w:rsidRPr="00CF3EEA" w:rsidRDefault="00515D9F"/>
    <w:p w:rsidR="00515D9F" w:rsidRPr="00CF3EEA" w:rsidRDefault="00515D9F"/>
    <w:p w:rsidR="00C66F12" w:rsidRPr="00CF3EEA" w:rsidRDefault="006C4D34" w:rsidP="008E22BA">
      <w:pPr>
        <w:pStyle w:val="BodyText"/>
        <w:spacing w:after="40"/>
        <w:ind w:left="284" w:hanging="284"/>
        <w:rPr>
          <w:sz w:val="18"/>
          <w:szCs w:val="18"/>
        </w:rPr>
      </w:pPr>
      <w:r w:rsidRPr="00CF3EEA">
        <w:rPr>
          <w:b/>
        </w:rPr>
        <w:lastRenderedPageBreak/>
        <w:t>3</w:t>
      </w:r>
      <w:r w:rsidR="008E22BA" w:rsidRPr="00CF3EEA">
        <w:rPr>
          <w:b/>
        </w:rPr>
        <w:t xml:space="preserve">. </w:t>
      </w:r>
      <w:r w:rsidR="006C7A26" w:rsidRPr="00CF3EEA">
        <w:rPr>
          <w:b/>
        </w:rPr>
        <w:t>Realized investments in new fixed assets</w:t>
      </w:r>
      <w:r w:rsidR="00956373" w:rsidRPr="00CF3EEA">
        <w:rPr>
          <w:b/>
        </w:rPr>
        <w:t>,</w:t>
      </w:r>
      <w:r w:rsidR="006C7A26" w:rsidRPr="00CF3EEA">
        <w:rPr>
          <w:b/>
        </w:rPr>
        <w:t xml:space="preserve"> by technical structure</w:t>
      </w:r>
      <w:r w:rsidR="00956373" w:rsidRPr="00CF3EEA">
        <w:rPr>
          <w:b/>
        </w:rPr>
        <w:t>,</w:t>
      </w:r>
      <w:r w:rsidR="006C7A26" w:rsidRPr="00CF3EEA">
        <w:rPr>
          <w:b/>
        </w:rPr>
        <w:t xml:space="preserve"> </w:t>
      </w:r>
      <w:r w:rsidR="00964E2E" w:rsidRPr="00CF3EEA">
        <w:rPr>
          <w:b/>
        </w:rPr>
        <w:t xml:space="preserve">investor’s </w:t>
      </w:r>
      <w:r w:rsidR="006C7A26" w:rsidRPr="00CF3EEA">
        <w:rPr>
          <w:b/>
        </w:rPr>
        <w:t>activity and head</w:t>
      </w:r>
      <w:r w:rsidR="00964E2E" w:rsidRPr="00CF3EEA">
        <w:rPr>
          <w:b/>
        </w:rPr>
        <w:t xml:space="preserve"> office</w:t>
      </w:r>
      <w:r w:rsidR="00956373" w:rsidRPr="00CF3EEA">
        <w:rPr>
          <w:b/>
        </w:rPr>
        <w:t>,</w:t>
      </w:r>
      <w:r w:rsidR="007F2A71" w:rsidRPr="00CF3EEA">
        <w:rPr>
          <w:b/>
        </w:rPr>
        <w:t xml:space="preserve"> </w:t>
      </w:r>
      <w:r w:rsidR="00926059" w:rsidRPr="00CF3EEA">
        <w:rPr>
          <w:b/>
        </w:rPr>
        <w:t>2017</w:t>
      </w:r>
      <w:r w:rsidR="006C7A26" w:rsidRPr="00CF3EEA">
        <w:rPr>
          <w:b/>
        </w:rPr>
        <w:t xml:space="preserve"> </w:t>
      </w:r>
      <w:r w:rsidR="00186711" w:rsidRPr="00CF3EEA">
        <w:rPr>
          <w:sz w:val="18"/>
          <w:szCs w:val="18"/>
        </w:rPr>
        <w:t>(</w:t>
      </w:r>
      <w:r w:rsidR="004E6FA9" w:rsidRPr="00CF3EEA">
        <w:rPr>
          <w:sz w:val="18"/>
          <w:szCs w:val="18"/>
        </w:rPr>
        <w:t>continued</w:t>
      </w:r>
      <w:r w:rsidR="008E22BA" w:rsidRPr="00CF3EEA">
        <w:rPr>
          <w:sz w:val="18"/>
          <w:szCs w:val="18"/>
        </w:rPr>
        <w:t>)</w:t>
      </w:r>
    </w:p>
    <w:p w:rsidR="008E22BA" w:rsidRPr="00CF3EEA" w:rsidRDefault="00674711" w:rsidP="00C66F12">
      <w:pPr>
        <w:pStyle w:val="BodyText"/>
        <w:spacing w:after="40"/>
        <w:ind w:left="284" w:hanging="284"/>
        <w:jc w:val="right"/>
      </w:pPr>
      <w:r w:rsidRPr="00CF3EEA">
        <w:rPr>
          <w:sz w:val="16"/>
          <w:szCs w:val="16"/>
        </w:rPr>
        <w:t>mill</w:t>
      </w:r>
      <w:r w:rsidR="001A4E25" w:rsidRPr="00CF3EEA">
        <w:rPr>
          <w:sz w:val="16"/>
          <w:szCs w:val="16"/>
        </w:rPr>
        <w:t>.</w:t>
      </w:r>
      <w:r w:rsidR="000E5846" w:rsidRPr="00CF3EEA">
        <w:rPr>
          <w:sz w:val="16"/>
          <w:szCs w:val="16"/>
        </w:rPr>
        <w:t xml:space="preserve"> </w:t>
      </w:r>
      <w:r w:rsidR="00BC3A13" w:rsidRPr="00CF3EEA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134"/>
        <w:gridCol w:w="1134"/>
        <w:gridCol w:w="1134"/>
        <w:gridCol w:w="1134"/>
        <w:gridCol w:w="1134"/>
        <w:gridCol w:w="1134"/>
      </w:tblGrid>
      <w:tr w:rsidR="008E22BA" w:rsidRPr="00CF3EEA" w:rsidTr="00BC13D7">
        <w:trPr>
          <w:jc w:val="center"/>
        </w:trPr>
        <w:tc>
          <w:tcPr>
            <w:tcW w:w="32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22BA" w:rsidRPr="00CF3EEA" w:rsidRDefault="008E22BA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E22BA" w:rsidRPr="00CF3EEA" w:rsidRDefault="00BC3A13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Republi</w:t>
            </w:r>
            <w:r w:rsidR="006C7A26" w:rsidRPr="00CF3EEA">
              <w:rPr>
                <w:rFonts w:cs="Arial"/>
                <w:sz w:val="16"/>
                <w:szCs w:val="16"/>
              </w:rPr>
              <w:t>c of</w:t>
            </w:r>
            <w:r w:rsidR="008E22BA" w:rsidRPr="00CF3EEA">
              <w:rPr>
                <w:rFonts w:cs="Arial"/>
                <w:sz w:val="16"/>
                <w:szCs w:val="16"/>
              </w:rPr>
              <w:t xml:space="preserve"> </w:t>
            </w:r>
            <w:r w:rsidRPr="00CF3EEA">
              <w:rPr>
                <w:rFonts w:cs="Arial"/>
                <w:sz w:val="16"/>
                <w:szCs w:val="16"/>
              </w:rPr>
              <w:t>S</w:t>
            </w:r>
            <w:r w:rsidR="006C7A26" w:rsidRPr="00CF3EEA">
              <w:rPr>
                <w:rFonts w:cs="Arial"/>
                <w:sz w:val="16"/>
                <w:szCs w:val="16"/>
              </w:rPr>
              <w:t>e</w:t>
            </w:r>
            <w:r w:rsidRPr="00CF3EEA">
              <w:rPr>
                <w:rFonts w:cs="Arial"/>
                <w:sz w:val="16"/>
                <w:szCs w:val="16"/>
              </w:rPr>
              <w:t>rbia</w:t>
            </w:r>
          </w:p>
        </w:tc>
      </w:tr>
      <w:tr w:rsidR="00645B3C" w:rsidRPr="00CF3EEA" w:rsidTr="00BC13D7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 – sever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before="80" w:after="8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Srbija – jug</w:t>
            </w:r>
          </w:p>
        </w:tc>
      </w:tr>
      <w:tr w:rsidR="00645B3C" w:rsidRPr="00CF3EEA" w:rsidTr="00BC13D7">
        <w:trPr>
          <w:jc w:val="center"/>
        </w:trPr>
        <w:tc>
          <w:tcPr>
            <w:tcW w:w="32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C9334A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Beogradski region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Vojvodine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CF3EEA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Šumadije i Zapadne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3C" w:rsidRPr="00920296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920296">
              <w:rPr>
                <w:rFonts w:cs="Arial"/>
                <w:sz w:val="16"/>
                <w:szCs w:val="16"/>
                <w:lang w:val="de-DE"/>
              </w:rPr>
              <w:t>Region Južne i Istočne Srbije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45B3C" w:rsidRPr="00CF3EEA" w:rsidRDefault="00645B3C" w:rsidP="00515D9F">
            <w:pPr>
              <w:spacing w:before="60" w:after="60"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Region Kosovo i Metohija</w:t>
            </w:r>
          </w:p>
        </w:tc>
      </w:tr>
      <w:tr w:rsidR="008E22BA" w:rsidRPr="00CF3EEA" w:rsidTr="00BC13D7">
        <w:trPr>
          <w:jc w:val="center"/>
        </w:trPr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E22BA" w:rsidRPr="00CF3EEA" w:rsidRDefault="008E22BA" w:rsidP="00C9334A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22BA" w:rsidRPr="00CF3EEA" w:rsidRDefault="008E22BA" w:rsidP="00C9334A">
            <w:pPr>
              <w:spacing w:line="276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Information and communication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40745,1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36697,0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2892,4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6974,4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6404,1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24246,0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22291,0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1016,9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9524,7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8001,9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1508,1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88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Financial and insurance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9651,4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7568,6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1616,5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433,3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1295,1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392,7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4346,5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3299,5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4009,8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3448,2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425,4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Real estate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3287,1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2094,7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902,4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2302,3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1576,8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Professional, scientific and technical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32337,4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29830,7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1798,7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284,5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423,5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26331,5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25455,9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543,3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227,6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5368,9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3882,9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1161,6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636,9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491,9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Administrative and support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9360,5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7153,8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1244,9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779,6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1298,8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480,8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7945,5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6569,2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564,7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103,7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Public administration and defence; compulsory social security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101425,5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76798,7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8973,0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8097,2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7556,6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80352,6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60930,0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7738,4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6875,5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4808,7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12461,5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10367,3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945,9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717,3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430,9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8611,5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5501,4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504,4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2317,0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Education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7789,6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2279,1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2279,8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1946,9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1283,9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4401,5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1016,7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1279,7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1400,3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704,8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1156,7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977,0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535,4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Human health and social work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9004,2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2694,3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2402,6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1394,5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2512,8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3351,0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1899,6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5548,1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2074,5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1804,2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1059,9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609,5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Arts, entertainment and recreation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5849,9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3644,5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971,4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975,2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258,7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2034,8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1697,4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113,1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2754,6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1169,1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619,2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843,8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122,6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1060,4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778,0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18,3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 xml:space="preserve">Other service activities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1381,8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723,4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502,0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110,1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46,3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…</w:t>
            </w:r>
          </w:p>
        </w:tc>
      </w:tr>
      <w:tr w:rsidR="00BC13D7" w:rsidRPr="00CF3EEA" w:rsidTr="00BC13D7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 works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209,4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Equipment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807,5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464,4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268,7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44,5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  <w:tr w:rsidR="00BC13D7" w:rsidRPr="00CF3EEA" w:rsidTr="00E21A32">
        <w:trPr>
          <w:jc w:val="center"/>
        </w:trPr>
        <w:tc>
          <w:tcPr>
            <w:tcW w:w="3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C13D7" w:rsidRPr="00CF3EEA" w:rsidRDefault="00BC13D7" w:rsidP="00BC13D7">
            <w:pPr>
              <w:spacing w:line="276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85,6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49,6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C13D7" w:rsidRPr="00CF3EEA" w:rsidRDefault="00BC13D7" w:rsidP="00BC13D7">
            <w:pPr>
              <w:spacing w:line="264" w:lineRule="auto"/>
              <w:ind w:right="170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…</w:t>
            </w:r>
          </w:p>
        </w:tc>
      </w:tr>
    </w:tbl>
    <w:p w:rsidR="00711809" w:rsidRPr="00CF3EEA" w:rsidRDefault="00711809" w:rsidP="006A7E8E"/>
    <w:p w:rsidR="00711809" w:rsidRPr="00CF3EEA" w:rsidRDefault="00711809" w:rsidP="006A7E8E"/>
    <w:p w:rsidR="00711809" w:rsidRPr="00CF3EEA" w:rsidRDefault="00711809" w:rsidP="006A7E8E"/>
    <w:p w:rsidR="00BC13D7" w:rsidRPr="00CF3EEA" w:rsidRDefault="00BC13D7">
      <w:pPr>
        <w:rPr>
          <w:b/>
        </w:rPr>
      </w:pPr>
      <w:r w:rsidRPr="00CF3EEA">
        <w:rPr>
          <w:b/>
        </w:rPr>
        <w:br w:type="page"/>
      </w:r>
    </w:p>
    <w:p w:rsidR="001F650A" w:rsidRPr="00CF3EEA" w:rsidRDefault="006C4D34" w:rsidP="001F650A">
      <w:pPr>
        <w:ind w:left="227" w:hanging="227"/>
        <w:rPr>
          <w:b/>
        </w:rPr>
      </w:pPr>
      <w:r w:rsidRPr="00CF3EEA">
        <w:rPr>
          <w:b/>
        </w:rPr>
        <w:lastRenderedPageBreak/>
        <w:t>4</w:t>
      </w:r>
      <w:r w:rsidR="00E61C25" w:rsidRPr="00CF3EEA">
        <w:rPr>
          <w:b/>
        </w:rPr>
        <w:t xml:space="preserve">. </w:t>
      </w:r>
      <w:r w:rsidR="006C7A26" w:rsidRPr="00CF3EEA">
        <w:rPr>
          <w:b/>
        </w:rPr>
        <w:t>Payments for</w:t>
      </w:r>
      <w:r w:rsidR="00964E2E" w:rsidRPr="00CF3EEA">
        <w:rPr>
          <w:b/>
        </w:rPr>
        <w:t xml:space="preserve"> </w:t>
      </w:r>
      <w:r w:rsidR="006C7A26" w:rsidRPr="00CF3EEA">
        <w:rPr>
          <w:b/>
        </w:rPr>
        <w:t xml:space="preserve">investments in </w:t>
      </w:r>
      <w:r w:rsidR="00683ED2" w:rsidRPr="00CF3EEA">
        <w:rPr>
          <w:b/>
        </w:rPr>
        <w:t xml:space="preserve">total </w:t>
      </w:r>
      <w:r w:rsidR="006C7A26" w:rsidRPr="00CF3EEA">
        <w:rPr>
          <w:b/>
        </w:rPr>
        <w:t>fixed asset</w:t>
      </w:r>
      <w:r w:rsidR="00403628" w:rsidRPr="00CF3EEA">
        <w:rPr>
          <w:b/>
        </w:rPr>
        <w:t>s</w:t>
      </w:r>
      <w:r w:rsidR="00956373" w:rsidRPr="00CF3EEA">
        <w:rPr>
          <w:b/>
        </w:rPr>
        <w:t>,</w:t>
      </w:r>
      <w:r w:rsidR="00403628" w:rsidRPr="00CF3EEA">
        <w:rPr>
          <w:b/>
        </w:rPr>
        <w:t xml:space="preserve"> by sources of financing</w:t>
      </w:r>
      <w:r w:rsidR="00956373" w:rsidRPr="00CF3EEA">
        <w:rPr>
          <w:b/>
        </w:rPr>
        <w:t>,</w:t>
      </w:r>
      <w:r w:rsidR="00403628" w:rsidRPr="00CF3EEA">
        <w:rPr>
          <w:b/>
        </w:rPr>
        <w:t xml:space="preserve"> </w:t>
      </w:r>
      <w:r w:rsidR="00926059" w:rsidRPr="00CF3EEA">
        <w:rPr>
          <w:b/>
        </w:rPr>
        <w:t>2017</w:t>
      </w:r>
      <w:r w:rsidR="006C7A26" w:rsidRPr="00CF3EEA">
        <w:rPr>
          <w:b/>
        </w:rPr>
        <w:t xml:space="preserve"> </w:t>
      </w:r>
    </w:p>
    <w:p w:rsidR="001F650A" w:rsidRPr="00CF3EEA" w:rsidRDefault="001F650A" w:rsidP="00C66F12">
      <w:pPr>
        <w:ind w:left="227" w:hanging="227"/>
        <w:rPr>
          <w:b/>
          <w:sz w:val="10"/>
          <w:szCs w:val="10"/>
        </w:rPr>
      </w:pPr>
    </w:p>
    <w:p w:rsidR="00711809" w:rsidRPr="00CF3EEA" w:rsidRDefault="00BC3A13" w:rsidP="001F650A">
      <w:pPr>
        <w:ind w:left="227" w:hanging="227"/>
        <w:rPr>
          <w:sz w:val="16"/>
          <w:szCs w:val="16"/>
        </w:rPr>
      </w:pPr>
      <w:r w:rsidRPr="00CF3EEA">
        <w:rPr>
          <w:sz w:val="18"/>
          <w:szCs w:val="18"/>
        </w:rPr>
        <w:t>Republi</w:t>
      </w:r>
      <w:r w:rsidR="00785345" w:rsidRPr="00CF3EEA">
        <w:rPr>
          <w:sz w:val="18"/>
          <w:szCs w:val="18"/>
        </w:rPr>
        <w:t>c of</w:t>
      </w:r>
      <w:r w:rsidR="007E62DF" w:rsidRPr="00CF3EEA">
        <w:rPr>
          <w:sz w:val="18"/>
          <w:szCs w:val="18"/>
        </w:rPr>
        <w:t xml:space="preserve"> </w:t>
      </w:r>
      <w:r w:rsidRPr="00CF3EEA">
        <w:rPr>
          <w:sz w:val="18"/>
          <w:szCs w:val="18"/>
        </w:rPr>
        <w:t>S</w:t>
      </w:r>
      <w:r w:rsidR="00785345" w:rsidRPr="00CF3EEA">
        <w:rPr>
          <w:sz w:val="18"/>
          <w:szCs w:val="18"/>
        </w:rPr>
        <w:t>e</w:t>
      </w:r>
      <w:r w:rsidRPr="00CF3EEA">
        <w:rPr>
          <w:sz w:val="18"/>
          <w:szCs w:val="18"/>
        </w:rPr>
        <w:t>rbia</w:t>
      </w:r>
      <w:r w:rsidR="006C4D34" w:rsidRPr="00CF3EEA">
        <w:rPr>
          <w:sz w:val="18"/>
          <w:szCs w:val="18"/>
        </w:rPr>
        <w:t xml:space="preserve"> </w:t>
      </w:r>
      <w:r w:rsidR="00C66F12" w:rsidRPr="00CF3EEA">
        <w:rPr>
          <w:sz w:val="18"/>
          <w:szCs w:val="18"/>
        </w:rPr>
        <w:t xml:space="preserve">   </w:t>
      </w:r>
      <w:r w:rsidR="001F650A" w:rsidRPr="00CF3EEA">
        <w:rPr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="00102B23" w:rsidRPr="00CF3EEA">
        <w:rPr>
          <w:sz w:val="18"/>
          <w:szCs w:val="18"/>
        </w:rPr>
        <w:t xml:space="preserve"> </w:t>
      </w:r>
      <w:r w:rsidR="001F650A" w:rsidRPr="00CF3EEA">
        <w:rPr>
          <w:sz w:val="18"/>
          <w:szCs w:val="18"/>
        </w:rPr>
        <w:t xml:space="preserve">   </w:t>
      </w:r>
      <w:r w:rsidR="001A4E25" w:rsidRPr="00CF3EEA">
        <w:rPr>
          <w:sz w:val="18"/>
          <w:szCs w:val="18"/>
        </w:rPr>
        <w:t xml:space="preserve">    </w:t>
      </w:r>
      <w:r w:rsidR="001F650A" w:rsidRPr="00CF3EEA">
        <w:rPr>
          <w:sz w:val="18"/>
          <w:szCs w:val="18"/>
        </w:rPr>
        <w:t xml:space="preserve"> </w:t>
      </w:r>
      <w:r w:rsidR="00051825" w:rsidRPr="00CF3EEA">
        <w:rPr>
          <w:sz w:val="18"/>
          <w:szCs w:val="18"/>
        </w:rPr>
        <w:t>mill</w:t>
      </w:r>
      <w:r w:rsidR="001A4E25" w:rsidRPr="00CF3EEA">
        <w:rPr>
          <w:sz w:val="16"/>
          <w:szCs w:val="16"/>
        </w:rPr>
        <w:t>.</w:t>
      </w:r>
      <w:r w:rsidR="009D166B" w:rsidRPr="00CF3EEA">
        <w:rPr>
          <w:sz w:val="16"/>
          <w:szCs w:val="16"/>
        </w:rPr>
        <w:t xml:space="preserve"> </w:t>
      </w:r>
      <w:r w:rsidRPr="00CF3EEA">
        <w:rPr>
          <w:sz w:val="16"/>
          <w:szCs w:val="16"/>
        </w:rPr>
        <w:t>RSD</w:t>
      </w:r>
    </w:p>
    <w:tbl>
      <w:tblPr>
        <w:tblW w:w="0" w:type="auto"/>
        <w:jc w:val="center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462"/>
        <w:gridCol w:w="1125"/>
        <w:gridCol w:w="1128"/>
        <w:gridCol w:w="1126"/>
        <w:gridCol w:w="1127"/>
        <w:gridCol w:w="1125"/>
      </w:tblGrid>
      <w:tr w:rsidR="00024DBC" w:rsidRPr="00CF3EEA" w:rsidTr="00BC13D7">
        <w:trPr>
          <w:trHeight w:val="523"/>
          <w:jc w:val="center"/>
        </w:trPr>
        <w:tc>
          <w:tcPr>
            <w:tcW w:w="446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9D166B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Total</w:t>
            </w:r>
          </w:p>
        </w:tc>
        <w:tc>
          <w:tcPr>
            <w:tcW w:w="45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6B" w:rsidRPr="00CF3EEA" w:rsidRDefault="00C35CA8" w:rsidP="00C35CA8">
            <w:pPr>
              <w:spacing w:before="80" w:after="80"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Payments for investments in fixed assets</w:t>
            </w:r>
            <w:r w:rsidR="004602F3" w:rsidRPr="00CF3EEA">
              <w:rPr>
                <w:rFonts w:cs="Arial"/>
                <w:sz w:val="16"/>
                <w:szCs w:val="16"/>
              </w:rPr>
              <w:t xml:space="preserve"> from:</w:t>
            </w:r>
            <w:r w:rsidRPr="00CF3EEA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024DBC" w:rsidRPr="00CF3EEA" w:rsidTr="00BC13D7">
        <w:trPr>
          <w:trHeight w:val="793"/>
          <w:jc w:val="center"/>
        </w:trPr>
        <w:tc>
          <w:tcPr>
            <w:tcW w:w="446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9D166B" w:rsidP="00C9334A">
            <w:pPr>
              <w:spacing w:line="264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9D166B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Own </w:t>
            </w:r>
            <w:r w:rsidR="00645B3C" w:rsidRPr="00CF3EEA">
              <w:rPr>
                <w:rFonts w:cs="Arial"/>
                <w:sz w:val="16"/>
                <w:szCs w:val="16"/>
              </w:rPr>
              <w:t xml:space="preserve"> </w:t>
            </w:r>
            <w:r w:rsidRPr="00CF3EEA">
              <w:rPr>
                <w:rFonts w:cs="Arial"/>
                <w:sz w:val="16"/>
                <w:szCs w:val="16"/>
              </w:rPr>
              <w:t>resources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F13201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Common  funds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66B" w:rsidRPr="00CF3EEA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Financial credits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166B" w:rsidRPr="00CF3EEA" w:rsidRDefault="006C7A26" w:rsidP="00C9334A">
            <w:pPr>
              <w:spacing w:line="264" w:lineRule="auto"/>
              <w:jc w:val="center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 funds</w:t>
            </w:r>
          </w:p>
        </w:tc>
      </w:tr>
      <w:tr w:rsidR="00024DBC" w:rsidRPr="00CF3EEA" w:rsidTr="00BC13D7">
        <w:trPr>
          <w:jc w:val="center"/>
        </w:trPr>
        <w:tc>
          <w:tcPr>
            <w:tcW w:w="4462" w:type="dxa"/>
            <w:tcBorders>
              <w:top w:val="single" w:sz="4" w:space="0" w:color="auto"/>
              <w:right w:val="single" w:sz="4" w:space="0" w:color="auto"/>
            </w:tcBorders>
          </w:tcPr>
          <w:p w:rsidR="009D166B" w:rsidRPr="00CF3EEA" w:rsidRDefault="009D166B" w:rsidP="00C9334A">
            <w:pPr>
              <w:spacing w:line="264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9D166B" w:rsidRPr="00CF3EEA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auto"/>
            </w:tcBorders>
            <w:vAlign w:val="bottom"/>
          </w:tcPr>
          <w:p w:rsidR="009D166B" w:rsidRPr="00CF3EEA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</w:tcBorders>
            <w:vAlign w:val="bottom"/>
          </w:tcPr>
          <w:p w:rsidR="009D166B" w:rsidRPr="00CF3EEA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tcBorders>
              <w:top w:val="single" w:sz="4" w:space="0" w:color="auto"/>
            </w:tcBorders>
            <w:vAlign w:val="bottom"/>
          </w:tcPr>
          <w:p w:rsidR="009D166B" w:rsidRPr="00CF3EEA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  <w:vAlign w:val="bottom"/>
          </w:tcPr>
          <w:p w:rsidR="009D166B" w:rsidRPr="00CF3EEA" w:rsidRDefault="009D166B" w:rsidP="00C9334A">
            <w:pPr>
              <w:spacing w:line="264" w:lineRule="auto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b/>
                <w:bCs/>
                <w:cap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caps/>
                <w:sz w:val="16"/>
                <w:szCs w:val="16"/>
              </w:rPr>
              <w:t>TOTAL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651897,7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503000,7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4955,3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92804,8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b/>
                <w:bCs/>
                <w:sz w:val="16"/>
                <w:szCs w:val="16"/>
              </w:rPr>
            </w:pPr>
            <w:r w:rsidRPr="00CF3EEA">
              <w:rPr>
                <w:rFonts w:cs="Arial"/>
                <w:b/>
                <w:bCs/>
                <w:sz w:val="16"/>
                <w:szCs w:val="16"/>
              </w:rPr>
              <w:t>51137,0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rPr>
                <w:rFonts w:cs="Arial"/>
                <w:sz w:val="16"/>
                <w:szCs w:val="16"/>
              </w:rPr>
            </w:pP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Agriculture, forestry and fishing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19029,0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14031,0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4215,0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783,0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Mining and quarrying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35198,7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34830,0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88,6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66,7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213,5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Manufacturing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146914,1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120315,8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1744,1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23492,7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1361,6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Electricity, gas, steam and air conditioning supply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60622,5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49229,7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11180,6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212,3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bCs/>
                <w:sz w:val="16"/>
                <w:szCs w:val="16"/>
              </w:rPr>
              <w:t>Water supply; sewerage, waste management and remediation activities</w:t>
            </w:r>
            <w:r w:rsidRPr="00CF3EEA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12057,6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8285,3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821,9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1420,1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1530,3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Construction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28247,6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19414,1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52,1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5923,4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2858,0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Wholesale and retail trade; repair of motor vehicles and motorcycles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62707,9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56806,5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71,6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5353,7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476,1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Transportation and storage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51677,8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27797,9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178,1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17625,3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6076,5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Accommodation and food service activities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6372,4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5629,9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240,3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454,0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48,2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Information and communication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41734,7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29317,0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0,4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12301,9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115,3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Financial and insurance activities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16605,3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16604,1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0,0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0,7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0,6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Real estate activities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3640,0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3263,7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19,8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110,4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246,1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Professional, scientific and technical activities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31353,1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7841,2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6,2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989,3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22516,4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 xml:space="preserve">Administrative and support service activities 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9293,1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8113,7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2,5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914,0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262,9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bCs/>
                <w:sz w:val="16"/>
                <w:szCs w:val="16"/>
              </w:rPr>
              <w:t>Public administration and defence; compulsory social security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103184,1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84471,1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872,4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8194,0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9646,6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Education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7820,9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4758,3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285,2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411,2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2366,2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Human health and social work activities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8046,4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5826,6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209,3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86,7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1923,9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Arts, entertainment and recreation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5738,3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4948,1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308,7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1,8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479,6</w:t>
            </w:r>
          </w:p>
        </w:tc>
      </w:tr>
      <w:tr w:rsidR="00BC13D7" w:rsidRPr="00CF3EEA" w:rsidTr="00BC13D7">
        <w:trPr>
          <w:jc w:val="center"/>
        </w:trPr>
        <w:tc>
          <w:tcPr>
            <w:tcW w:w="4462" w:type="dxa"/>
            <w:tcBorders>
              <w:righ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before="60" w:after="60" w:line="264" w:lineRule="auto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Other service activities</w:t>
            </w:r>
          </w:p>
        </w:tc>
        <w:tc>
          <w:tcPr>
            <w:tcW w:w="1125" w:type="dxa"/>
            <w:tcBorders>
              <w:left w:val="single" w:sz="4" w:space="0" w:color="auto"/>
            </w:tcBorders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1654,1</w:t>
            </w:r>
          </w:p>
        </w:tc>
        <w:tc>
          <w:tcPr>
            <w:tcW w:w="1128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1516,7</w:t>
            </w:r>
          </w:p>
        </w:tc>
        <w:tc>
          <w:tcPr>
            <w:tcW w:w="1126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54,0</w:t>
            </w:r>
          </w:p>
        </w:tc>
        <w:tc>
          <w:tcPr>
            <w:tcW w:w="1127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63,2</w:t>
            </w:r>
          </w:p>
        </w:tc>
        <w:tc>
          <w:tcPr>
            <w:tcW w:w="1125" w:type="dxa"/>
            <w:vAlign w:val="bottom"/>
          </w:tcPr>
          <w:p w:rsidR="00BC13D7" w:rsidRPr="00CF3EEA" w:rsidRDefault="00BC13D7" w:rsidP="00BC13D7">
            <w:pPr>
              <w:spacing w:line="264" w:lineRule="auto"/>
              <w:ind w:right="113"/>
              <w:jc w:val="right"/>
              <w:rPr>
                <w:rFonts w:cs="Arial"/>
                <w:sz w:val="16"/>
                <w:szCs w:val="16"/>
              </w:rPr>
            </w:pPr>
            <w:r w:rsidRPr="00CF3EEA">
              <w:rPr>
                <w:rFonts w:cs="Arial"/>
                <w:sz w:val="16"/>
                <w:szCs w:val="16"/>
              </w:rPr>
              <w:t>20,1</w:t>
            </w:r>
          </w:p>
        </w:tc>
      </w:tr>
    </w:tbl>
    <w:p w:rsidR="00151D4E" w:rsidRPr="00CF3EEA" w:rsidRDefault="00151D4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151D4E" w:rsidRPr="00CF3EEA" w:rsidRDefault="00151D4E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DA15FF" w:rsidRPr="00CF3EEA" w:rsidRDefault="00DA15FF" w:rsidP="00F77667">
      <w:pPr>
        <w:autoSpaceDE w:val="0"/>
        <w:autoSpaceDN w:val="0"/>
        <w:adjustRightInd w:val="0"/>
        <w:ind w:left="397"/>
      </w:pPr>
    </w:p>
    <w:p w:rsidR="00DA15FF" w:rsidRPr="00CF3EEA" w:rsidRDefault="00051825" w:rsidP="00F77667">
      <w:pPr>
        <w:autoSpaceDE w:val="0"/>
        <w:autoSpaceDN w:val="0"/>
        <w:adjustRightInd w:val="0"/>
        <w:ind w:left="397"/>
      </w:pPr>
      <w:r w:rsidRPr="00CF3EEA">
        <w:t xml:space="preserve">Data in this statistical release are the results of the survey </w:t>
      </w:r>
      <w:r w:rsidRPr="00CF3EEA">
        <w:rPr>
          <w:rFonts w:cs="Arial"/>
          <w:bCs/>
          <w:sz w:val="19"/>
          <w:szCs w:val="19"/>
        </w:rPr>
        <w:t xml:space="preserve">“Annual report on </w:t>
      </w:r>
      <w:r w:rsidRPr="00CF3EEA">
        <w:t xml:space="preserve">Investments </w:t>
      </w:r>
      <w:r w:rsidR="00263AEC" w:rsidRPr="00CF3EEA">
        <w:t>in</w:t>
      </w:r>
      <w:r w:rsidRPr="00CF3EEA">
        <w:t xml:space="preserve"> Fixed Assets“. Reporting units encompass all legal entities in the country that are direct investors. </w:t>
      </w:r>
    </w:p>
    <w:p w:rsidR="00DA15FF" w:rsidRPr="00CF3EEA" w:rsidRDefault="00DA15FF" w:rsidP="00F77667">
      <w:pPr>
        <w:autoSpaceDE w:val="0"/>
        <w:autoSpaceDN w:val="0"/>
        <w:adjustRightInd w:val="0"/>
        <w:ind w:left="397"/>
      </w:pPr>
    </w:p>
    <w:p w:rsidR="00F77667" w:rsidRPr="00CF3EEA" w:rsidRDefault="00DB2F0E" w:rsidP="00F77667">
      <w:pPr>
        <w:autoSpaceDE w:val="0"/>
        <w:autoSpaceDN w:val="0"/>
        <w:adjustRightInd w:val="0"/>
        <w:ind w:left="397"/>
      </w:pPr>
      <w:r w:rsidRPr="00CF3EEA">
        <w:t xml:space="preserve">Methodological explanations </w:t>
      </w:r>
      <w:r w:rsidR="003F5FAF" w:rsidRPr="00CF3EEA">
        <w:rPr>
          <w:rFonts w:cs="Arial"/>
          <w:bCs/>
          <w:sz w:val="19"/>
          <w:szCs w:val="19"/>
        </w:rPr>
        <w:t>c</w:t>
      </w:r>
      <w:r w:rsidR="00051825" w:rsidRPr="00CF3EEA">
        <w:rPr>
          <w:rFonts w:cs="Arial"/>
          <w:bCs/>
          <w:sz w:val="19"/>
          <w:szCs w:val="19"/>
        </w:rPr>
        <w:t>an</w:t>
      </w:r>
      <w:r w:rsidR="003F5FAF" w:rsidRPr="00CF3EEA">
        <w:rPr>
          <w:rFonts w:cs="Arial"/>
          <w:bCs/>
          <w:sz w:val="19"/>
          <w:szCs w:val="19"/>
        </w:rPr>
        <w:t xml:space="preserve"> be found on the SORS website</w:t>
      </w:r>
      <w:r w:rsidR="006B153E" w:rsidRPr="00CF3EEA">
        <w:rPr>
          <w:rFonts w:cs="Arial"/>
          <w:sz w:val="19"/>
          <w:szCs w:val="19"/>
        </w:rPr>
        <w:t xml:space="preserve">: </w:t>
      </w:r>
      <w:r w:rsidR="00DA3DB1" w:rsidRPr="00CF3EEA">
        <w:rPr>
          <w:rFonts w:cs="Arial"/>
          <w:sz w:val="19"/>
          <w:szCs w:val="19"/>
        </w:rPr>
        <w:t xml:space="preserve"> </w:t>
      </w:r>
    </w:p>
    <w:p w:rsidR="004A1639" w:rsidRPr="00CF3EEA" w:rsidRDefault="00CD4231" w:rsidP="004A1639">
      <w:pPr>
        <w:autoSpaceDE w:val="0"/>
        <w:autoSpaceDN w:val="0"/>
        <w:adjustRightInd w:val="0"/>
        <w:ind w:firstLine="403"/>
        <w:rPr>
          <w:rFonts w:cs="Arial"/>
          <w:szCs w:val="20"/>
        </w:rPr>
      </w:pPr>
      <w:hyperlink r:id="rId12" w:history="1">
        <w:r w:rsidR="004A1639" w:rsidRPr="00CF3EEA">
          <w:rPr>
            <w:rStyle w:val="Hyperlink"/>
          </w:rPr>
          <w:t>http://www.stat.gov.rs/istrazivanja/methodology-and-documents/</w:t>
        </w:r>
      </w:hyperlink>
    </w:p>
    <w:p w:rsidR="00A66532" w:rsidRPr="00CF3EEA" w:rsidRDefault="00A66532" w:rsidP="00DA3DB1">
      <w:pPr>
        <w:autoSpaceDE w:val="0"/>
        <w:autoSpaceDN w:val="0"/>
        <w:adjustRightInd w:val="0"/>
        <w:ind w:left="397"/>
        <w:rPr>
          <w:rFonts w:cs="Arial"/>
          <w:sz w:val="19"/>
          <w:szCs w:val="19"/>
        </w:rPr>
      </w:pPr>
    </w:p>
    <w:p w:rsidR="00A66532" w:rsidRPr="00CF3EEA" w:rsidRDefault="00490620" w:rsidP="00A66532">
      <w:pPr>
        <w:autoSpaceDE w:val="0"/>
        <w:autoSpaceDN w:val="0"/>
        <w:adjustRightInd w:val="0"/>
        <w:ind w:left="397"/>
        <w:rPr>
          <w:rFonts w:cs="Arial"/>
          <w:bCs/>
          <w:sz w:val="19"/>
          <w:szCs w:val="19"/>
        </w:rPr>
      </w:pPr>
      <w:r w:rsidRPr="00CF3EEA">
        <w:rPr>
          <w:rFonts w:cs="Arial"/>
          <w:bCs/>
          <w:sz w:val="19"/>
          <w:szCs w:val="19"/>
        </w:rPr>
        <w:t>Data</w:t>
      </w:r>
      <w:r w:rsidR="00F77667" w:rsidRPr="00CF3EEA">
        <w:rPr>
          <w:rFonts w:cs="Arial"/>
          <w:bCs/>
          <w:sz w:val="19"/>
          <w:szCs w:val="19"/>
        </w:rPr>
        <w:t xml:space="preserve"> series on investments in fixed assets </w:t>
      </w:r>
      <w:r w:rsidR="00A66532" w:rsidRPr="00CF3EEA">
        <w:rPr>
          <w:rFonts w:cs="Arial"/>
          <w:bCs/>
          <w:sz w:val="19"/>
          <w:szCs w:val="19"/>
        </w:rPr>
        <w:t>are available at the SORS site in Database</w:t>
      </w:r>
      <w:r w:rsidR="00F677AA" w:rsidRPr="00CF3EEA">
        <w:rPr>
          <w:rFonts w:cs="Arial"/>
          <w:bCs/>
          <w:sz w:val="19"/>
          <w:szCs w:val="19"/>
        </w:rPr>
        <w:t>:</w:t>
      </w:r>
    </w:p>
    <w:p w:rsidR="00BC13D7" w:rsidRPr="00CF3EEA" w:rsidRDefault="00CD4231" w:rsidP="00BC13D7">
      <w:pPr>
        <w:autoSpaceDE w:val="0"/>
        <w:autoSpaceDN w:val="0"/>
        <w:adjustRightInd w:val="0"/>
        <w:ind w:firstLine="397"/>
        <w:rPr>
          <w:rFonts w:eastAsia="ArialMT" w:cs="Arial"/>
          <w:szCs w:val="20"/>
        </w:rPr>
      </w:pPr>
      <w:hyperlink r:id="rId13" w:history="1">
        <w:r w:rsidR="00BC13D7" w:rsidRPr="00CF3EEA">
          <w:rPr>
            <w:rStyle w:val="Hyperlink"/>
          </w:rPr>
          <w:t>http://data.stat.gov.rs/?caller=090201&amp;languageCode=sr-Cyrl</w:t>
        </w:r>
      </w:hyperlink>
    </w:p>
    <w:p w:rsidR="00157F26" w:rsidRPr="00CF3EEA" w:rsidRDefault="00157F26" w:rsidP="00A66532">
      <w:pPr>
        <w:autoSpaceDE w:val="0"/>
        <w:autoSpaceDN w:val="0"/>
        <w:adjustRightInd w:val="0"/>
        <w:ind w:left="397"/>
        <w:rPr>
          <w:rFonts w:cs="Arial"/>
          <w:bCs/>
          <w:sz w:val="19"/>
          <w:szCs w:val="19"/>
        </w:rPr>
      </w:pPr>
    </w:p>
    <w:tbl>
      <w:tblPr>
        <w:tblpPr w:leftFromText="181" w:rightFromText="181" w:vertAnchor="page" w:horzAnchor="margin" w:tblpXSpec="center" w:tblpY="14176"/>
        <w:tblW w:w="4500" w:type="pct"/>
        <w:tblBorders>
          <w:top w:val="single" w:sz="4" w:space="0" w:color="808080"/>
        </w:tblBorders>
        <w:tblLook w:val="01E0" w:firstRow="1" w:lastRow="1" w:firstColumn="1" w:lastColumn="1" w:noHBand="0" w:noVBand="0"/>
      </w:tblPr>
      <w:tblGrid>
        <w:gridCol w:w="9084"/>
      </w:tblGrid>
      <w:tr w:rsidR="0041739D" w:rsidRPr="00CF3EEA">
        <w:trPr>
          <w:trHeight w:val="1222"/>
        </w:trPr>
        <w:tc>
          <w:tcPr>
            <w:tcW w:w="9278" w:type="dxa"/>
            <w:shd w:val="clear" w:color="auto" w:fill="auto"/>
          </w:tcPr>
          <w:p w:rsidR="00B85B0B" w:rsidRPr="00CF3EEA" w:rsidRDefault="00B85B0B" w:rsidP="004D2F7C">
            <w:pPr>
              <w:spacing w:before="240"/>
              <w:jc w:val="center"/>
              <w:rPr>
                <w:rFonts w:cs="Arial"/>
                <w:iCs/>
                <w:sz w:val="18"/>
                <w:szCs w:val="18"/>
              </w:rPr>
            </w:pPr>
            <w:r w:rsidRPr="00CF3EEA">
              <w:rPr>
                <w:rFonts w:cs="Arial"/>
                <w:iCs/>
                <w:sz w:val="18"/>
                <w:szCs w:val="18"/>
              </w:rPr>
              <w:t xml:space="preserve">Contact: </w:t>
            </w:r>
            <w:r w:rsidR="0079049E" w:rsidRPr="00CF3EEA">
              <w:rPr>
                <w:rFonts w:cs="Arial"/>
                <w:iCs/>
                <w:color w:val="0000FF"/>
                <w:sz w:val="18"/>
                <w:szCs w:val="18"/>
              </w:rPr>
              <w:t xml:space="preserve"> </w:t>
            </w:r>
            <w:r w:rsidR="001D0F55" w:rsidRPr="00CF3EEA">
              <w:rPr>
                <w:rFonts w:cs="Arial"/>
                <w:iCs/>
                <w:color w:val="0000FF"/>
                <w:sz w:val="18"/>
                <w:szCs w:val="18"/>
              </w:rPr>
              <w:t>jelena.jakovljevic</w:t>
            </w:r>
            <w:r w:rsidR="0079049E" w:rsidRPr="00CF3EEA">
              <w:rPr>
                <w:rFonts w:cs="Arial"/>
                <w:iCs/>
                <w:color w:val="0000FF"/>
                <w:sz w:val="18"/>
                <w:szCs w:val="18"/>
              </w:rPr>
              <w:t>@stat.gov.rs</w:t>
            </w:r>
            <w:r w:rsidR="008846DF" w:rsidRPr="00CF3EEA">
              <w:rPr>
                <w:rFonts w:cs="Arial"/>
                <w:iCs/>
                <w:sz w:val="18"/>
                <w:szCs w:val="18"/>
              </w:rPr>
              <w:t>.</w:t>
            </w:r>
            <w:r w:rsidRPr="00CF3EEA">
              <w:rPr>
                <w:rFonts w:cs="Arial"/>
                <w:iCs/>
                <w:sz w:val="18"/>
                <w:szCs w:val="18"/>
              </w:rPr>
              <w:t xml:space="preserve"> </w:t>
            </w:r>
            <w:r w:rsidR="00732BCB" w:rsidRPr="00CF3EEA">
              <w:rPr>
                <w:rFonts w:cs="Arial"/>
                <w:iCs/>
                <w:sz w:val="18"/>
                <w:szCs w:val="18"/>
              </w:rPr>
              <w:t xml:space="preserve">  </w:t>
            </w:r>
            <w:r w:rsidRPr="00CF3EEA">
              <w:rPr>
                <w:rFonts w:cs="Arial"/>
                <w:iCs/>
                <w:sz w:val="18"/>
                <w:szCs w:val="18"/>
              </w:rPr>
              <w:t>Phone: +381 11 2412922 e</w:t>
            </w:r>
            <w:r w:rsidR="001D0F55" w:rsidRPr="00CF3EEA">
              <w:rPr>
                <w:rFonts w:cs="Arial"/>
                <w:iCs/>
                <w:sz w:val="18"/>
                <w:szCs w:val="18"/>
              </w:rPr>
              <w:t>x</w:t>
            </w:r>
            <w:r w:rsidRPr="00CF3EEA">
              <w:rPr>
                <w:rFonts w:cs="Arial"/>
                <w:iCs/>
                <w:sz w:val="18"/>
                <w:szCs w:val="18"/>
              </w:rPr>
              <w:t>t</w:t>
            </w:r>
            <w:r w:rsidR="008C45DC" w:rsidRPr="00CF3EEA">
              <w:rPr>
                <w:rFonts w:cs="Arial"/>
                <w:iCs/>
                <w:sz w:val="18"/>
                <w:szCs w:val="18"/>
              </w:rPr>
              <w:t>.</w:t>
            </w:r>
            <w:r w:rsidRPr="00CF3EEA">
              <w:rPr>
                <w:rFonts w:cs="Arial"/>
                <w:iCs/>
                <w:sz w:val="18"/>
                <w:szCs w:val="18"/>
              </w:rPr>
              <w:t xml:space="preserve"> 2</w:t>
            </w:r>
            <w:r w:rsidR="001D0F55" w:rsidRPr="00CF3EEA">
              <w:rPr>
                <w:rFonts w:cs="Arial"/>
                <w:iCs/>
                <w:sz w:val="18"/>
                <w:szCs w:val="18"/>
              </w:rPr>
              <w:t>3</w:t>
            </w:r>
            <w:r w:rsidRPr="00CF3EEA">
              <w:rPr>
                <w:rFonts w:cs="Arial"/>
                <w:iCs/>
                <w:sz w:val="18"/>
                <w:szCs w:val="18"/>
              </w:rPr>
              <w:t>9</w:t>
            </w:r>
          </w:p>
          <w:p w:rsidR="00157F26" w:rsidRPr="00CF3EEA" w:rsidRDefault="00157F26" w:rsidP="00157F26">
            <w:pPr>
              <w:jc w:val="center"/>
              <w:rPr>
                <w:iCs/>
                <w:sz w:val="18"/>
                <w:szCs w:val="18"/>
              </w:rPr>
            </w:pPr>
            <w:r w:rsidRPr="00CF3EEA">
              <w:rPr>
                <w:iCs/>
                <w:sz w:val="18"/>
                <w:szCs w:val="18"/>
              </w:rPr>
              <w:t>Published and printed by: Statistical Office of the Republic of Serbia</w:t>
            </w:r>
            <w:r w:rsidR="008846DF" w:rsidRPr="00CF3EEA">
              <w:rPr>
                <w:iCs/>
                <w:sz w:val="18"/>
                <w:szCs w:val="18"/>
              </w:rPr>
              <w:t>.</w:t>
            </w:r>
            <w:r w:rsidRPr="00CF3EEA">
              <w:rPr>
                <w:iCs/>
                <w:sz w:val="18"/>
                <w:szCs w:val="18"/>
              </w:rPr>
              <w:t xml:space="preserve"> 11 050 Belgrade</w:t>
            </w:r>
            <w:r w:rsidR="008846DF" w:rsidRPr="00CF3EEA">
              <w:rPr>
                <w:iCs/>
                <w:sz w:val="18"/>
                <w:szCs w:val="18"/>
              </w:rPr>
              <w:t>.</w:t>
            </w:r>
            <w:r w:rsidRPr="00CF3EEA">
              <w:rPr>
                <w:iCs/>
                <w:sz w:val="18"/>
                <w:szCs w:val="18"/>
              </w:rPr>
              <w:t xml:space="preserve"> Milana Rakica 5</w:t>
            </w:r>
          </w:p>
          <w:p w:rsidR="00157F26" w:rsidRPr="00CF3EEA" w:rsidRDefault="00157F26" w:rsidP="00157F26">
            <w:pPr>
              <w:jc w:val="center"/>
              <w:rPr>
                <w:iCs/>
                <w:sz w:val="18"/>
                <w:szCs w:val="18"/>
              </w:rPr>
            </w:pPr>
            <w:r w:rsidRPr="00CF3EEA">
              <w:rPr>
                <w:iCs/>
                <w:sz w:val="18"/>
                <w:szCs w:val="18"/>
              </w:rPr>
              <w:t xml:space="preserve">Phone: +381 11 2412922 </w:t>
            </w:r>
            <w:r w:rsidRPr="00CF3EEA">
              <w:rPr>
                <w:sz w:val="18"/>
                <w:szCs w:val="18"/>
              </w:rPr>
              <w:t>(telephone exchange)</w:t>
            </w:r>
            <w:r w:rsidRPr="00CF3EEA">
              <w:rPr>
                <w:rFonts w:ascii="Arial Narrow" w:hAnsi="Arial Narrow"/>
              </w:rPr>
              <w:t xml:space="preserve"> </w:t>
            </w:r>
            <w:r w:rsidRPr="00CF3EEA">
              <w:rPr>
                <w:iCs/>
                <w:sz w:val="18"/>
                <w:szCs w:val="18"/>
              </w:rPr>
              <w:t xml:space="preserve">● Fax: +381 11 2411260 ● www.stat.gov.rs  </w:t>
            </w:r>
          </w:p>
          <w:p w:rsidR="00157F26" w:rsidRPr="00CF3EEA" w:rsidRDefault="00157F26" w:rsidP="00157F26">
            <w:pPr>
              <w:jc w:val="center"/>
              <w:rPr>
                <w:iCs/>
                <w:sz w:val="18"/>
                <w:szCs w:val="18"/>
              </w:rPr>
            </w:pPr>
            <w:r w:rsidRPr="00CF3EEA">
              <w:rPr>
                <w:iCs/>
                <w:sz w:val="18"/>
                <w:szCs w:val="18"/>
              </w:rPr>
              <w:t>Responsible: Dr Miladin Kovačević</w:t>
            </w:r>
            <w:r w:rsidR="008846DF" w:rsidRPr="00CF3EEA">
              <w:rPr>
                <w:iCs/>
                <w:sz w:val="18"/>
                <w:szCs w:val="18"/>
              </w:rPr>
              <w:t>.</w:t>
            </w:r>
            <w:r w:rsidRPr="00CF3EEA">
              <w:rPr>
                <w:iCs/>
                <w:sz w:val="18"/>
                <w:szCs w:val="18"/>
              </w:rPr>
              <w:t xml:space="preserve"> Director</w:t>
            </w:r>
          </w:p>
          <w:p w:rsidR="00157F26" w:rsidRPr="00CF3EEA" w:rsidRDefault="00157F26" w:rsidP="00157F26">
            <w:pPr>
              <w:jc w:val="center"/>
              <w:rPr>
                <w:rFonts w:cs="Arial"/>
              </w:rPr>
            </w:pPr>
            <w:r w:rsidRPr="00CF3EEA">
              <w:rPr>
                <w:rFonts w:cs="Arial"/>
                <w:color w:val="000000"/>
                <w:sz w:val="18"/>
                <w:szCs w:val="18"/>
              </w:rPr>
              <w:t>Circulation: 20 ● Issued annually</w:t>
            </w:r>
          </w:p>
          <w:p w:rsidR="0041739D" w:rsidRPr="00CF3EEA" w:rsidRDefault="0041739D" w:rsidP="00157F26">
            <w:pPr>
              <w:jc w:val="center"/>
              <w:rPr>
                <w:i/>
                <w:iCs/>
                <w:sz w:val="4"/>
                <w:szCs w:val="4"/>
              </w:rPr>
            </w:pPr>
          </w:p>
        </w:tc>
      </w:tr>
    </w:tbl>
    <w:p w:rsidR="009324E6" w:rsidRPr="00CF3EEA" w:rsidRDefault="009324E6" w:rsidP="001718EF">
      <w:pPr>
        <w:rPr>
          <w:sz w:val="2"/>
          <w:szCs w:val="2"/>
        </w:rPr>
      </w:pPr>
    </w:p>
    <w:sectPr w:rsidR="009324E6" w:rsidRPr="00CF3EEA" w:rsidSect="00A31840">
      <w:footerReference w:type="even" r:id="rId14"/>
      <w:footerReference w:type="default" r:id="rId15"/>
      <w:pgSz w:w="11907" w:h="16840" w:code="9"/>
      <w:pgMar w:top="907" w:right="907" w:bottom="907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231" w:rsidRDefault="00CD4231">
      <w:r>
        <w:separator/>
      </w:r>
    </w:p>
  </w:endnote>
  <w:endnote w:type="continuationSeparator" w:id="0">
    <w:p w:rsidR="00CD4231" w:rsidRDefault="00CD4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80"/>
    <w:family w:val="auto"/>
    <w:notTrueType/>
    <w:pitch w:val="default"/>
    <w:sig w:usb0="00000003" w:usb1="08070000" w:usb2="00000010" w:usb3="00000000" w:csb0="00020005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37"/>
      <w:gridCol w:w="5056"/>
    </w:tblGrid>
    <w:tr w:rsidR="0036299E" w:rsidRPr="00645B3C">
      <w:tc>
        <w:tcPr>
          <w:tcW w:w="5210" w:type="dxa"/>
          <w:tcBorders>
            <w:left w:val="nil"/>
            <w:bottom w:val="nil"/>
            <w:right w:val="nil"/>
          </w:tcBorders>
          <w:shd w:val="clear" w:color="auto" w:fill="auto"/>
        </w:tcPr>
        <w:p w:rsidR="0036299E" w:rsidRPr="00645B3C" w:rsidRDefault="0036299E" w:rsidP="004D2F7C">
          <w:pPr>
            <w:spacing w:before="120"/>
            <w:rPr>
              <w:iCs/>
              <w:sz w:val="16"/>
              <w:szCs w:val="16"/>
            </w:rPr>
          </w:pPr>
          <w:r w:rsidRPr="00645B3C">
            <w:rPr>
              <w:iCs/>
              <w:sz w:val="16"/>
              <w:szCs w:val="16"/>
            </w:rPr>
            <w:fldChar w:fldCharType="begin"/>
          </w:r>
          <w:r w:rsidRPr="00645B3C">
            <w:rPr>
              <w:iCs/>
              <w:sz w:val="16"/>
              <w:szCs w:val="16"/>
            </w:rPr>
            <w:instrText xml:space="preserve"> PAGE </w:instrText>
          </w:r>
          <w:r w:rsidRPr="00645B3C">
            <w:rPr>
              <w:iCs/>
              <w:sz w:val="16"/>
              <w:szCs w:val="16"/>
            </w:rPr>
            <w:fldChar w:fldCharType="separate"/>
          </w:r>
          <w:r w:rsidR="00991C21">
            <w:rPr>
              <w:iCs/>
              <w:noProof/>
              <w:sz w:val="16"/>
              <w:szCs w:val="16"/>
            </w:rPr>
            <w:t>4</w:t>
          </w:r>
          <w:r w:rsidRPr="00645B3C">
            <w:rPr>
              <w:iCs/>
              <w:sz w:val="16"/>
              <w:szCs w:val="16"/>
            </w:rPr>
            <w:fldChar w:fldCharType="end"/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6299E" w:rsidRPr="00645B3C" w:rsidRDefault="0036299E" w:rsidP="00926059">
          <w:pPr>
            <w:spacing w:before="120"/>
            <w:jc w:val="right"/>
            <w:rPr>
              <w:bCs/>
              <w:sz w:val="16"/>
              <w:szCs w:val="16"/>
            </w:rPr>
          </w:pPr>
          <w:r w:rsidRPr="00645B3C">
            <w:rPr>
              <w:bCs/>
              <w:sz w:val="16"/>
              <w:szCs w:val="16"/>
            </w:rPr>
            <w:t>SRB</w:t>
          </w:r>
          <w:r>
            <w:rPr>
              <w:bCs/>
              <w:sz w:val="16"/>
              <w:szCs w:val="16"/>
            </w:rPr>
            <w:t>308</w:t>
          </w:r>
          <w:r w:rsidRPr="00645B3C">
            <w:rPr>
              <w:bCs/>
              <w:sz w:val="16"/>
              <w:szCs w:val="16"/>
            </w:rPr>
            <w:t xml:space="preserve"> NR</w:t>
          </w:r>
          <w:r w:rsidRPr="00645B3C">
            <w:rPr>
              <w:bCs/>
              <w:sz w:val="16"/>
              <w:szCs w:val="16"/>
              <w:lang w:val="sr-Cyrl-CS"/>
            </w:rPr>
            <w:t xml:space="preserve">21 </w:t>
          </w:r>
          <w:r>
            <w:rPr>
              <w:bCs/>
              <w:sz w:val="16"/>
              <w:szCs w:val="16"/>
              <w:lang w:val="sr-Latn-CS"/>
            </w:rPr>
            <w:t>201118</w:t>
          </w:r>
        </w:p>
      </w:tc>
    </w:tr>
  </w:tbl>
  <w:p w:rsidR="0036299E" w:rsidRPr="005C58EB" w:rsidRDefault="0036299E" w:rsidP="0041739D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insideH w:val="single" w:sz="4" w:space="0" w:color="auto"/>
      </w:tblBorders>
      <w:tblLook w:val="01E0" w:firstRow="1" w:lastRow="1" w:firstColumn="1" w:lastColumn="1" w:noHBand="0" w:noVBand="0"/>
    </w:tblPr>
    <w:tblGrid>
      <w:gridCol w:w="5055"/>
      <w:gridCol w:w="5038"/>
    </w:tblGrid>
    <w:tr w:rsidR="0036299E">
      <w:tc>
        <w:tcPr>
          <w:tcW w:w="5210" w:type="dxa"/>
          <w:tcBorders>
            <w:bottom w:val="nil"/>
            <w:right w:val="nil"/>
          </w:tcBorders>
          <w:shd w:val="clear" w:color="auto" w:fill="auto"/>
        </w:tcPr>
        <w:p w:rsidR="0036299E" w:rsidRPr="00645B3C" w:rsidRDefault="0036299E" w:rsidP="00926059">
          <w:pPr>
            <w:spacing w:before="120"/>
            <w:rPr>
              <w:iCs/>
              <w:sz w:val="16"/>
              <w:szCs w:val="16"/>
            </w:rPr>
          </w:pPr>
          <w:r w:rsidRPr="00645B3C">
            <w:rPr>
              <w:iCs/>
              <w:sz w:val="16"/>
              <w:szCs w:val="16"/>
            </w:rPr>
            <w:t>SRB</w:t>
          </w:r>
          <w:r>
            <w:rPr>
              <w:iCs/>
              <w:sz w:val="16"/>
              <w:szCs w:val="16"/>
            </w:rPr>
            <w:t>308</w:t>
          </w:r>
          <w:r w:rsidRPr="00645B3C">
            <w:rPr>
              <w:iCs/>
              <w:sz w:val="16"/>
              <w:szCs w:val="16"/>
            </w:rPr>
            <w:t xml:space="preserve"> NR</w:t>
          </w:r>
          <w:r w:rsidRPr="00645B3C">
            <w:rPr>
              <w:iCs/>
              <w:sz w:val="16"/>
              <w:szCs w:val="16"/>
              <w:lang w:val="sr-Cyrl-CS"/>
            </w:rPr>
            <w:t xml:space="preserve">21 </w:t>
          </w:r>
          <w:r>
            <w:rPr>
              <w:bCs/>
              <w:sz w:val="16"/>
              <w:szCs w:val="16"/>
              <w:lang w:val="sr-Latn-CS"/>
            </w:rPr>
            <w:t>201118</w:t>
          </w:r>
        </w:p>
      </w:tc>
      <w:tc>
        <w:tcPr>
          <w:tcW w:w="5211" w:type="dxa"/>
          <w:tcBorders>
            <w:left w:val="nil"/>
            <w:bottom w:val="nil"/>
          </w:tcBorders>
          <w:shd w:val="clear" w:color="auto" w:fill="auto"/>
        </w:tcPr>
        <w:p w:rsidR="0036299E" w:rsidRPr="00645B3C" w:rsidRDefault="0036299E" w:rsidP="004D2F7C">
          <w:pPr>
            <w:spacing w:before="120"/>
            <w:jc w:val="right"/>
            <w:rPr>
              <w:bCs/>
              <w:sz w:val="16"/>
              <w:szCs w:val="16"/>
            </w:rPr>
          </w:pPr>
          <w:r w:rsidRPr="00645B3C">
            <w:rPr>
              <w:bCs/>
              <w:sz w:val="16"/>
              <w:szCs w:val="16"/>
            </w:rPr>
            <w:fldChar w:fldCharType="begin"/>
          </w:r>
          <w:r w:rsidRPr="00645B3C">
            <w:rPr>
              <w:bCs/>
              <w:sz w:val="16"/>
              <w:szCs w:val="16"/>
            </w:rPr>
            <w:instrText xml:space="preserve"> PAGE </w:instrText>
          </w:r>
          <w:r w:rsidRPr="00645B3C">
            <w:rPr>
              <w:bCs/>
              <w:sz w:val="16"/>
              <w:szCs w:val="16"/>
            </w:rPr>
            <w:fldChar w:fldCharType="separate"/>
          </w:r>
          <w:r w:rsidR="00991C21">
            <w:rPr>
              <w:bCs/>
              <w:noProof/>
              <w:sz w:val="16"/>
              <w:szCs w:val="16"/>
            </w:rPr>
            <w:t>3</w:t>
          </w:r>
          <w:r w:rsidRPr="00645B3C">
            <w:rPr>
              <w:bCs/>
              <w:sz w:val="16"/>
              <w:szCs w:val="16"/>
            </w:rPr>
            <w:fldChar w:fldCharType="end"/>
          </w:r>
        </w:p>
      </w:tc>
    </w:tr>
  </w:tbl>
  <w:p w:rsidR="0036299E" w:rsidRPr="005C58EB" w:rsidRDefault="0036299E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231" w:rsidRDefault="00CD4231">
      <w:r>
        <w:separator/>
      </w:r>
    </w:p>
  </w:footnote>
  <w:footnote w:type="continuationSeparator" w:id="0">
    <w:p w:rsidR="00CD4231" w:rsidRDefault="00CD4231">
      <w:r>
        <w:continuationSeparator/>
      </w:r>
    </w:p>
  </w:footnote>
  <w:footnote w:id="1">
    <w:p w:rsidR="00BD0D5F" w:rsidRPr="00BD0D5F" w:rsidRDefault="00BD0D5F" w:rsidP="00BD0D5F">
      <w:pPr>
        <w:pStyle w:val="FootnoteText"/>
        <w:ind w:left="539" w:right="397" w:hanging="142"/>
        <w:jc w:val="both"/>
      </w:pPr>
      <w:r>
        <w:rPr>
          <w:rStyle w:val="FootnoteReference"/>
        </w:rPr>
        <w:footnoteRef/>
      </w:r>
      <w:r w:rsidRPr="00BD0D5F">
        <w:rPr>
          <w:vertAlign w:val="superscript"/>
        </w:rPr>
        <w:t xml:space="preserve">) </w:t>
      </w:r>
      <w:r w:rsidRPr="00BD0D5F">
        <w:rPr>
          <w:sz w:val="18"/>
          <w:szCs w:val="18"/>
        </w:rPr>
        <w:t xml:space="preserve">Investments that are the aggregate of GDP usage, besides the new fixed assets, involve also second- hand fixed assets purchased from abroad as they contribute to increased total capital goods in the country. Transactions within the country (purchase and sale of second - hand fixed assets) are mutually annulled except in the section referring to ownership transfer costs.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4D4C4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0E28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FE53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316AD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A2823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0050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909A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E085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601B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85CC6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C1A3B"/>
    <w:multiLevelType w:val="hybridMultilevel"/>
    <w:tmpl w:val="A2DC5442"/>
    <w:lvl w:ilvl="0" w:tplc="D5C0BAAE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AE34C7B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2" w15:restartNumberingAfterBreak="0">
    <w:nsid w:val="114D6BE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13" w15:restartNumberingAfterBreak="0">
    <w:nsid w:val="15AE790D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289479C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5" w15:restartNumberingAfterBreak="0">
    <w:nsid w:val="32FC1BFC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6" w15:restartNumberingAfterBreak="0">
    <w:nsid w:val="37916F4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7BC7852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8" w15:restartNumberingAfterBreak="0">
    <w:nsid w:val="39261BEA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19" w15:restartNumberingAfterBreak="0">
    <w:nsid w:val="3CD91FB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D59343A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1" w15:restartNumberingAfterBreak="0">
    <w:nsid w:val="3E6E3703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2" w15:restartNumberingAfterBreak="0">
    <w:nsid w:val="40EB474F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3" w15:restartNumberingAfterBreak="0">
    <w:nsid w:val="4164600F"/>
    <w:multiLevelType w:val="multilevel"/>
    <w:tmpl w:val="8B42E072"/>
    <w:lvl w:ilvl="0">
      <w:start w:val="1"/>
      <w:numFmt w:val="decimal"/>
      <w:lvlText w:val="%1"/>
      <w:lvlJc w:val="left"/>
      <w:pPr>
        <w:tabs>
          <w:tab w:val="num" w:pos="360"/>
        </w:tabs>
        <w:ind w:left="363" w:hanging="360"/>
      </w:pPr>
      <w:rPr>
        <w:rFonts w:ascii="Arial" w:hAnsi="Arial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9470E3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5" w15:restartNumberingAfterBreak="0">
    <w:nsid w:val="4B3A34D7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6" w15:restartNumberingAfterBreak="0">
    <w:nsid w:val="5311730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7" w15:restartNumberingAfterBreak="0">
    <w:nsid w:val="5B4A5D26"/>
    <w:multiLevelType w:val="multilevel"/>
    <w:tmpl w:val="A0926746"/>
    <w:lvl w:ilvl="0">
      <w:start w:val="1"/>
      <w:numFmt w:val="bullet"/>
      <w:lvlText w:val=""/>
      <w:lvlJc w:val="left"/>
      <w:pPr>
        <w:tabs>
          <w:tab w:val="num" w:pos="323"/>
        </w:tabs>
        <w:ind w:left="680" w:hanging="283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21"/>
        </w:tabs>
        <w:ind w:left="1021" w:hanging="284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23"/>
        </w:tabs>
        <w:ind w:left="16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3"/>
        </w:tabs>
        <w:ind w:left="219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3"/>
        </w:tabs>
        <w:ind w:left="269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3"/>
        </w:tabs>
        <w:ind w:left="320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83"/>
        </w:tabs>
        <w:ind w:left="370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3"/>
        </w:tabs>
        <w:ind w:left="4283" w:hanging="1440"/>
      </w:pPr>
      <w:rPr>
        <w:rFonts w:hint="default"/>
      </w:rPr>
    </w:lvl>
  </w:abstractNum>
  <w:abstractNum w:abstractNumId="28" w15:restartNumberingAfterBreak="0">
    <w:nsid w:val="5FB572F4"/>
    <w:multiLevelType w:val="multilevel"/>
    <w:tmpl w:val="A1E67DB4"/>
    <w:lvl w:ilvl="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  <w:sz w:val="20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30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644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6"/>
        </w:tabs>
        <w:ind w:left="200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6"/>
        </w:tabs>
        <w:ind w:left="25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76"/>
        </w:tabs>
        <w:ind w:left="30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6"/>
        </w:tabs>
        <w:ind w:left="35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56"/>
        </w:tabs>
        <w:ind w:left="4096" w:hanging="1440"/>
      </w:pPr>
      <w:rPr>
        <w:rFonts w:hint="default"/>
      </w:rPr>
    </w:lvl>
  </w:abstractNum>
  <w:abstractNum w:abstractNumId="29" w15:restartNumberingAfterBreak="0">
    <w:nsid w:val="6AF80680"/>
    <w:multiLevelType w:val="multilevel"/>
    <w:tmpl w:val="3EF6D7F8"/>
    <w:lvl w:ilvl="0">
      <w:start w:val="1"/>
      <w:numFmt w:val="decimal"/>
      <w:lvlText w:val="%1)"/>
      <w:lvlJc w:val="left"/>
      <w:pPr>
        <w:tabs>
          <w:tab w:val="num" w:pos="360"/>
        </w:tabs>
        <w:ind w:left="680" w:hanging="283"/>
      </w:pPr>
      <w:rPr>
        <w:rFonts w:ascii="Arial" w:hAnsi="Arial"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6E057F21"/>
    <w:multiLevelType w:val="hybridMultilevel"/>
    <w:tmpl w:val="9586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2087AF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23"/>
  </w:num>
  <w:num w:numId="13">
    <w:abstractNumId w:val="8"/>
  </w:num>
  <w:num w:numId="14">
    <w:abstractNumId w:val="27"/>
  </w:num>
  <w:num w:numId="15">
    <w:abstractNumId w:val="25"/>
  </w:num>
  <w:num w:numId="16">
    <w:abstractNumId w:val="12"/>
  </w:num>
  <w:num w:numId="17">
    <w:abstractNumId w:val="13"/>
  </w:num>
  <w:num w:numId="18">
    <w:abstractNumId w:val="31"/>
  </w:num>
  <w:num w:numId="19">
    <w:abstractNumId w:val="22"/>
  </w:num>
  <w:num w:numId="20">
    <w:abstractNumId w:val="19"/>
  </w:num>
  <w:num w:numId="21">
    <w:abstractNumId w:val="29"/>
  </w:num>
  <w:num w:numId="22">
    <w:abstractNumId w:val="24"/>
  </w:num>
  <w:num w:numId="23">
    <w:abstractNumId w:val="21"/>
  </w:num>
  <w:num w:numId="24">
    <w:abstractNumId w:val="15"/>
  </w:num>
  <w:num w:numId="25">
    <w:abstractNumId w:val="14"/>
  </w:num>
  <w:num w:numId="26">
    <w:abstractNumId w:val="17"/>
  </w:num>
  <w:num w:numId="27">
    <w:abstractNumId w:val="28"/>
  </w:num>
  <w:num w:numId="28">
    <w:abstractNumId w:val="11"/>
  </w:num>
  <w:num w:numId="29">
    <w:abstractNumId w:val="26"/>
  </w:num>
  <w:num w:numId="30">
    <w:abstractNumId w:val="20"/>
  </w:num>
  <w:num w:numId="31">
    <w:abstractNumId w:val="18"/>
  </w:num>
  <w:num w:numId="32">
    <w:abstractNumId w:val="10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20"/>
  <w:evenAndOddHeaders/>
  <w:drawingGridHorizontalSpacing w:val="11"/>
  <w:drawingGridVerticalSpacing w:val="11"/>
  <w:characterSpacingControl w:val="doNotCompress"/>
  <w:hdrShapeDefaults>
    <o:shapedefaults v:ext="edit" spidmax="2049" style="mso-position-horizontal-relative:char;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E5F"/>
    <w:rsid w:val="000049E7"/>
    <w:rsid w:val="00007137"/>
    <w:rsid w:val="00010AE2"/>
    <w:rsid w:val="00017A9D"/>
    <w:rsid w:val="00017B96"/>
    <w:rsid w:val="000201E7"/>
    <w:rsid w:val="00021C9B"/>
    <w:rsid w:val="00024DBC"/>
    <w:rsid w:val="000256D4"/>
    <w:rsid w:val="000343B8"/>
    <w:rsid w:val="00047B32"/>
    <w:rsid w:val="00051825"/>
    <w:rsid w:val="00051B2B"/>
    <w:rsid w:val="00057887"/>
    <w:rsid w:val="000600B5"/>
    <w:rsid w:val="00062A52"/>
    <w:rsid w:val="00067C4A"/>
    <w:rsid w:val="00074EF6"/>
    <w:rsid w:val="00085E8D"/>
    <w:rsid w:val="00093501"/>
    <w:rsid w:val="000A12E4"/>
    <w:rsid w:val="000A1C50"/>
    <w:rsid w:val="000A1E97"/>
    <w:rsid w:val="000B13C3"/>
    <w:rsid w:val="000B30CB"/>
    <w:rsid w:val="000B4CE1"/>
    <w:rsid w:val="000C23DB"/>
    <w:rsid w:val="000C2B67"/>
    <w:rsid w:val="000D34CE"/>
    <w:rsid w:val="000D4726"/>
    <w:rsid w:val="000D6B52"/>
    <w:rsid w:val="000E5846"/>
    <w:rsid w:val="000F47DC"/>
    <w:rsid w:val="000F7741"/>
    <w:rsid w:val="00102B23"/>
    <w:rsid w:val="00102EAA"/>
    <w:rsid w:val="001034CA"/>
    <w:rsid w:val="001057A8"/>
    <w:rsid w:val="00110976"/>
    <w:rsid w:val="00110F5B"/>
    <w:rsid w:val="00111665"/>
    <w:rsid w:val="001205D9"/>
    <w:rsid w:val="00120DC5"/>
    <w:rsid w:val="001245F5"/>
    <w:rsid w:val="00126D1C"/>
    <w:rsid w:val="0014018B"/>
    <w:rsid w:val="00143885"/>
    <w:rsid w:val="00145D3B"/>
    <w:rsid w:val="00146587"/>
    <w:rsid w:val="0014747E"/>
    <w:rsid w:val="00151025"/>
    <w:rsid w:val="00151D4E"/>
    <w:rsid w:val="00157F26"/>
    <w:rsid w:val="00161C21"/>
    <w:rsid w:val="00165B24"/>
    <w:rsid w:val="00166B80"/>
    <w:rsid w:val="001718EF"/>
    <w:rsid w:val="00174AEA"/>
    <w:rsid w:val="00174E1D"/>
    <w:rsid w:val="001826BB"/>
    <w:rsid w:val="00186711"/>
    <w:rsid w:val="001918A4"/>
    <w:rsid w:val="001924CB"/>
    <w:rsid w:val="001A1974"/>
    <w:rsid w:val="001A4CDC"/>
    <w:rsid w:val="001A4E25"/>
    <w:rsid w:val="001A70FF"/>
    <w:rsid w:val="001D0F55"/>
    <w:rsid w:val="001E0528"/>
    <w:rsid w:val="001F18C3"/>
    <w:rsid w:val="001F324E"/>
    <w:rsid w:val="001F650A"/>
    <w:rsid w:val="00202EAE"/>
    <w:rsid w:val="002152ED"/>
    <w:rsid w:val="00221A3C"/>
    <w:rsid w:val="0022385E"/>
    <w:rsid w:val="0022480C"/>
    <w:rsid w:val="00225696"/>
    <w:rsid w:val="0022613E"/>
    <w:rsid w:val="00231000"/>
    <w:rsid w:val="002338F2"/>
    <w:rsid w:val="00234171"/>
    <w:rsid w:val="00240F82"/>
    <w:rsid w:val="002577D1"/>
    <w:rsid w:val="002611CF"/>
    <w:rsid w:val="00262EB6"/>
    <w:rsid w:val="00263AEC"/>
    <w:rsid w:val="00266953"/>
    <w:rsid w:val="0027689C"/>
    <w:rsid w:val="002918B8"/>
    <w:rsid w:val="002974C3"/>
    <w:rsid w:val="002A3174"/>
    <w:rsid w:val="002B34B3"/>
    <w:rsid w:val="002C2537"/>
    <w:rsid w:val="002C5F72"/>
    <w:rsid w:val="002E0A1A"/>
    <w:rsid w:val="002E5A48"/>
    <w:rsid w:val="002F066B"/>
    <w:rsid w:val="003031E0"/>
    <w:rsid w:val="00306F47"/>
    <w:rsid w:val="00316BB3"/>
    <w:rsid w:val="00322767"/>
    <w:rsid w:val="00325AAD"/>
    <w:rsid w:val="003319EB"/>
    <w:rsid w:val="003370C1"/>
    <w:rsid w:val="00343C3D"/>
    <w:rsid w:val="003444C2"/>
    <w:rsid w:val="00344C64"/>
    <w:rsid w:val="003472A6"/>
    <w:rsid w:val="0036299E"/>
    <w:rsid w:val="00364E4F"/>
    <w:rsid w:val="00374991"/>
    <w:rsid w:val="00375431"/>
    <w:rsid w:val="00383690"/>
    <w:rsid w:val="0039597C"/>
    <w:rsid w:val="0039638E"/>
    <w:rsid w:val="003A2F46"/>
    <w:rsid w:val="003A5559"/>
    <w:rsid w:val="003A706D"/>
    <w:rsid w:val="003B094B"/>
    <w:rsid w:val="003B6B68"/>
    <w:rsid w:val="003C4653"/>
    <w:rsid w:val="003C4ADA"/>
    <w:rsid w:val="003E06F2"/>
    <w:rsid w:val="003E3C34"/>
    <w:rsid w:val="003E6600"/>
    <w:rsid w:val="003F5FAF"/>
    <w:rsid w:val="00403628"/>
    <w:rsid w:val="00407DD8"/>
    <w:rsid w:val="004113AA"/>
    <w:rsid w:val="0041739D"/>
    <w:rsid w:val="004303B8"/>
    <w:rsid w:val="00432F75"/>
    <w:rsid w:val="00433923"/>
    <w:rsid w:val="004602F3"/>
    <w:rsid w:val="004622B6"/>
    <w:rsid w:val="00464118"/>
    <w:rsid w:val="0047203D"/>
    <w:rsid w:val="0047412B"/>
    <w:rsid w:val="00475D6F"/>
    <w:rsid w:val="00490620"/>
    <w:rsid w:val="00491751"/>
    <w:rsid w:val="00491B72"/>
    <w:rsid w:val="004946DA"/>
    <w:rsid w:val="0049476A"/>
    <w:rsid w:val="004958A5"/>
    <w:rsid w:val="004A1639"/>
    <w:rsid w:val="004A2CD2"/>
    <w:rsid w:val="004A3185"/>
    <w:rsid w:val="004B3E54"/>
    <w:rsid w:val="004C1B8E"/>
    <w:rsid w:val="004C77C7"/>
    <w:rsid w:val="004D0ED2"/>
    <w:rsid w:val="004D19A5"/>
    <w:rsid w:val="004D2F7C"/>
    <w:rsid w:val="004E266D"/>
    <w:rsid w:val="004E285A"/>
    <w:rsid w:val="004E5ADD"/>
    <w:rsid w:val="004E6FA9"/>
    <w:rsid w:val="004E7351"/>
    <w:rsid w:val="004F0873"/>
    <w:rsid w:val="004F4876"/>
    <w:rsid w:val="004F4A78"/>
    <w:rsid w:val="004F66D9"/>
    <w:rsid w:val="004F787F"/>
    <w:rsid w:val="00500BF5"/>
    <w:rsid w:val="0050330B"/>
    <w:rsid w:val="005062DF"/>
    <w:rsid w:val="00515D9F"/>
    <w:rsid w:val="00516C44"/>
    <w:rsid w:val="005221DC"/>
    <w:rsid w:val="00522C70"/>
    <w:rsid w:val="00523DBA"/>
    <w:rsid w:val="005277FD"/>
    <w:rsid w:val="00540A4F"/>
    <w:rsid w:val="00540B8D"/>
    <w:rsid w:val="005452E1"/>
    <w:rsid w:val="00545EA0"/>
    <w:rsid w:val="005605E2"/>
    <w:rsid w:val="005702D5"/>
    <w:rsid w:val="005728DF"/>
    <w:rsid w:val="005749CA"/>
    <w:rsid w:val="00591499"/>
    <w:rsid w:val="00591F3B"/>
    <w:rsid w:val="0059496B"/>
    <w:rsid w:val="00596A18"/>
    <w:rsid w:val="005A4574"/>
    <w:rsid w:val="005A6A17"/>
    <w:rsid w:val="005A6C94"/>
    <w:rsid w:val="005C10E4"/>
    <w:rsid w:val="005C4034"/>
    <w:rsid w:val="005C58EB"/>
    <w:rsid w:val="005E3376"/>
    <w:rsid w:val="005E4B99"/>
    <w:rsid w:val="005E4E85"/>
    <w:rsid w:val="005F408E"/>
    <w:rsid w:val="005F434B"/>
    <w:rsid w:val="006045C7"/>
    <w:rsid w:val="0060677A"/>
    <w:rsid w:val="00607124"/>
    <w:rsid w:val="0061560A"/>
    <w:rsid w:val="00626DB8"/>
    <w:rsid w:val="00627E99"/>
    <w:rsid w:val="0063005F"/>
    <w:rsid w:val="00631EC5"/>
    <w:rsid w:val="00632542"/>
    <w:rsid w:val="00632DCD"/>
    <w:rsid w:val="006351F0"/>
    <w:rsid w:val="00645B3C"/>
    <w:rsid w:val="00646C35"/>
    <w:rsid w:val="00647E7F"/>
    <w:rsid w:val="0067119B"/>
    <w:rsid w:val="00671F38"/>
    <w:rsid w:val="00674711"/>
    <w:rsid w:val="00677A51"/>
    <w:rsid w:val="00683ED2"/>
    <w:rsid w:val="00686825"/>
    <w:rsid w:val="006A0F9A"/>
    <w:rsid w:val="006A7E8E"/>
    <w:rsid w:val="006B153E"/>
    <w:rsid w:val="006B7517"/>
    <w:rsid w:val="006C078D"/>
    <w:rsid w:val="006C4D34"/>
    <w:rsid w:val="006C4D4C"/>
    <w:rsid w:val="006C5143"/>
    <w:rsid w:val="006C7A26"/>
    <w:rsid w:val="006D0ACB"/>
    <w:rsid w:val="006E7AF4"/>
    <w:rsid w:val="006F35D2"/>
    <w:rsid w:val="006F42B8"/>
    <w:rsid w:val="00711809"/>
    <w:rsid w:val="00711A15"/>
    <w:rsid w:val="00714851"/>
    <w:rsid w:val="007163FE"/>
    <w:rsid w:val="00721AA6"/>
    <w:rsid w:val="00725507"/>
    <w:rsid w:val="00727F84"/>
    <w:rsid w:val="0073113A"/>
    <w:rsid w:val="00732123"/>
    <w:rsid w:val="00732BCB"/>
    <w:rsid w:val="007346B7"/>
    <w:rsid w:val="007363A8"/>
    <w:rsid w:val="00742955"/>
    <w:rsid w:val="00784ADC"/>
    <w:rsid w:val="00785345"/>
    <w:rsid w:val="0079049E"/>
    <w:rsid w:val="007A06B6"/>
    <w:rsid w:val="007A551E"/>
    <w:rsid w:val="007B57A7"/>
    <w:rsid w:val="007B5A3E"/>
    <w:rsid w:val="007B7041"/>
    <w:rsid w:val="007D4AF9"/>
    <w:rsid w:val="007E1192"/>
    <w:rsid w:val="007E2BD1"/>
    <w:rsid w:val="007E338C"/>
    <w:rsid w:val="007E3FD2"/>
    <w:rsid w:val="007E62DF"/>
    <w:rsid w:val="007E6E68"/>
    <w:rsid w:val="007F1EB5"/>
    <w:rsid w:val="007F2A71"/>
    <w:rsid w:val="007F5D08"/>
    <w:rsid w:val="007F63EA"/>
    <w:rsid w:val="00803D08"/>
    <w:rsid w:val="008174D7"/>
    <w:rsid w:val="00817A7F"/>
    <w:rsid w:val="008234AA"/>
    <w:rsid w:val="00823C78"/>
    <w:rsid w:val="0083524C"/>
    <w:rsid w:val="008515E5"/>
    <w:rsid w:val="0085382A"/>
    <w:rsid w:val="0086559C"/>
    <w:rsid w:val="00865950"/>
    <w:rsid w:val="00870571"/>
    <w:rsid w:val="00871C1C"/>
    <w:rsid w:val="008846DF"/>
    <w:rsid w:val="00892A54"/>
    <w:rsid w:val="008A19A5"/>
    <w:rsid w:val="008A5B65"/>
    <w:rsid w:val="008C02B6"/>
    <w:rsid w:val="008C3B72"/>
    <w:rsid w:val="008C44B8"/>
    <w:rsid w:val="008C45DC"/>
    <w:rsid w:val="008C620E"/>
    <w:rsid w:val="008D3BE1"/>
    <w:rsid w:val="008D784B"/>
    <w:rsid w:val="008E22BA"/>
    <w:rsid w:val="008F0E49"/>
    <w:rsid w:val="008F41DD"/>
    <w:rsid w:val="009003C7"/>
    <w:rsid w:val="00904BEC"/>
    <w:rsid w:val="00907B44"/>
    <w:rsid w:val="009151EA"/>
    <w:rsid w:val="00920296"/>
    <w:rsid w:val="00922BEF"/>
    <w:rsid w:val="00924359"/>
    <w:rsid w:val="00925F3A"/>
    <w:rsid w:val="00926059"/>
    <w:rsid w:val="009318DA"/>
    <w:rsid w:val="009324E6"/>
    <w:rsid w:val="009358C2"/>
    <w:rsid w:val="00935F76"/>
    <w:rsid w:val="00940DEA"/>
    <w:rsid w:val="0094715E"/>
    <w:rsid w:val="00952EA9"/>
    <w:rsid w:val="00953B72"/>
    <w:rsid w:val="00956373"/>
    <w:rsid w:val="0096324A"/>
    <w:rsid w:val="00964E2E"/>
    <w:rsid w:val="00977C9B"/>
    <w:rsid w:val="0098655B"/>
    <w:rsid w:val="00991C21"/>
    <w:rsid w:val="00997B12"/>
    <w:rsid w:val="009A11D2"/>
    <w:rsid w:val="009A3518"/>
    <w:rsid w:val="009A668F"/>
    <w:rsid w:val="009B058D"/>
    <w:rsid w:val="009D166B"/>
    <w:rsid w:val="009D28E8"/>
    <w:rsid w:val="009D55EA"/>
    <w:rsid w:val="009E1E46"/>
    <w:rsid w:val="009E4CF4"/>
    <w:rsid w:val="009E50E5"/>
    <w:rsid w:val="009F5697"/>
    <w:rsid w:val="00A0116C"/>
    <w:rsid w:val="00A01C8B"/>
    <w:rsid w:val="00A1676F"/>
    <w:rsid w:val="00A20D67"/>
    <w:rsid w:val="00A215CD"/>
    <w:rsid w:val="00A2259F"/>
    <w:rsid w:val="00A22FC9"/>
    <w:rsid w:val="00A24028"/>
    <w:rsid w:val="00A31840"/>
    <w:rsid w:val="00A34C0A"/>
    <w:rsid w:val="00A62452"/>
    <w:rsid w:val="00A66532"/>
    <w:rsid w:val="00A750AE"/>
    <w:rsid w:val="00A7556A"/>
    <w:rsid w:val="00A84F98"/>
    <w:rsid w:val="00A91879"/>
    <w:rsid w:val="00A9685F"/>
    <w:rsid w:val="00A97C5D"/>
    <w:rsid w:val="00AA2228"/>
    <w:rsid w:val="00AB3DEF"/>
    <w:rsid w:val="00AB6CF6"/>
    <w:rsid w:val="00AC2D9E"/>
    <w:rsid w:val="00AC43D9"/>
    <w:rsid w:val="00AC6C33"/>
    <w:rsid w:val="00AD198E"/>
    <w:rsid w:val="00AD2E5F"/>
    <w:rsid w:val="00AF5F18"/>
    <w:rsid w:val="00B07EF9"/>
    <w:rsid w:val="00B106C4"/>
    <w:rsid w:val="00B220E6"/>
    <w:rsid w:val="00B24A67"/>
    <w:rsid w:val="00B2678B"/>
    <w:rsid w:val="00B347D2"/>
    <w:rsid w:val="00B36F21"/>
    <w:rsid w:val="00B47656"/>
    <w:rsid w:val="00B51A78"/>
    <w:rsid w:val="00B530F0"/>
    <w:rsid w:val="00B57255"/>
    <w:rsid w:val="00B62DC5"/>
    <w:rsid w:val="00B64573"/>
    <w:rsid w:val="00B64ABD"/>
    <w:rsid w:val="00B749C1"/>
    <w:rsid w:val="00B83967"/>
    <w:rsid w:val="00B85B0B"/>
    <w:rsid w:val="00B91FE1"/>
    <w:rsid w:val="00B92EA2"/>
    <w:rsid w:val="00B967F5"/>
    <w:rsid w:val="00BA2A4A"/>
    <w:rsid w:val="00BC13D7"/>
    <w:rsid w:val="00BC3A13"/>
    <w:rsid w:val="00BC5F23"/>
    <w:rsid w:val="00BD0D5F"/>
    <w:rsid w:val="00BD5DE3"/>
    <w:rsid w:val="00BD7638"/>
    <w:rsid w:val="00BE0489"/>
    <w:rsid w:val="00C05EAD"/>
    <w:rsid w:val="00C067BF"/>
    <w:rsid w:val="00C13772"/>
    <w:rsid w:val="00C13D19"/>
    <w:rsid w:val="00C149A4"/>
    <w:rsid w:val="00C2198C"/>
    <w:rsid w:val="00C25873"/>
    <w:rsid w:val="00C317C5"/>
    <w:rsid w:val="00C35CA8"/>
    <w:rsid w:val="00C37F67"/>
    <w:rsid w:val="00C41A29"/>
    <w:rsid w:val="00C441EC"/>
    <w:rsid w:val="00C47E9A"/>
    <w:rsid w:val="00C52477"/>
    <w:rsid w:val="00C66F12"/>
    <w:rsid w:val="00C7084A"/>
    <w:rsid w:val="00C735C0"/>
    <w:rsid w:val="00C9334A"/>
    <w:rsid w:val="00C959AD"/>
    <w:rsid w:val="00C9704D"/>
    <w:rsid w:val="00CA16B2"/>
    <w:rsid w:val="00CA189D"/>
    <w:rsid w:val="00CC261A"/>
    <w:rsid w:val="00CC2991"/>
    <w:rsid w:val="00CC2BE1"/>
    <w:rsid w:val="00CD3768"/>
    <w:rsid w:val="00CD3E30"/>
    <w:rsid w:val="00CD40C9"/>
    <w:rsid w:val="00CD4231"/>
    <w:rsid w:val="00CD6DB8"/>
    <w:rsid w:val="00CF20F9"/>
    <w:rsid w:val="00CF38AD"/>
    <w:rsid w:val="00CF3EEA"/>
    <w:rsid w:val="00CF74C4"/>
    <w:rsid w:val="00D01590"/>
    <w:rsid w:val="00D02A56"/>
    <w:rsid w:val="00D075D6"/>
    <w:rsid w:val="00D21B18"/>
    <w:rsid w:val="00D239CB"/>
    <w:rsid w:val="00D3143F"/>
    <w:rsid w:val="00D44043"/>
    <w:rsid w:val="00D5150C"/>
    <w:rsid w:val="00D5713A"/>
    <w:rsid w:val="00D62CC7"/>
    <w:rsid w:val="00D66EB9"/>
    <w:rsid w:val="00D74E96"/>
    <w:rsid w:val="00D963F3"/>
    <w:rsid w:val="00DA14AE"/>
    <w:rsid w:val="00DA15FF"/>
    <w:rsid w:val="00DA3DB1"/>
    <w:rsid w:val="00DB2F0E"/>
    <w:rsid w:val="00DB7147"/>
    <w:rsid w:val="00DC39EB"/>
    <w:rsid w:val="00DD0985"/>
    <w:rsid w:val="00DF3E99"/>
    <w:rsid w:val="00DF5312"/>
    <w:rsid w:val="00E05D01"/>
    <w:rsid w:val="00E068B5"/>
    <w:rsid w:val="00E07864"/>
    <w:rsid w:val="00E15EFD"/>
    <w:rsid w:val="00E17B8A"/>
    <w:rsid w:val="00E21A32"/>
    <w:rsid w:val="00E26260"/>
    <w:rsid w:val="00E42254"/>
    <w:rsid w:val="00E4689F"/>
    <w:rsid w:val="00E510CD"/>
    <w:rsid w:val="00E57566"/>
    <w:rsid w:val="00E578B1"/>
    <w:rsid w:val="00E610E9"/>
    <w:rsid w:val="00E61C25"/>
    <w:rsid w:val="00E70E1F"/>
    <w:rsid w:val="00E7412E"/>
    <w:rsid w:val="00E7452C"/>
    <w:rsid w:val="00E82815"/>
    <w:rsid w:val="00E84554"/>
    <w:rsid w:val="00E861B6"/>
    <w:rsid w:val="00EA6224"/>
    <w:rsid w:val="00EA7469"/>
    <w:rsid w:val="00EB7AC1"/>
    <w:rsid w:val="00EC1685"/>
    <w:rsid w:val="00EC40D1"/>
    <w:rsid w:val="00EC4F79"/>
    <w:rsid w:val="00ED08ED"/>
    <w:rsid w:val="00ED68B8"/>
    <w:rsid w:val="00EF0933"/>
    <w:rsid w:val="00EF3E24"/>
    <w:rsid w:val="00EF4E57"/>
    <w:rsid w:val="00F00B89"/>
    <w:rsid w:val="00F13201"/>
    <w:rsid w:val="00F207BB"/>
    <w:rsid w:val="00F34F1B"/>
    <w:rsid w:val="00F42A60"/>
    <w:rsid w:val="00F50635"/>
    <w:rsid w:val="00F554F4"/>
    <w:rsid w:val="00F6023B"/>
    <w:rsid w:val="00F64819"/>
    <w:rsid w:val="00F654A1"/>
    <w:rsid w:val="00F6713F"/>
    <w:rsid w:val="00F677AA"/>
    <w:rsid w:val="00F75936"/>
    <w:rsid w:val="00F77667"/>
    <w:rsid w:val="00F801A0"/>
    <w:rsid w:val="00F8150E"/>
    <w:rsid w:val="00F86959"/>
    <w:rsid w:val="00F93478"/>
    <w:rsid w:val="00FA7768"/>
    <w:rsid w:val="00FC021A"/>
    <w:rsid w:val="00FC264D"/>
    <w:rsid w:val="00FD61E7"/>
    <w:rsid w:val="00FE168D"/>
    <w:rsid w:val="00FF1035"/>
    <w:rsid w:val="00FF1E7E"/>
    <w:rsid w:val="00FF3BEC"/>
    <w:rsid w:val="00FF5E61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6868B7CD-898D-49C0-A1CF-4ECC9122B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A18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626DB8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26DB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626DB8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2577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577D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C4034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saopstenja">
    <w:name w:val="Naslov saopstenja"/>
    <w:basedOn w:val="Title"/>
    <w:next w:val="Caption"/>
    <w:rsid w:val="006E7AF4"/>
    <w:pPr>
      <w:spacing w:after="0"/>
    </w:pPr>
    <w:rPr>
      <w:bCs w:val="0"/>
      <w:sz w:val="24"/>
      <w:szCs w:val="24"/>
    </w:rPr>
  </w:style>
  <w:style w:type="paragraph" w:styleId="Title">
    <w:name w:val="Title"/>
    <w:basedOn w:val="Normal"/>
    <w:qFormat/>
    <w:rsid w:val="003C4653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qFormat/>
    <w:rsid w:val="003C4653"/>
    <w:rPr>
      <w:b/>
      <w:bCs/>
      <w:szCs w:val="20"/>
    </w:rPr>
  </w:style>
  <w:style w:type="paragraph" w:customStyle="1" w:styleId="Podnaslovsopstenja">
    <w:name w:val="Podnaslov sopstenja"/>
    <w:basedOn w:val="Normal"/>
    <w:rsid w:val="006E7AF4"/>
    <w:pPr>
      <w:spacing w:after="120"/>
      <w:jc w:val="center"/>
    </w:pPr>
    <w:rPr>
      <w:b/>
      <w:sz w:val="22"/>
    </w:rPr>
  </w:style>
  <w:style w:type="paragraph" w:styleId="Subtitle">
    <w:name w:val="Subtitle"/>
    <w:basedOn w:val="Normal"/>
    <w:qFormat/>
    <w:rsid w:val="003C4653"/>
    <w:pPr>
      <w:spacing w:after="60"/>
      <w:jc w:val="center"/>
      <w:outlineLvl w:val="1"/>
    </w:pPr>
    <w:rPr>
      <w:rFonts w:cs="Arial"/>
    </w:rPr>
  </w:style>
  <w:style w:type="paragraph" w:customStyle="1" w:styleId="NaslovMetodologijaiNapomena">
    <w:name w:val="Naslov Metodologija i Napomena"/>
    <w:basedOn w:val="Normal"/>
    <w:rsid w:val="00266953"/>
    <w:pPr>
      <w:spacing w:before="120" w:after="240"/>
      <w:jc w:val="center"/>
    </w:pPr>
    <w:rPr>
      <w:b/>
    </w:rPr>
  </w:style>
  <w:style w:type="paragraph" w:customStyle="1" w:styleId="TekstMetodologijaiNapomena">
    <w:name w:val="Tekst Metodologija i Napomena"/>
    <w:basedOn w:val="BodyTextFirstIndent"/>
    <w:next w:val="BodyText"/>
    <w:rsid w:val="00D66EB9"/>
    <w:pPr>
      <w:spacing w:before="120" w:after="0"/>
      <w:ind w:firstLine="397"/>
      <w:jc w:val="both"/>
    </w:pPr>
    <w:rPr>
      <w:bCs/>
      <w:szCs w:val="20"/>
      <w:lang w:val="sr-Cyrl-CS"/>
    </w:rPr>
  </w:style>
  <w:style w:type="paragraph" w:styleId="BodyTextFirstIndent">
    <w:name w:val="Body Text First Indent"/>
    <w:basedOn w:val="BodyText"/>
    <w:semiHidden/>
    <w:rsid w:val="00CD6DB8"/>
    <w:pPr>
      <w:ind w:firstLine="210"/>
    </w:pPr>
  </w:style>
  <w:style w:type="paragraph" w:styleId="BodyText">
    <w:name w:val="Body Text"/>
    <w:basedOn w:val="Normal"/>
    <w:semiHidden/>
    <w:rsid w:val="00CD6DB8"/>
    <w:pPr>
      <w:spacing w:after="120"/>
    </w:pPr>
  </w:style>
  <w:style w:type="paragraph" w:styleId="ListNumber">
    <w:name w:val="List Number"/>
    <w:basedOn w:val="Normal"/>
    <w:semiHidden/>
    <w:rsid w:val="00D44043"/>
    <w:pPr>
      <w:numPr>
        <w:numId w:val="13"/>
      </w:numPr>
    </w:pPr>
  </w:style>
  <w:style w:type="paragraph" w:customStyle="1" w:styleId="Style1">
    <w:name w:val="Style1"/>
    <w:semiHidden/>
    <w:rsid w:val="004946DA"/>
    <w:rPr>
      <w:rFonts w:ascii="Arial" w:hAnsi="Arial"/>
    </w:rPr>
  </w:style>
  <w:style w:type="paragraph" w:styleId="BodyTextIndent">
    <w:name w:val="Body Text Indent"/>
    <w:basedOn w:val="Normal"/>
    <w:semiHidden/>
    <w:rsid w:val="00CD6DB8"/>
    <w:pPr>
      <w:spacing w:after="120"/>
      <w:ind w:left="283"/>
    </w:pPr>
  </w:style>
  <w:style w:type="paragraph" w:styleId="BodyTextIndent2">
    <w:name w:val="Body Text Indent 2"/>
    <w:basedOn w:val="Normal"/>
    <w:semiHidden/>
    <w:rsid w:val="00CD6DB8"/>
    <w:pPr>
      <w:spacing w:after="120" w:line="480" w:lineRule="auto"/>
      <w:ind w:left="283"/>
    </w:pPr>
  </w:style>
  <w:style w:type="paragraph" w:styleId="BodyText3">
    <w:name w:val="Body Text 3"/>
    <w:basedOn w:val="Normal"/>
    <w:semiHidden/>
    <w:rsid w:val="00CD6DB8"/>
    <w:pPr>
      <w:spacing w:after="120"/>
    </w:pPr>
    <w:rPr>
      <w:sz w:val="16"/>
      <w:szCs w:val="16"/>
    </w:rPr>
  </w:style>
  <w:style w:type="paragraph" w:styleId="BodyTextFirstIndent2">
    <w:name w:val="Body Text First Indent 2"/>
    <w:basedOn w:val="BodyTextIndent"/>
    <w:semiHidden/>
    <w:rsid w:val="00CD6DB8"/>
    <w:pPr>
      <w:ind w:firstLine="210"/>
    </w:pPr>
  </w:style>
  <w:style w:type="paragraph" w:styleId="BodyTextIndent3">
    <w:name w:val="Body Text Indent 3"/>
    <w:basedOn w:val="Normal"/>
    <w:semiHidden/>
    <w:rsid w:val="00CD6DB8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D6DB8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semiHidden/>
    <w:rsid w:val="00CD6DB8"/>
    <w:pPr>
      <w:spacing w:after="120" w:line="480" w:lineRule="auto"/>
    </w:pPr>
  </w:style>
  <w:style w:type="paragraph" w:customStyle="1" w:styleId="StylePasusFirstline06cmBefore0ptAfter0pt">
    <w:name w:val="Style Pasus + First line:  06 cm Before:  0 pt After:  0 pt"/>
    <w:basedOn w:val="TekstMetodologijaiNapomena"/>
    <w:semiHidden/>
    <w:rsid w:val="004946DA"/>
    <w:pPr>
      <w:spacing w:before="0"/>
      <w:ind w:firstLine="340"/>
    </w:pPr>
  </w:style>
  <w:style w:type="paragraph" w:styleId="NormalIndent">
    <w:name w:val="Normal Indent"/>
    <w:basedOn w:val="Normal"/>
    <w:semiHidden/>
    <w:rsid w:val="004946DA"/>
    <w:pPr>
      <w:ind w:left="720"/>
    </w:pPr>
  </w:style>
  <w:style w:type="paragraph" w:customStyle="1" w:styleId="Naslovtabela">
    <w:name w:val="Naslov tabela"/>
    <w:basedOn w:val="Normal"/>
    <w:rsid w:val="00CF74C4"/>
    <w:pPr>
      <w:tabs>
        <w:tab w:val="left" w:pos="284"/>
      </w:tabs>
      <w:spacing w:before="120" w:after="120"/>
      <w:ind w:left="284" w:hanging="284"/>
      <w:jc w:val="center"/>
    </w:pPr>
    <w:rPr>
      <w:b/>
    </w:rPr>
  </w:style>
  <w:style w:type="table" w:styleId="TableGrid">
    <w:name w:val="Table Grid"/>
    <w:basedOn w:val="TableNormal"/>
    <w:semiHidden/>
    <w:rsid w:val="00D07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2">
    <w:name w:val="Table Simple 2"/>
    <w:basedOn w:val="TableNormal"/>
    <w:semiHidden/>
    <w:rsid w:val="00120D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075D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Elegant">
    <w:name w:val="Table Elegant"/>
    <w:basedOn w:val="TableNormal"/>
    <w:semiHidden/>
    <w:rsid w:val="00D075D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075D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ela-Zaglavlje">
    <w:name w:val="Tabela-Zaglavlje"/>
    <w:basedOn w:val="Normal"/>
    <w:rsid w:val="00C13D19"/>
    <w:pPr>
      <w:jc w:val="center"/>
    </w:pPr>
    <w:rPr>
      <w:rFonts w:cs="Arial"/>
      <w:sz w:val="16"/>
      <w:szCs w:val="20"/>
      <w:lang w:val="sr-Latn-CS"/>
    </w:rPr>
  </w:style>
  <w:style w:type="paragraph" w:customStyle="1" w:styleId="Tabela-Pretkolona">
    <w:name w:val="Tabela-Pretkolona"/>
    <w:basedOn w:val="Normal"/>
    <w:rsid w:val="00C13D19"/>
    <w:rPr>
      <w:rFonts w:cs="Arial"/>
      <w:sz w:val="16"/>
      <w:szCs w:val="20"/>
      <w:lang w:val="sr-Latn-CS"/>
    </w:rPr>
  </w:style>
  <w:style w:type="paragraph" w:customStyle="1" w:styleId="Tabela-PretkolonaI">
    <w:name w:val="Tabela-PretkolonaI"/>
    <w:basedOn w:val="Normal"/>
    <w:rsid w:val="00C13D19"/>
    <w:rPr>
      <w:rFonts w:cs="Arial"/>
      <w:i/>
      <w:sz w:val="16"/>
      <w:szCs w:val="20"/>
      <w:lang w:val="sr-Latn-CS"/>
    </w:rPr>
  </w:style>
  <w:style w:type="paragraph" w:customStyle="1" w:styleId="Tabela-PretkolonaB">
    <w:name w:val="Tabela-PretkolonaB"/>
    <w:basedOn w:val="Normal"/>
    <w:rsid w:val="00C13D19"/>
    <w:rPr>
      <w:rFonts w:cs="Arial"/>
      <w:b/>
      <w:sz w:val="16"/>
      <w:szCs w:val="20"/>
      <w:lang w:val="sr-Latn-CS"/>
    </w:rPr>
  </w:style>
  <w:style w:type="paragraph" w:customStyle="1" w:styleId="Tabela-Brojevi">
    <w:name w:val="Tabela-Brojevi"/>
    <w:basedOn w:val="Normal"/>
    <w:rsid w:val="00C13D19"/>
    <w:pPr>
      <w:jc w:val="right"/>
    </w:pPr>
    <w:rPr>
      <w:rFonts w:cs="Arial"/>
      <w:sz w:val="16"/>
      <w:szCs w:val="20"/>
      <w:lang w:val="sr-Latn-CS"/>
    </w:rPr>
  </w:style>
  <w:style w:type="paragraph" w:styleId="FootnoteText">
    <w:name w:val="footnote text"/>
    <w:basedOn w:val="Normal"/>
    <w:semiHidden/>
    <w:rsid w:val="00EC4F79"/>
    <w:rPr>
      <w:szCs w:val="20"/>
    </w:rPr>
  </w:style>
  <w:style w:type="paragraph" w:customStyle="1" w:styleId="Tabela-BrojeviI">
    <w:name w:val="Tabela-BrojeviI"/>
    <w:basedOn w:val="Normal"/>
    <w:rsid w:val="00C13D19"/>
    <w:pPr>
      <w:jc w:val="right"/>
    </w:pPr>
    <w:rPr>
      <w:rFonts w:cs="Arial"/>
      <w:i/>
      <w:sz w:val="16"/>
      <w:szCs w:val="20"/>
      <w:lang w:val="sr-Latn-CS"/>
    </w:rPr>
  </w:style>
  <w:style w:type="paragraph" w:customStyle="1" w:styleId="Tabela-BrojeviB">
    <w:name w:val="Tabela-BrojeviB"/>
    <w:basedOn w:val="Normal"/>
    <w:rsid w:val="00C13D19"/>
    <w:pPr>
      <w:jc w:val="right"/>
    </w:pPr>
    <w:rPr>
      <w:rFonts w:cs="Arial"/>
      <w:b/>
      <w:sz w:val="16"/>
      <w:szCs w:val="20"/>
      <w:lang w:val="sr-Latn-CS"/>
    </w:rPr>
  </w:style>
  <w:style w:type="paragraph" w:customStyle="1" w:styleId="Fusnota-Broj1">
    <w:name w:val="Fusnota-Broj1"/>
    <w:basedOn w:val="Normal"/>
    <w:rsid w:val="0041739D"/>
    <w:pPr>
      <w:tabs>
        <w:tab w:val="num" w:pos="360"/>
      </w:tabs>
      <w:ind w:left="360" w:hanging="360"/>
    </w:pPr>
    <w:rPr>
      <w:sz w:val="14"/>
      <w:szCs w:val="14"/>
      <w:vertAlign w:val="superscript"/>
      <w:lang w:val="sr-Latn-CS"/>
    </w:rPr>
  </w:style>
  <w:style w:type="paragraph" w:customStyle="1" w:styleId="Fusnota-Tekst1">
    <w:name w:val="Fusnota-Tekst1"/>
    <w:basedOn w:val="Normal"/>
    <w:rsid w:val="0041739D"/>
    <w:rPr>
      <w:rFonts w:cs="Arial"/>
      <w:sz w:val="14"/>
      <w:szCs w:val="14"/>
      <w:lang w:val="sr-Latn-CS"/>
    </w:rPr>
  </w:style>
  <w:style w:type="paragraph" w:customStyle="1" w:styleId="Naslovgrafikona">
    <w:name w:val="Naslov grafikona"/>
    <w:basedOn w:val="Normal"/>
    <w:next w:val="Normal"/>
    <w:rsid w:val="00CF74C4"/>
    <w:pPr>
      <w:framePr w:hSpace="181" w:wrap="around" w:vAnchor="page" w:hAnchor="margin" w:xAlign="center" w:y="14176"/>
      <w:spacing w:before="120" w:after="120"/>
      <w:jc w:val="center"/>
    </w:pPr>
    <w:rPr>
      <w:rFonts w:cs="Arial"/>
      <w:b/>
      <w:iCs/>
      <w:szCs w:val="18"/>
      <w:lang w:val="ru-RU"/>
    </w:rPr>
  </w:style>
  <w:style w:type="paragraph" w:styleId="Header">
    <w:name w:val="header"/>
    <w:basedOn w:val="Normal"/>
    <w:semiHidden/>
    <w:rsid w:val="00627E9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semiHidden/>
    <w:rsid w:val="00627E99"/>
    <w:pPr>
      <w:tabs>
        <w:tab w:val="center" w:pos="4703"/>
        <w:tab w:val="right" w:pos="9406"/>
      </w:tabs>
    </w:pPr>
  </w:style>
  <w:style w:type="paragraph" w:customStyle="1" w:styleId="CharCharCharCharChar1Char">
    <w:name w:val="Char Char Char Char Char1 Char"/>
    <w:basedOn w:val="Normal"/>
    <w:rsid w:val="00262EB6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Hyperlink">
    <w:name w:val="Hyperlink"/>
    <w:rsid w:val="000D34CE"/>
    <w:rPr>
      <w:color w:val="0000FF"/>
      <w:u w:val="single"/>
    </w:rPr>
  </w:style>
  <w:style w:type="paragraph" w:customStyle="1" w:styleId="CarCar">
    <w:name w:val="Car Car"/>
    <w:basedOn w:val="Normal"/>
    <w:rsid w:val="000D34CE"/>
    <w:pPr>
      <w:spacing w:after="160" w:line="240" w:lineRule="exact"/>
    </w:pPr>
    <w:rPr>
      <w:rFonts w:ascii="Verdana" w:hAnsi="Verdana"/>
      <w:i/>
      <w:szCs w:val="20"/>
    </w:rPr>
  </w:style>
  <w:style w:type="character" w:customStyle="1" w:styleId="apple-style-span">
    <w:name w:val="apple-style-span"/>
    <w:basedOn w:val="DefaultParagraphFont"/>
    <w:rsid w:val="00491B72"/>
  </w:style>
  <w:style w:type="character" w:styleId="FollowedHyperlink">
    <w:name w:val="FollowedHyperlink"/>
    <w:rsid w:val="001E0528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9260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605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6059"/>
    <w:rPr>
      <w:rFonts w:ascii="Arial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60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6059"/>
    <w:rPr>
      <w:rFonts w:ascii="Arial" w:hAnsi="Arial"/>
      <w:b/>
      <w:bCs/>
      <w:lang w:val="en-GB"/>
    </w:rPr>
  </w:style>
  <w:style w:type="character" w:styleId="FootnoteReference">
    <w:name w:val="footnote reference"/>
    <w:basedOn w:val="DefaultParagraphFont"/>
    <w:semiHidden/>
    <w:unhideWhenUsed/>
    <w:rsid w:val="003629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ata.stat.gov.rs/?caller=090201&amp;languageCode=sr-Cyr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t.gov.rs/istrazivanja/methodology-and-documents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RZS\Saopstenja\Nac-racuni\NR-21-2017\ENG-saopstenje%202017-NR21.xls" TargetMode="External"/><Relationship Id="rId1" Type="http://schemas.openxmlformats.org/officeDocument/2006/relationships/image" Target="../media/image4.png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0694742084144608E-2"/>
          <c:y val="0.12428377525252525"/>
          <c:w val="0.3391954543784671"/>
          <c:h val="0.65496299449055362"/>
        </c:manualLayout>
      </c:layout>
      <c:pieChart>
        <c:varyColors val="1"/>
        <c:ser>
          <c:idx val="0"/>
          <c:order val="0"/>
          <c:spPr>
            <a:ln>
              <a:noFill/>
            </a:ln>
          </c:spPr>
          <c:dPt>
            <c:idx val="0"/>
            <c:bubble3D val="0"/>
            <c:spPr>
              <a:solidFill>
                <a:srgbClr val="A969A4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1-9AF6-4898-B686-37B16E81F2F2}"/>
              </c:ext>
            </c:extLst>
          </c:dPt>
          <c:dPt>
            <c:idx val="1"/>
            <c:bubble3D val="0"/>
            <c:spPr>
              <a:solidFill>
                <a:srgbClr val="EBCA6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3-9AF6-4898-B686-37B16E81F2F2}"/>
              </c:ext>
            </c:extLst>
          </c:dPt>
          <c:dPt>
            <c:idx val="2"/>
            <c:bubble3D val="0"/>
            <c:spPr>
              <a:solidFill>
                <a:srgbClr val="162983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5-9AF6-4898-B686-37B16E81F2F2}"/>
              </c:ext>
            </c:extLst>
          </c:dPt>
          <c:dPt>
            <c:idx val="3"/>
            <c:bubble3D val="0"/>
            <c:spPr>
              <a:solidFill>
                <a:srgbClr val="EADFED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7-9AF6-4898-B686-37B16E81F2F2}"/>
              </c:ext>
            </c:extLst>
          </c:dPt>
          <c:dPt>
            <c:idx val="4"/>
            <c:bubble3D val="0"/>
            <c:spPr>
              <a:solidFill>
                <a:srgbClr val="CA9C1C"/>
              </a:solid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9-9AF6-4898-B686-37B16E81F2F2}"/>
              </c:ext>
            </c:extLst>
          </c:dPt>
          <c:dPt>
            <c:idx val="5"/>
            <c:bubble3D val="0"/>
            <c:spPr>
              <a:blipFill dpi="0" rotWithShape="0">
                <a:blip xmlns:r="http://schemas.openxmlformats.org/officeDocument/2006/relationships" r:embed="rId1"/>
                <a:srcRect/>
                <a:tile tx="0" ty="0" sx="100000" sy="100000" flip="none" algn="tl"/>
              </a:blipFill>
              <a:ln w="25400">
                <a:noFill/>
              </a:ln>
            </c:spPr>
            <c:extLst>
              <c:ext xmlns:c16="http://schemas.microsoft.com/office/drawing/2014/chart" uri="{C3380CC4-5D6E-409C-BE32-E72D297353CC}">
                <c16:uniqueId val="{0000000B-9AF6-4898-B686-37B16E81F2F2}"/>
              </c:ext>
            </c:extLst>
          </c:dPt>
          <c:dPt>
            <c:idx val="6"/>
            <c:bubble3D val="0"/>
            <c:extLst>
              <c:ext xmlns:c16="http://schemas.microsoft.com/office/drawing/2014/chart" uri="{C3380CC4-5D6E-409C-BE32-E72D297353CC}">
                <c16:uniqueId val="{0000000C-9AF6-4898-B686-37B16E81F2F2}"/>
              </c:ext>
            </c:extLst>
          </c:dPt>
          <c:dPt>
            <c:idx val="7"/>
            <c:bubble3D val="0"/>
            <c:spPr>
              <a:pattFill prst="wdUpDiag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0E-9AF6-4898-B686-37B16E81F2F2}"/>
              </c:ext>
            </c:extLst>
          </c:dPt>
          <c:dPt>
            <c:idx val="8"/>
            <c:bubble3D val="0"/>
            <c:extLst>
              <c:ext xmlns:c16="http://schemas.microsoft.com/office/drawing/2014/chart" uri="{C3380CC4-5D6E-409C-BE32-E72D297353CC}">
                <c16:uniqueId val="{0000000F-9AF6-4898-B686-37B16E81F2F2}"/>
              </c:ext>
            </c:extLst>
          </c:dPt>
          <c:dPt>
            <c:idx val="9"/>
            <c:bubble3D val="0"/>
            <c:spPr>
              <a:pattFill prst="ltHorz">
                <a:fgClr>
                  <a:schemeClr val="accent1">
                    <a:lumMod val="60000"/>
                    <a:lumOff val="40000"/>
                  </a:schemeClr>
                </a:fgClr>
                <a:bgClr>
                  <a:schemeClr val="bg1"/>
                </a:bgClr>
              </a:pattFill>
              <a:ln>
                <a:noFill/>
              </a:ln>
            </c:spPr>
            <c:extLst>
              <c:ext xmlns:c16="http://schemas.microsoft.com/office/drawing/2014/chart" uri="{C3380CC4-5D6E-409C-BE32-E72D297353CC}">
                <c16:uniqueId val="{00000011-9AF6-4898-B686-37B16E81F2F2}"/>
              </c:ext>
            </c:extLst>
          </c:dPt>
          <c:dPt>
            <c:idx val="10"/>
            <c:bubble3D val="0"/>
            <c:extLst>
              <c:ext xmlns:c16="http://schemas.microsoft.com/office/drawing/2014/chart" uri="{C3380CC4-5D6E-409C-BE32-E72D297353CC}">
                <c16:uniqueId val="{00000012-9AF6-4898-B686-37B16E81F2F2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23.2%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AF6-4898-B686-37B16E81F2F2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15.3%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AF6-4898-B686-37B16E81F2F2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10.0%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AF6-4898-B686-37B16E81F2F2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9.4%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9AF6-4898-B686-37B16E81F2F2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7.6%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AF6-4898-B686-37B16E81F2F2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6.0%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AF6-4898-B686-37B16E81F2F2}"/>
                </c:ext>
              </c:extLst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5.1%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AF6-4898-B686-37B16E81F2F2}"/>
                </c:ext>
              </c:extLst>
            </c:dLbl>
            <c:dLbl>
              <c:idx val="7"/>
              <c:tx>
                <c:rich>
                  <a:bodyPr/>
                  <a:lstStyle/>
                  <a:p>
                    <a:r>
                      <a:rPr lang="en-US"/>
                      <a:t>4.9%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E-9AF6-4898-B686-37B16E81F2F2}"/>
                </c:ext>
              </c:extLst>
            </c:dLbl>
            <c:dLbl>
              <c:idx val="8"/>
              <c:tx>
                <c:rich>
                  <a:bodyPr/>
                  <a:lstStyle/>
                  <a:p>
                    <a:r>
                      <a:rPr lang="en-US"/>
                      <a:t>4.3%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9AF6-4898-B686-37B16E81F2F2}"/>
                </c:ext>
              </c:extLst>
            </c:dLbl>
            <c:dLbl>
              <c:idx val="9"/>
              <c:tx>
                <c:rich>
                  <a:bodyPr/>
                  <a:lstStyle/>
                  <a:p>
                    <a:r>
                      <a:rPr lang="en-US"/>
                      <a:t>3.0%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1-9AF6-4898-B686-37B16E81F2F2}"/>
                </c:ext>
              </c:extLst>
            </c:dLbl>
            <c:dLbl>
              <c:idx val="10"/>
              <c:tx>
                <c:rich>
                  <a:bodyPr/>
                  <a:lstStyle/>
                  <a:p>
                    <a:r>
                      <a:rPr lang="en-US"/>
                      <a:t>11.1%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12-9AF6-4898-B686-37B16E81F2F2}"/>
                </c:ext>
              </c:extLst>
            </c:dLbl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графикони!$A$86:$A$96</c:f>
              <c:strCache>
                <c:ptCount val="11"/>
                <c:pt idx="0">
                  <c:v> Manufacturing </c:v>
                </c:pt>
                <c:pt idx="1">
                  <c:v> Public administration and defence; compulsory social security </c:v>
                </c:pt>
                <c:pt idx="2">
                  <c:v> Electricity, gas, steam and air conditioning supply </c:v>
                </c:pt>
                <c:pt idx="3">
                  <c:v> Wholesale and retail trade; repair of motor vehicles and motorcycles </c:v>
                </c:pt>
                <c:pt idx="4">
                  <c:v> Transportation and storage </c:v>
                </c:pt>
                <c:pt idx="5">
                  <c:v> Information and communication </c:v>
                </c:pt>
                <c:pt idx="6">
                  <c:v> Mining and quarrying </c:v>
                </c:pt>
                <c:pt idx="7">
                  <c:v> Professional, scientific and technical activities </c:v>
                </c:pt>
                <c:pt idx="8">
                  <c:v> Construction </c:v>
                </c:pt>
                <c:pt idx="9">
                  <c:v> Agriculture, forestry and fishing </c:v>
                </c:pt>
                <c:pt idx="10">
                  <c:v> Other</c:v>
                </c:pt>
              </c:strCache>
            </c:strRef>
          </c:cat>
          <c:val>
            <c:numRef>
              <c:f>графикони!$B$86:$B$96</c:f>
              <c:numCache>
                <c:formatCode>0.0</c:formatCode>
                <c:ptCount val="11"/>
                <c:pt idx="0">
                  <c:v>23.187499190615355</c:v>
                </c:pt>
                <c:pt idx="1">
                  <c:v>15.309772837667893</c:v>
                </c:pt>
                <c:pt idx="2">
                  <c:v>10.03186335961869</c:v>
                </c:pt>
                <c:pt idx="3">
                  <c:v>9.444092103045028</c:v>
                </c:pt>
                <c:pt idx="4">
                  <c:v>7.5810073250077963</c:v>
                </c:pt>
                <c:pt idx="5">
                  <c:v>6.0446154242356815</c:v>
                </c:pt>
                <c:pt idx="6">
                  <c:v>5.0651452151572141</c:v>
                </c:pt>
                <c:pt idx="7">
                  <c:v>4.9478135104918799</c:v>
                </c:pt>
                <c:pt idx="8">
                  <c:v>4.296068427124391</c:v>
                </c:pt>
                <c:pt idx="9">
                  <c:v>3.0253169507846729</c:v>
                </c:pt>
                <c:pt idx="10">
                  <c:v>11.1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3-9AF6-4898-B686-37B16E81F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048211508553654"/>
          <c:y val="6.7041844994600905E-2"/>
          <c:w val="0.46253299208516507"/>
          <c:h val="0.8418635958793439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11ADAF-E038-4FE0-9481-243EC8AB3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2383</Words>
  <Characters>13586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15938</CharactersWithSpaces>
  <SharedDoc>false</SharedDoc>
  <HLinks>
    <vt:vector size="12" baseType="variant">
      <vt:variant>
        <vt:i4>5701727</vt:i4>
      </vt:variant>
      <vt:variant>
        <vt:i4>6</vt:i4>
      </vt:variant>
      <vt:variant>
        <vt:i4>0</vt:i4>
      </vt:variant>
      <vt:variant>
        <vt:i4>5</vt:i4>
      </vt:variant>
      <vt:variant>
        <vt:lpwstr>http://webrzs.stat.gov.rs/WebSite/public/ReportView.aspx</vt:lpwstr>
      </vt:variant>
      <vt:variant>
        <vt:lpwstr/>
      </vt:variant>
      <vt:variant>
        <vt:i4>5439493</vt:i4>
      </vt:variant>
      <vt:variant>
        <vt:i4>3</vt:i4>
      </vt:variant>
      <vt:variant>
        <vt:i4>0</vt:i4>
      </vt:variant>
      <vt:variant>
        <vt:i4>5</vt:i4>
      </vt:variant>
      <vt:variant>
        <vt:lpwstr>http://webrzs.stat.gov.rs/WebSite/userFiles/file/Nacionalni/Metodologije/SMET004050C.pdf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e51id02</dc:creator>
  <cp:lastModifiedBy>Milan Sormaz</cp:lastModifiedBy>
  <cp:revision>5</cp:revision>
  <cp:lastPrinted>2014-11-20T08:20:00Z</cp:lastPrinted>
  <dcterms:created xsi:type="dcterms:W3CDTF">2018-11-20T12:52:00Z</dcterms:created>
  <dcterms:modified xsi:type="dcterms:W3CDTF">2018-11-20T13:28:00Z</dcterms:modified>
</cp:coreProperties>
</file>