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48"/>
        <w:gridCol w:w="5194"/>
        <w:gridCol w:w="3307"/>
      </w:tblGrid>
      <w:tr w:rsidR="00EF554A" w:rsidRPr="00FF3A95">
        <w:trPr>
          <w:cantSplit/>
          <w:trHeight w:val="631"/>
          <w:jc w:val="center"/>
        </w:trPr>
        <w:tc>
          <w:tcPr>
            <w:tcW w:w="812" w:type="pct"/>
            <w:tcBorders>
              <w:top w:val="single" w:sz="12" w:space="0" w:color="808080"/>
              <w:left w:val="nil"/>
              <w:bottom w:val="nil"/>
            </w:tcBorders>
            <w:vAlign w:val="center"/>
          </w:tcPr>
          <w:p w:rsidR="00EF554A" w:rsidRPr="00FF3A95" w:rsidRDefault="00EF554A" w:rsidP="00C149A4">
            <w:r w:rsidRPr="00FF3A95">
              <w:rPr>
                <w:sz w:val="8"/>
                <w:szCs w:val="8"/>
              </w:rPr>
              <w:t xml:space="preserve">                    </w:t>
            </w:r>
            <w:r w:rsidR="00513623" w:rsidRPr="00FF3A95">
              <w:rPr>
                <w:noProof/>
                <w:lang w:eastAsia="en-GB"/>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0" b="0"/>
                  <wp:wrapNone/>
                  <wp:docPr id="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623" w:rsidRPr="00FF3A95">
              <w:rPr>
                <w:noProof/>
                <w:lang w:eastAsia="en-GB"/>
              </w:rPr>
              <w:drawing>
                <wp:inline distT="0" distB="0" distL="0" distR="0">
                  <wp:extent cx="869950" cy="209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99939" b="99939"/>
                          <a:stretch>
                            <a:fillRect/>
                          </a:stretch>
                        </pic:blipFill>
                        <pic:spPr bwMode="auto">
                          <a:xfrm>
                            <a:off x="0" y="0"/>
                            <a:ext cx="869950" cy="209550"/>
                          </a:xfrm>
                          <a:prstGeom prst="rect">
                            <a:avLst/>
                          </a:prstGeom>
                          <a:noFill/>
                          <a:ln>
                            <a:noFill/>
                          </a:ln>
                        </pic:spPr>
                      </pic:pic>
                    </a:graphicData>
                  </a:graphic>
                </wp:inline>
              </w:drawing>
            </w:r>
          </w:p>
        </w:tc>
        <w:tc>
          <w:tcPr>
            <w:tcW w:w="2559" w:type="pct"/>
            <w:tcBorders>
              <w:top w:val="single" w:sz="12" w:space="0" w:color="808080"/>
              <w:left w:val="nil"/>
              <w:bottom w:val="nil"/>
            </w:tcBorders>
            <w:vAlign w:val="center"/>
          </w:tcPr>
          <w:p w:rsidR="00EF554A" w:rsidRPr="00FF3A95" w:rsidRDefault="00863BD0" w:rsidP="002338F2">
            <w:r w:rsidRPr="00FF3A95">
              <w:t>Statistical Office of the Republic of Serbia</w:t>
            </w:r>
          </w:p>
        </w:tc>
        <w:tc>
          <w:tcPr>
            <w:tcW w:w="0" w:type="auto"/>
            <w:tcBorders>
              <w:top w:val="single" w:sz="12" w:space="0" w:color="808080"/>
              <w:bottom w:val="nil"/>
              <w:right w:val="nil"/>
            </w:tcBorders>
            <w:vAlign w:val="center"/>
          </w:tcPr>
          <w:p w:rsidR="00EF554A" w:rsidRPr="00FF3A95" w:rsidRDefault="00A570F7" w:rsidP="006E7AF4">
            <w:pPr>
              <w:jc w:val="right"/>
              <w:rPr>
                <w:b/>
                <w:bCs/>
              </w:rPr>
            </w:pPr>
            <w:r w:rsidRPr="00FF3A95">
              <w:t>ISSN</w:t>
            </w:r>
            <w:r w:rsidR="00EF554A" w:rsidRPr="00FF3A95">
              <w:t xml:space="preserve"> 0353-9555</w:t>
            </w:r>
          </w:p>
        </w:tc>
      </w:tr>
      <w:tr w:rsidR="00EF554A" w:rsidRPr="00FF3A95">
        <w:trPr>
          <w:cantSplit/>
          <w:trHeight w:val="695"/>
          <w:jc w:val="center"/>
        </w:trPr>
        <w:tc>
          <w:tcPr>
            <w:tcW w:w="0" w:type="auto"/>
            <w:gridSpan w:val="2"/>
            <w:tcBorders>
              <w:top w:val="nil"/>
              <w:left w:val="nil"/>
              <w:right w:val="nil"/>
            </w:tcBorders>
            <w:vAlign w:val="center"/>
          </w:tcPr>
          <w:p w:rsidR="00EF554A" w:rsidRPr="00FF3A95" w:rsidRDefault="00204857" w:rsidP="002338F2">
            <w:pPr>
              <w:rPr>
                <w:color w:val="808080"/>
              </w:rPr>
            </w:pPr>
            <w:r w:rsidRPr="00FF3A95">
              <w:rPr>
                <w:b/>
                <w:bCs/>
                <w:color w:val="808080"/>
                <w:sz w:val="48"/>
                <w:szCs w:val="48"/>
              </w:rPr>
              <w:t>STATISTICAL RELEASE</w:t>
            </w:r>
          </w:p>
        </w:tc>
        <w:tc>
          <w:tcPr>
            <w:tcW w:w="0" w:type="auto"/>
            <w:tcBorders>
              <w:top w:val="nil"/>
              <w:left w:val="nil"/>
              <w:right w:val="nil"/>
            </w:tcBorders>
            <w:vAlign w:val="center"/>
          </w:tcPr>
          <w:p w:rsidR="00EF554A" w:rsidRPr="00FF3A95" w:rsidRDefault="00863BD0" w:rsidP="00A86745">
            <w:pPr>
              <w:jc w:val="right"/>
              <w:rPr>
                <w:b/>
                <w:bCs/>
                <w:color w:val="808080"/>
                <w:sz w:val="12"/>
                <w:szCs w:val="12"/>
              </w:rPr>
            </w:pPr>
            <w:r w:rsidRPr="00FF3A95">
              <w:rPr>
                <w:b/>
                <w:bCs/>
                <w:color w:val="808080"/>
                <w:sz w:val="48"/>
                <w:szCs w:val="48"/>
              </w:rPr>
              <w:t>ZS</w:t>
            </w:r>
            <w:r w:rsidR="00A86745" w:rsidRPr="00FF3A95">
              <w:rPr>
                <w:b/>
                <w:bCs/>
                <w:color w:val="808080"/>
                <w:sz w:val="48"/>
                <w:szCs w:val="48"/>
              </w:rPr>
              <w:t>91</w:t>
            </w:r>
          </w:p>
        </w:tc>
      </w:tr>
      <w:tr w:rsidR="00EF554A" w:rsidRPr="00FF3A95">
        <w:trPr>
          <w:cantSplit/>
          <w:trHeight w:hRule="exact" w:val="279"/>
          <w:jc w:val="center"/>
        </w:trPr>
        <w:tc>
          <w:tcPr>
            <w:tcW w:w="0" w:type="auto"/>
            <w:gridSpan w:val="2"/>
            <w:tcBorders>
              <w:top w:val="nil"/>
              <w:left w:val="nil"/>
              <w:bottom w:val="nil"/>
              <w:right w:val="nil"/>
            </w:tcBorders>
            <w:vAlign w:val="center"/>
          </w:tcPr>
          <w:p w:rsidR="00EF554A" w:rsidRPr="00FF3A95" w:rsidRDefault="00863BD0" w:rsidP="00751BA2">
            <w:r w:rsidRPr="00FF3A95">
              <w:t xml:space="preserve">Number </w:t>
            </w:r>
            <w:r w:rsidR="00A95833" w:rsidRPr="00FF3A95">
              <w:t>286</w:t>
            </w:r>
            <w:r w:rsidRPr="00FF3A95">
              <w:t xml:space="preserve"> - Year LXVI</w:t>
            </w:r>
            <w:r w:rsidR="00A95833" w:rsidRPr="00FF3A95">
              <w:t>I</w:t>
            </w:r>
            <w:r w:rsidRPr="00FF3A95">
              <w:t>I 20/11/201</w:t>
            </w:r>
            <w:r w:rsidR="00751BA2" w:rsidRPr="00FF3A95">
              <w:t>8</w:t>
            </w:r>
          </w:p>
        </w:tc>
        <w:tc>
          <w:tcPr>
            <w:tcW w:w="0" w:type="auto"/>
            <w:tcBorders>
              <w:left w:val="nil"/>
              <w:bottom w:val="nil"/>
              <w:right w:val="nil"/>
            </w:tcBorders>
            <w:vAlign w:val="center"/>
          </w:tcPr>
          <w:p w:rsidR="00EF554A" w:rsidRPr="00FF3A95" w:rsidRDefault="00EF554A" w:rsidP="002338F2">
            <w:pPr>
              <w:jc w:val="right"/>
              <w:rPr>
                <w:b/>
                <w:bCs/>
                <w:sz w:val="48"/>
                <w:szCs w:val="48"/>
              </w:rPr>
            </w:pPr>
          </w:p>
        </w:tc>
      </w:tr>
      <w:tr w:rsidR="00EF554A" w:rsidRPr="00FF3A95">
        <w:trPr>
          <w:cantSplit/>
          <w:trHeight w:val="353"/>
          <w:jc w:val="center"/>
        </w:trPr>
        <w:tc>
          <w:tcPr>
            <w:tcW w:w="0" w:type="auto"/>
            <w:gridSpan w:val="2"/>
            <w:tcBorders>
              <w:top w:val="nil"/>
              <w:left w:val="nil"/>
              <w:bottom w:val="single" w:sz="12" w:space="0" w:color="808080"/>
              <w:right w:val="nil"/>
            </w:tcBorders>
            <w:vAlign w:val="center"/>
          </w:tcPr>
          <w:p w:rsidR="00EF554A" w:rsidRPr="00FF3A95" w:rsidRDefault="00863BD0" w:rsidP="002338F2">
            <w:pPr>
              <w:rPr>
                <w:b/>
                <w:bCs/>
                <w:sz w:val="24"/>
                <w:szCs w:val="24"/>
              </w:rPr>
            </w:pPr>
            <w:r w:rsidRPr="00FF3A95">
              <w:rPr>
                <w:b/>
                <w:bCs/>
                <w:sz w:val="24"/>
                <w:szCs w:val="24"/>
              </w:rPr>
              <w:t>Environmental statistical unit</w:t>
            </w:r>
          </w:p>
        </w:tc>
        <w:tc>
          <w:tcPr>
            <w:tcW w:w="0" w:type="auto"/>
            <w:tcBorders>
              <w:top w:val="nil"/>
              <w:left w:val="nil"/>
              <w:bottom w:val="single" w:sz="12" w:space="0" w:color="808080"/>
              <w:right w:val="nil"/>
            </w:tcBorders>
            <w:vAlign w:val="center"/>
          </w:tcPr>
          <w:p w:rsidR="00EF554A" w:rsidRPr="00FF3A95" w:rsidRDefault="00863BD0" w:rsidP="00A95833">
            <w:pPr>
              <w:jc w:val="right"/>
              <w:rPr>
                <w:b/>
                <w:bCs/>
              </w:rPr>
            </w:pPr>
            <w:r w:rsidRPr="00FF3A95">
              <w:t>SRB</w:t>
            </w:r>
            <w:r w:rsidR="00A95833" w:rsidRPr="00FF3A95">
              <w:t>286</w:t>
            </w:r>
            <w:r w:rsidR="001C53BD" w:rsidRPr="00FF3A95">
              <w:t xml:space="preserve"> </w:t>
            </w:r>
            <w:r w:rsidRPr="00FF3A95">
              <w:t>ZS</w:t>
            </w:r>
            <w:r w:rsidR="000D32E9" w:rsidRPr="00FF3A95">
              <w:t>91</w:t>
            </w:r>
            <w:r w:rsidR="00EF554A" w:rsidRPr="00FF3A95">
              <w:t xml:space="preserve"> </w:t>
            </w:r>
            <w:r w:rsidR="00FA5683" w:rsidRPr="00FF3A95">
              <w:t>2</w:t>
            </w:r>
            <w:r w:rsidR="00175D07" w:rsidRPr="00FF3A95">
              <w:t>0</w:t>
            </w:r>
            <w:r w:rsidR="00FA5683" w:rsidRPr="00FF3A95">
              <w:t>11</w:t>
            </w:r>
            <w:r w:rsidR="00EF554A" w:rsidRPr="00FF3A95">
              <w:t>1</w:t>
            </w:r>
            <w:r w:rsidR="00A95833" w:rsidRPr="00FF3A95">
              <w:t>8</w:t>
            </w:r>
          </w:p>
        </w:tc>
      </w:tr>
    </w:tbl>
    <w:p w:rsidR="00863BD0" w:rsidRPr="00FF3A95" w:rsidRDefault="00863BD0" w:rsidP="00204857">
      <w:pPr>
        <w:spacing w:before="960" w:after="360"/>
        <w:jc w:val="center"/>
        <w:outlineLvl w:val="0"/>
        <w:rPr>
          <w:b/>
          <w:bCs/>
          <w:sz w:val="24"/>
          <w:szCs w:val="24"/>
        </w:rPr>
      </w:pPr>
      <w:r w:rsidRPr="00FF3A95">
        <w:rPr>
          <w:b/>
          <w:bCs/>
          <w:sz w:val="24"/>
          <w:szCs w:val="24"/>
        </w:rPr>
        <w:t>Expenditures for environmental protection, 201</w:t>
      </w:r>
      <w:r w:rsidR="00A95833" w:rsidRPr="00FF3A95">
        <w:rPr>
          <w:b/>
          <w:bCs/>
          <w:sz w:val="24"/>
          <w:szCs w:val="24"/>
        </w:rPr>
        <w:t>7</w:t>
      </w:r>
      <w:r w:rsidRPr="00FF3A95">
        <w:rPr>
          <w:b/>
          <w:bCs/>
          <w:sz w:val="24"/>
          <w:szCs w:val="24"/>
        </w:rPr>
        <w:t xml:space="preserve">                                                                                       </w:t>
      </w:r>
    </w:p>
    <w:p w:rsidR="00863BD0" w:rsidRPr="00FF3A95" w:rsidRDefault="00863BD0" w:rsidP="00204857">
      <w:pPr>
        <w:spacing w:before="120" w:after="120" w:line="288" w:lineRule="auto"/>
        <w:ind w:firstLine="450"/>
        <w:jc w:val="both"/>
      </w:pPr>
      <w:r w:rsidRPr="00FF3A95">
        <w:t>In 201</w:t>
      </w:r>
      <w:r w:rsidR="00A95833" w:rsidRPr="00FF3A95">
        <w:t>7</w:t>
      </w:r>
      <w:r w:rsidRPr="00FF3A95">
        <w:t xml:space="preserve">, total expenditures for environmental protection amounted to RSD </w:t>
      </w:r>
      <w:r w:rsidR="00A95833" w:rsidRPr="00FF3A95">
        <w:t>3440</w:t>
      </w:r>
      <w:r w:rsidR="00D0305D">
        <w:t>0</w:t>
      </w:r>
      <w:r w:rsidR="00A95833" w:rsidRPr="00FF3A95">
        <w:t>.3</w:t>
      </w:r>
      <w:r w:rsidRPr="00FF3A95">
        <w:t xml:space="preserve"> </w:t>
      </w:r>
      <w:r w:rsidRPr="00FF3A95">
        <w:rPr>
          <w:rStyle w:val="hps"/>
        </w:rPr>
        <w:t>mill</w:t>
      </w:r>
      <w:r w:rsidRPr="00FF3A95">
        <w:t xml:space="preserve">ion, </w:t>
      </w:r>
      <w:r w:rsidRPr="00FF3A95">
        <w:rPr>
          <w:rStyle w:val="hps"/>
        </w:rPr>
        <w:t>which</w:t>
      </w:r>
      <w:r w:rsidRPr="00FF3A95">
        <w:rPr>
          <w:rStyle w:val="shorttext"/>
        </w:rPr>
        <w:t xml:space="preserve"> </w:t>
      </w:r>
      <w:r w:rsidRPr="00FF3A95">
        <w:rPr>
          <w:rStyle w:val="hps"/>
        </w:rPr>
        <w:t>is by</w:t>
      </w:r>
      <w:r w:rsidRPr="00FF3A95">
        <w:rPr>
          <w:rStyle w:val="shorttext"/>
        </w:rPr>
        <w:t xml:space="preserve"> </w:t>
      </w:r>
      <w:r w:rsidR="00A95833" w:rsidRPr="00FF3A95">
        <w:rPr>
          <w:rStyle w:val="hps"/>
        </w:rPr>
        <w:t>2.7</w:t>
      </w:r>
      <w:r w:rsidRPr="00FF3A95">
        <w:rPr>
          <w:rStyle w:val="hps"/>
        </w:rPr>
        <w:t>%</w:t>
      </w:r>
      <w:r w:rsidRPr="00FF3A95">
        <w:rPr>
          <w:rStyle w:val="shorttext"/>
        </w:rPr>
        <w:t xml:space="preserve"> </w:t>
      </w:r>
      <w:r w:rsidR="00A95833" w:rsidRPr="00FF3A95">
        <w:rPr>
          <w:rStyle w:val="hpsalt-edited"/>
        </w:rPr>
        <w:t>lower</w:t>
      </w:r>
      <w:r w:rsidRPr="00FF3A95">
        <w:rPr>
          <w:rStyle w:val="shorttext"/>
        </w:rPr>
        <w:t xml:space="preserve"> </w:t>
      </w:r>
      <w:r w:rsidRPr="00FF3A95">
        <w:rPr>
          <w:rStyle w:val="hps"/>
        </w:rPr>
        <w:t>than in the previous</w:t>
      </w:r>
      <w:r w:rsidRPr="00FF3A95">
        <w:rPr>
          <w:rStyle w:val="shorttext"/>
        </w:rPr>
        <w:t xml:space="preserve"> </w:t>
      </w:r>
      <w:r w:rsidRPr="00FF3A95">
        <w:rPr>
          <w:rStyle w:val="hps"/>
        </w:rPr>
        <w:t xml:space="preserve">year. </w:t>
      </w:r>
      <w:r w:rsidR="00B95348">
        <w:rPr>
          <w:rStyle w:val="hps"/>
        </w:rPr>
        <w:t>In the structure of the total expenditures for environmental protection, s</w:t>
      </w:r>
      <w:r w:rsidRPr="00FF3A95">
        <w:rPr>
          <w:rStyle w:val="hps"/>
        </w:rPr>
        <w:t>hare of environmental protection investments</w:t>
      </w:r>
      <w:r w:rsidRPr="00FF3A95">
        <w:t xml:space="preserve"> </w:t>
      </w:r>
      <w:r w:rsidRPr="00FF3A95">
        <w:rPr>
          <w:rStyle w:val="hps"/>
        </w:rPr>
        <w:t xml:space="preserve">amounted to </w:t>
      </w:r>
      <w:r w:rsidR="00A95833" w:rsidRPr="00FF3A95">
        <w:rPr>
          <w:rStyle w:val="hps"/>
        </w:rPr>
        <w:t>19.2</w:t>
      </w:r>
      <w:r w:rsidRPr="00FF3A95">
        <w:t>%,</w:t>
      </w:r>
      <w:r w:rsidRPr="00FF3A95">
        <w:rPr>
          <w:rStyle w:val="hps"/>
        </w:rPr>
        <w:t xml:space="preserve"> while</w:t>
      </w:r>
      <w:r w:rsidRPr="00FF3A95">
        <w:t xml:space="preserve"> </w:t>
      </w:r>
      <w:r w:rsidRPr="00FF3A95">
        <w:rPr>
          <w:rStyle w:val="hps"/>
        </w:rPr>
        <w:t>current expenditures</w:t>
      </w:r>
      <w:r w:rsidRPr="00FF3A95">
        <w:t xml:space="preserve"> had the share of</w:t>
      </w:r>
      <w:r w:rsidRPr="00FF3A95">
        <w:rPr>
          <w:rStyle w:val="hps"/>
        </w:rPr>
        <w:t xml:space="preserve"> </w:t>
      </w:r>
      <w:r w:rsidR="00A95833" w:rsidRPr="00FF3A95">
        <w:rPr>
          <w:rStyle w:val="hps"/>
        </w:rPr>
        <w:t>80.8</w:t>
      </w:r>
      <w:r w:rsidRPr="00FF3A95">
        <w:rPr>
          <w:rStyle w:val="hps"/>
        </w:rPr>
        <w:t>%.</w:t>
      </w:r>
      <w:r w:rsidRPr="00FF3A95">
        <w:t xml:space="preserve"> </w:t>
      </w:r>
    </w:p>
    <w:p w:rsidR="00863BD0" w:rsidRPr="00FF3A95" w:rsidRDefault="00863BD0" w:rsidP="00204857">
      <w:pPr>
        <w:spacing w:before="120" w:after="120" w:line="288" w:lineRule="auto"/>
        <w:ind w:firstLine="397"/>
        <w:jc w:val="both"/>
      </w:pPr>
      <w:r w:rsidRPr="00FF3A95">
        <w:t>The greatest share in structure of environmental protection investments in 201</w:t>
      </w:r>
      <w:r w:rsidR="00A95833" w:rsidRPr="00FF3A95">
        <w:t>7</w:t>
      </w:r>
      <w:r w:rsidRPr="00FF3A95">
        <w:t xml:space="preserve"> related to </w:t>
      </w:r>
      <w:r w:rsidR="00A95833" w:rsidRPr="00FF3A95">
        <w:t>waste management</w:t>
      </w:r>
      <w:r w:rsidRPr="00FF3A95">
        <w:t xml:space="preserve">, and amounted to </w:t>
      </w:r>
      <w:r w:rsidR="00A95833" w:rsidRPr="00FF3A95">
        <w:t>37.5</w:t>
      </w:r>
      <w:r w:rsidRPr="00FF3A95">
        <w:t xml:space="preserve">% (RSD </w:t>
      </w:r>
      <w:r w:rsidR="00A95833" w:rsidRPr="00FF3A95">
        <w:t>2</w:t>
      </w:r>
      <w:r w:rsidR="006670F7" w:rsidRPr="00FF3A95">
        <w:t xml:space="preserve"> </w:t>
      </w:r>
      <w:r w:rsidR="00A10EB9" w:rsidRPr="00FF3A95">
        <w:t>474</w:t>
      </w:r>
      <w:r w:rsidR="00A95833" w:rsidRPr="00FF3A95">
        <w:t>.</w:t>
      </w:r>
      <w:r w:rsidR="009B4153" w:rsidRPr="00FF3A95">
        <w:t>8</w:t>
      </w:r>
      <w:r w:rsidRPr="00FF3A95">
        <w:t xml:space="preserve"> mill). </w:t>
      </w:r>
    </w:p>
    <w:p w:rsidR="00863BD0" w:rsidRPr="00FF3A95" w:rsidRDefault="006670F7" w:rsidP="006670F7">
      <w:pPr>
        <w:spacing w:before="120" w:after="120" w:line="288" w:lineRule="auto"/>
        <w:ind w:firstLine="397"/>
        <w:jc w:val="both"/>
        <w:rPr>
          <w:rStyle w:val="hps"/>
        </w:rPr>
      </w:pPr>
      <w:r w:rsidRPr="00FF3A95">
        <w:t xml:space="preserve"> </w:t>
      </w:r>
      <w:r w:rsidR="00863BD0" w:rsidRPr="00FF3A95">
        <w:rPr>
          <w:rStyle w:val="hps"/>
        </w:rPr>
        <w:t>Current expenditures for environmental protection in 201</w:t>
      </w:r>
      <w:r w:rsidR="00A95833" w:rsidRPr="00FF3A95">
        <w:rPr>
          <w:rStyle w:val="hps"/>
        </w:rPr>
        <w:t>7</w:t>
      </w:r>
      <w:r w:rsidR="00863BD0" w:rsidRPr="00FF3A95">
        <w:rPr>
          <w:rStyle w:val="hps"/>
        </w:rPr>
        <w:t xml:space="preserve"> amounted to RSD </w:t>
      </w:r>
      <w:r w:rsidR="00A95833" w:rsidRPr="00FF3A95">
        <w:rPr>
          <w:rStyle w:val="hps"/>
        </w:rPr>
        <w:t>27</w:t>
      </w:r>
      <w:r w:rsidRPr="00FF3A95">
        <w:rPr>
          <w:rStyle w:val="hps"/>
        </w:rPr>
        <w:t xml:space="preserve"> </w:t>
      </w:r>
      <w:r w:rsidR="00A95833" w:rsidRPr="00FF3A95">
        <w:rPr>
          <w:rStyle w:val="hps"/>
        </w:rPr>
        <w:t>80</w:t>
      </w:r>
      <w:r w:rsidR="005E232F">
        <w:rPr>
          <w:rStyle w:val="hps"/>
        </w:rPr>
        <w:t>7</w:t>
      </w:r>
      <w:r w:rsidR="00A95833" w:rsidRPr="00FF3A95">
        <w:rPr>
          <w:rStyle w:val="hps"/>
        </w:rPr>
        <w:t>.</w:t>
      </w:r>
      <w:r w:rsidR="005E232F">
        <w:rPr>
          <w:rStyle w:val="hps"/>
        </w:rPr>
        <w:t>5</w:t>
      </w:r>
      <w:r w:rsidR="00863BD0" w:rsidRPr="00FF3A95">
        <w:rPr>
          <w:rStyle w:val="hps"/>
        </w:rPr>
        <w:t xml:space="preserve"> mill, presenting the increase of RSD </w:t>
      </w:r>
      <w:r w:rsidR="00A95833" w:rsidRPr="00FF3A95">
        <w:rPr>
          <w:rStyle w:val="hps"/>
        </w:rPr>
        <w:t>5</w:t>
      </w:r>
      <w:r w:rsidRPr="00FF3A95">
        <w:rPr>
          <w:rStyle w:val="hps"/>
        </w:rPr>
        <w:t xml:space="preserve"> </w:t>
      </w:r>
      <w:r w:rsidR="00A95833" w:rsidRPr="00FF3A95">
        <w:rPr>
          <w:rStyle w:val="hps"/>
        </w:rPr>
        <w:t>26</w:t>
      </w:r>
      <w:r w:rsidR="005E232F">
        <w:rPr>
          <w:rStyle w:val="hps"/>
        </w:rPr>
        <w:t>3</w:t>
      </w:r>
      <w:r w:rsidR="00A95833" w:rsidRPr="00FF3A95">
        <w:rPr>
          <w:rStyle w:val="hps"/>
        </w:rPr>
        <w:t>.</w:t>
      </w:r>
      <w:r w:rsidR="005E232F">
        <w:rPr>
          <w:rStyle w:val="hps"/>
        </w:rPr>
        <w:t>1</w:t>
      </w:r>
      <w:r w:rsidR="00863BD0" w:rsidRPr="00FF3A95">
        <w:rPr>
          <w:rStyle w:val="hps"/>
        </w:rPr>
        <w:t xml:space="preserve"> mill, relative to the previous year. </w:t>
      </w:r>
    </w:p>
    <w:p w:rsidR="00863BD0" w:rsidRPr="00FF3A95" w:rsidRDefault="00863BD0" w:rsidP="00204857">
      <w:pPr>
        <w:spacing w:before="120" w:after="120" w:line="288" w:lineRule="auto"/>
        <w:ind w:firstLine="450"/>
        <w:jc w:val="both"/>
        <w:rPr>
          <w:rStyle w:val="hps"/>
        </w:rPr>
      </w:pPr>
      <w:r w:rsidRPr="00FF3A95">
        <w:rPr>
          <w:rStyle w:val="hps"/>
        </w:rPr>
        <w:t>The greatest share in structure of current environmental protection expenditures in 201</w:t>
      </w:r>
      <w:r w:rsidR="00A95833" w:rsidRPr="00FF3A95">
        <w:rPr>
          <w:rStyle w:val="hps"/>
        </w:rPr>
        <w:t>7</w:t>
      </w:r>
      <w:r w:rsidRPr="00FF3A95">
        <w:rPr>
          <w:rStyle w:val="hps"/>
        </w:rPr>
        <w:t xml:space="preserve"> related to waste management, and amounted to 6</w:t>
      </w:r>
      <w:r w:rsidR="00A95833" w:rsidRPr="00FF3A95">
        <w:rPr>
          <w:rStyle w:val="hps"/>
        </w:rPr>
        <w:t>3</w:t>
      </w:r>
      <w:r w:rsidRPr="00FF3A95">
        <w:rPr>
          <w:rStyle w:val="hps"/>
        </w:rPr>
        <w:t xml:space="preserve">.9% (RSD </w:t>
      </w:r>
      <w:r w:rsidR="00A95833" w:rsidRPr="00FF3A95">
        <w:rPr>
          <w:rStyle w:val="hps"/>
        </w:rPr>
        <w:t>17</w:t>
      </w:r>
      <w:r w:rsidR="006670F7" w:rsidRPr="00FF3A95">
        <w:rPr>
          <w:rStyle w:val="hps"/>
        </w:rPr>
        <w:t xml:space="preserve"> </w:t>
      </w:r>
      <w:r w:rsidR="00A95833" w:rsidRPr="00FF3A95">
        <w:rPr>
          <w:rStyle w:val="hps"/>
        </w:rPr>
        <w:t>76</w:t>
      </w:r>
      <w:r w:rsidR="005E232F">
        <w:rPr>
          <w:rStyle w:val="hps"/>
        </w:rPr>
        <w:t>0</w:t>
      </w:r>
      <w:r w:rsidR="00A95833" w:rsidRPr="00FF3A95">
        <w:rPr>
          <w:rStyle w:val="hps"/>
        </w:rPr>
        <w:t>.</w:t>
      </w:r>
      <w:r w:rsidR="005E232F">
        <w:rPr>
          <w:rStyle w:val="hps"/>
        </w:rPr>
        <w:t>7</w:t>
      </w:r>
      <w:r w:rsidRPr="00FF3A95">
        <w:rPr>
          <w:rStyle w:val="hps"/>
        </w:rPr>
        <w:t xml:space="preserve"> mill.). </w:t>
      </w:r>
    </w:p>
    <w:p w:rsidR="00863BD0" w:rsidRPr="00FF3A95" w:rsidRDefault="00863BD0" w:rsidP="00204857">
      <w:pPr>
        <w:spacing w:before="120" w:after="120" w:line="288" w:lineRule="auto"/>
        <w:ind w:firstLine="397"/>
        <w:jc w:val="both"/>
      </w:pPr>
      <w:r w:rsidRPr="00FF3A95">
        <w:t>In the structure of environmental protection investments by industry</w:t>
      </w:r>
      <w:r w:rsidRPr="00FF3A95">
        <w:rPr>
          <w:vertAlign w:val="superscript"/>
        </w:rPr>
        <w:t>1)</w:t>
      </w:r>
      <w:r w:rsidRPr="00FF3A95">
        <w:t xml:space="preserve"> sections, share for prevention of environmental pollution amounted to </w:t>
      </w:r>
      <w:r w:rsidR="00A95833" w:rsidRPr="00FF3A95">
        <w:t>34.8% (RSD 1</w:t>
      </w:r>
      <w:r w:rsidR="006670F7" w:rsidRPr="00FF3A95">
        <w:t xml:space="preserve"> </w:t>
      </w:r>
      <w:r w:rsidR="00A95833" w:rsidRPr="00FF3A95">
        <w:t>10</w:t>
      </w:r>
      <w:r w:rsidRPr="00FF3A95">
        <w:t xml:space="preserve">7.6 mill.), while investments for pollution treatment encompassed </w:t>
      </w:r>
      <w:r w:rsidR="00A95833" w:rsidRPr="00FF3A95">
        <w:t>65.2</w:t>
      </w:r>
      <w:r w:rsidRPr="00FF3A95">
        <w:t xml:space="preserve">% (RSD </w:t>
      </w:r>
      <w:r w:rsidR="00A95833" w:rsidRPr="00FF3A95">
        <w:t>2</w:t>
      </w:r>
      <w:r w:rsidR="006670F7" w:rsidRPr="00FF3A95">
        <w:t xml:space="preserve"> </w:t>
      </w:r>
      <w:r w:rsidR="00A95833" w:rsidRPr="00FF3A95">
        <w:t>072.6</w:t>
      </w:r>
      <w:r w:rsidRPr="00FF3A95">
        <w:t xml:space="preserve"> mill.). </w:t>
      </w:r>
    </w:p>
    <w:p w:rsidR="0027099B" w:rsidRPr="00FF3A95" w:rsidRDefault="00863BD0" w:rsidP="00204857">
      <w:pPr>
        <w:spacing w:before="120" w:after="120" w:line="288" w:lineRule="auto"/>
        <w:ind w:firstLine="397"/>
        <w:jc w:val="both"/>
      </w:pPr>
      <w:r w:rsidRPr="00FF3A95">
        <w:t>In 201</w:t>
      </w:r>
      <w:r w:rsidR="00A95833" w:rsidRPr="00FF3A95">
        <w:t>7</w:t>
      </w:r>
      <w:r w:rsidRPr="00FF3A95">
        <w:t>, share of environmental protection expenditures in Gross domestic product equalled 0.</w:t>
      </w:r>
      <w:r w:rsidR="00A95833" w:rsidRPr="00FF3A95">
        <w:t>7</w:t>
      </w:r>
      <w:r w:rsidRPr="00FF3A95">
        <w:t>%.</w:t>
      </w:r>
    </w:p>
    <w:p w:rsidR="00204857" w:rsidRPr="00FF3A95" w:rsidRDefault="00204857" w:rsidP="005D79E8">
      <w:pPr>
        <w:rPr>
          <w:sz w:val="16"/>
          <w:szCs w:val="16"/>
          <w:vertAlign w:val="superscript"/>
        </w:rPr>
      </w:pPr>
    </w:p>
    <w:p w:rsidR="000D32E9" w:rsidRPr="00FF3A95" w:rsidRDefault="00513623" w:rsidP="005D79E8">
      <w:pPr>
        <w:rPr>
          <w:sz w:val="14"/>
          <w:szCs w:val="14"/>
          <w:vertAlign w:val="superscript"/>
        </w:rPr>
      </w:pPr>
      <w:r w:rsidRPr="00FF3A95">
        <w:rPr>
          <w:noProof/>
          <w:sz w:val="14"/>
          <w:szCs w:val="14"/>
          <w:vertAlign w:val="superscript"/>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40005</wp:posOffset>
                </wp:positionV>
                <wp:extent cx="686435" cy="0"/>
                <wp:effectExtent l="13970" t="10795" r="13970"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50620" id="_x0000_t32" coordsize="21600,21600" o:spt="32" o:oned="t" path="m,l21600,21600e" filled="f">
                <v:path arrowok="t" fillok="f" o:connecttype="none"/>
                <o:lock v:ext="edit" shapetype="t"/>
              </v:shapetype>
              <v:shape id="AutoShape 3" o:spid="_x0000_s1026" type="#_x0000_t32" style="position:absolute;margin-left:0;margin-top:3.15pt;width:54.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" strokeweight=".25pt"/>
            </w:pict>
          </mc:Fallback>
        </mc:AlternateContent>
      </w:r>
    </w:p>
    <w:p w:rsidR="005D79E8" w:rsidRPr="00FF3A95" w:rsidRDefault="005D79E8" w:rsidP="005D79E8">
      <w:pPr>
        <w:rPr>
          <w:sz w:val="16"/>
          <w:szCs w:val="16"/>
          <w:vertAlign w:val="superscript"/>
        </w:rPr>
      </w:pPr>
      <w:r w:rsidRPr="00FF3A95">
        <w:rPr>
          <w:sz w:val="14"/>
          <w:szCs w:val="14"/>
          <w:vertAlign w:val="superscript"/>
        </w:rPr>
        <w:t xml:space="preserve">1) </w:t>
      </w:r>
      <w:r w:rsidR="00863BD0" w:rsidRPr="00FF3A95">
        <w:rPr>
          <w:sz w:val="14"/>
          <w:szCs w:val="14"/>
        </w:rPr>
        <w:t>Industry sections by Classification of Activities: Mining and quarrying; Manufacturing; Electricity, gas, steam and air conditioning supply.</w:t>
      </w:r>
    </w:p>
    <w:p w:rsidR="00EC3833" w:rsidRPr="00FF3A95" w:rsidRDefault="00EC3833" w:rsidP="0037335D">
      <w:pPr>
        <w:ind w:firstLine="448"/>
        <w:jc w:val="both"/>
        <w:rPr>
          <w:color w:val="FF0000"/>
        </w:rPr>
      </w:pPr>
    </w:p>
    <w:p w:rsidR="00460D4D" w:rsidRPr="00FF3A95" w:rsidRDefault="00460D4D" w:rsidP="0037335D">
      <w:pPr>
        <w:ind w:firstLine="448"/>
        <w:jc w:val="both"/>
        <w:rPr>
          <w:color w:val="FF0000"/>
        </w:rPr>
      </w:pPr>
    </w:p>
    <w:p w:rsidR="00863BD0" w:rsidRPr="00FF3A95" w:rsidRDefault="00863BD0" w:rsidP="0037335D">
      <w:pPr>
        <w:ind w:firstLine="448"/>
        <w:jc w:val="both"/>
        <w:rPr>
          <w:color w:val="FF0000"/>
        </w:rPr>
      </w:pPr>
    </w:p>
    <w:p w:rsidR="00863BD0" w:rsidRPr="00FF3A95" w:rsidRDefault="00570E04" w:rsidP="00570E04">
      <w:pPr>
        <w:ind w:firstLine="448"/>
        <w:jc w:val="center"/>
        <w:rPr>
          <w:color w:val="FF0000"/>
        </w:rPr>
      </w:pPr>
      <w:r w:rsidRPr="00FF3A95">
        <w:rPr>
          <w:noProof/>
          <w:lang w:eastAsia="en-GB"/>
        </w:rPr>
        <w:drawing>
          <wp:inline distT="0" distB="0" distL="0" distR="0" wp14:anchorId="16F9475A" wp14:editId="7D1224D3">
            <wp:extent cx="3960000" cy="2520000"/>
            <wp:effectExtent l="0" t="0" r="254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3833" w:rsidRPr="00FF3A95" w:rsidRDefault="00EC3833" w:rsidP="00076873">
      <w:pPr>
        <w:spacing w:before="120" w:after="120"/>
        <w:jc w:val="center"/>
      </w:pPr>
    </w:p>
    <w:p w:rsidR="00863BD0" w:rsidRPr="00FF3A95" w:rsidRDefault="002460A5" w:rsidP="00863BD0">
      <w:pPr>
        <w:ind w:left="90"/>
        <w:jc w:val="center"/>
        <w:rPr>
          <w:b/>
        </w:rPr>
      </w:pPr>
      <w:r w:rsidRPr="00FF3A95">
        <w:rPr>
          <w:b/>
          <w:bCs/>
          <w:highlight w:val="yellow"/>
        </w:rPr>
        <w:br w:type="page"/>
      </w:r>
      <w:r w:rsidR="00863BD0" w:rsidRPr="00FF3A95">
        <w:rPr>
          <w:b/>
          <w:bCs/>
        </w:rPr>
        <w:lastRenderedPageBreak/>
        <w:t>1. Expenditures for environmental protection by activities</w:t>
      </w:r>
    </w:p>
    <w:p w:rsidR="00863BD0" w:rsidRPr="00FF3A95" w:rsidRDefault="00863BD0" w:rsidP="00863BD0">
      <w:pPr>
        <w:ind w:left="450"/>
        <w:rPr>
          <w:b/>
        </w:rPr>
      </w:pPr>
    </w:p>
    <w:p w:rsidR="00863BD0" w:rsidRPr="00FF3A95" w:rsidRDefault="00863BD0" w:rsidP="00863BD0">
      <w:pPr>
        <w:spacing w:after="40"/>
        <w:ind w:left="284"/>
        <w:rPr>
          <w:b/>
          <w:sz w:val="18"/>
          <w:szCs w:val="18"/>
        </w:rPr>
      </w:pPr>
      <w:r w:rsidRPr="00FF3A95">
        <w:rPr>
          <w:b/>
          <w:sz w:val="18"/>
          <w:szCs w:val="18"/>
        </w:rPr>
        <w:t xml:space="preserve">        Republic of Serbia </w:t>
      </w:r>
    </w:p>
    <w:tbl>
      <w:tblPr>
        <w:tblW w:w="0" w:type="auto"/>
        <w:jc w:val="center"/>
        <w:tblBorders>
          <w:top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19"/>
        <w:gridCol w:w="724"/>
        <w:gridCol w:w="1418"/>
        <w:gridCol w:w="1418"/>
      </w:tblGrid>
      <w:tr w:rsidR="00863BD0" w:rsidRPr="00FF3A95" w:rsidTr="00C127B2">
        <w:trPr>
          <w:trHeight w:val="20"/>
          <w:jc w:val="center"/>
        </w:trPr>
        <w:tc>
          <w:tcPr>
            <w:tcW w:w="4519" w:type="dxa"/>
            <w:vMerge w:val="restart"/>
            <w:tcBorders>
              <w:bottom w:val="single" w:sz="4" w:space="0" w:color="auto"/>
            </w:tcBorders>
            <w:shd w:val="clear" w:color="auto" w:fill="auto"/>
          </w:tcPr>
          <w:p w:rsidR="00863BD0" w:rsidRPr="00FF3A95" w:rsidRDefault="00863BD0" w:rsidP="005821E3">
            <w:pPr>
              <w:spacing w:line="288" w:lineRule="auto"/>
              <w:jc w:val="center"/>
              <w:rPr>
                <w:sz w:val="16"/>
                <w:szCs w:val="16"/>
              </w:rPr>
            </w:pPr>
          </w:p>
        </w:tc>
        <w:tc>
          <w:tcPr>
            <w:tcW w:w="2137" w:type="dxa"/>
            <w:gridSpan w:val="2"/>
            <w:tcBorders>
              <w:bottom w:val="single" w:sz="4" w:space="0" w:color="auto"/>
            </w:tcBorders>
            <w:shd w:val="clear" w:color="auto" w:fill="auto"/>
            <w:vAlign w:val="center"/>
          </w:tcPr>
          <w:p w:rsidR="00863BD0" w:rsidRPr="00FF3A95" w:rsidRDefault="00863BD0" w:rsidP="005821E3">
            <w:pPr>
              <w:spacing w:before="120" w:after="120"/>
              <w:jc w:val="center"/>
              <w:rPr>
                <w:sz w:val="16"/>
                <w:szCs w:val="16"/>
              </w:rPr>
            </w:pPr>
            <w:r w:rsidRPr="00FF3A95">
              <w:rPr>
                <w:sz w:val="16"/>
                <w:szCs w:val="16"/>
              </w:rPr>
              <w:t>Total, RSD mill.</w:t>
            </w:r>
          </w:p>
        </w:tc>
        <w:tc>
          <w:tcPr>
            <w:tcW w:w="1418" w:type="dxa"/>
            <w:tcBorders>
              <w:bottom w:val="single" w:sz="4" w:space="0" w:color="auto"/>
            </w:tcBorders>
            <w:shd w:val="clear" w:color="auto" w:fill="auto"/>
            <w:vAlign w:val="bottom"/>
          </w:tcPr>
          <w:p w:rsidR="00863BD0" w:rsidRPr="00FF3A95" w:rsidRDefault="00863BD0" w:rsidP="005821E3">
            <w:pPr>
              <w:spacing w:before="120" w:after="120"/>
              <w:jc w:val="center"/>
              <w:rPr>
                <w:sz w:val="16"/>
                <w:szCs w:val="16"/>
              </w:rPr>
            </w:pPr>
            <w:r w:rsidRPr="00FF3A95">
              <w:rPr>
                <w:sz w:val="16"/>
                <w:szCs w:val="16"/>
              </w:rPr>
              <w:t>Share, %</w:t>
            </w:r>
          </w:p>
        </w:tc>
      </w:tr>
      <w:tr w:rsidR="00863BD0" w:rsidRPr="00FF3A95" w:rsidTr="00C127B2">
        <w:trPr>
          <w:trHeight w:val="20"/>
          <w:jc w:val="center"/>
        </w:trPr>
        <w:tc>
          <w:tcPr>
            <w:tcW w:w="4519" w:type="dxa"/>
            <w:vMerge/>
            <w:tcBorders>
              <w:bottom w:val="single" w:sz="4" w:space="0" w:color="auto"/>
            </w:tcBorders>
            <w:shd w:val="clear" w:color="auto" w:fill="auto"/>
          </w:tcPr>
          <w:p w:rsidR="00863BD0" w:rsidRPr="00FF3A95" w:rsidRDefault="00863BD0" w:rsidP="005821E3">
            <w:pPr>
              <w:spacing w:line="288" w:lineRule="auto"/>
              <w:jc w:val="center"/>
              <w:rPr>
                <w:sz w:val="16"/>
                <w:szCs w:val="16"/>
              </w:rPr>
            </w:pPr>
          </w:p>
        </w:tc>
        <w:tc>
          <w:tcPr>
            <w:tcW w:w="724" w:type="dxa"/>
            <w:tcBorders>
              <w:bottom w:val="single" w:sz="4" w:space="0" w:color="auto"/>
            </w:tcBorders>
            <w:shd w:val="clear" w:color="auto" w:fill="auto"/>
            <w:vAlign w:val="center"/>
          </w:tcPr>
          <w:p w:rsidR="00863BD0" w:rsidRPr="00FF3A95" w:rsidRDefault="00863BD0" w:rsidP="00E32677">
            <w:pPr>
              <w:spacing w:before="120" w:after="120"/>
              <w:jc w:val="center"/>
              <w:rPr>
                <w:sz w:val="16"/>
                <w:szCs w:val="16"/>
              </w:rPr>
            </w:pPr>
            <w:r w:rsidRPr="00FF3A95">
              <w:rPr>
                <w:sz w:val="16"/>
                <w:szCs w:val="16"/>
              </w:rPr>
              <w:t>201</w:t>
            </w:r>
            <w:r w:rsidR="00E32677" w:rsidRPr="00FF3A95">
              <w:rPr>
                <w:sz w:val="16"/>
                <w:szCs w:val="16"/>
              </w:rPr>
              <w:t>6</w:t>
            </w:r>
          </w:p>
        </w:tc>
        <w:tc>
          <w:tcPr>
            <w:tcW w:w="1418" w:type="dxa"/>
            <w:tcBorders>
              <w:bottom w:val="single" w:sz="4" w:space="0" w:color="auto"/>
            </w:tcBorders>
            <w:shd w:val="clear" w:color="auto" w:fill="auto"/>
            <w:vAlign w:val="center"/>
          </w:tcPr>
          <w:p w:rsidR="00863BD0" w:rsidRPr="00FF3A95" w:rsidRDefault="00863BD0" w:rsidP="00E32677">
            <w:pPr>
              <w:spacing w:before="120" w:after="120"/>
              <w:jc w:val="center"/>
              <w:rPr>
                <w:sz w:val="16"/>
                <w:szCs w:val="16"/>
              </w:rPr>
            </w:pPr>
            <w:r w:rsidRPr="00FF3A95">
              <w:rPr>
                <w:sz w:val="16"/>
                <w:szCs w:val="16"/>
              </w:rPr>
              <w:t>201</w:t>
            </w:r>
            <w:r w:rsidR="00E32677" w:rsidRPr="00FF3A95">
              <w:rPr>
                <w:sz w:val="16"/>
                <w:szCs w:val="16"/>
              </w:rPr>
              <w:t>7</w:t>
            </w:r>
          </w:p>
        </w:tc>
        <w:tc>
          <w:tcPr>
            <w:tcW w:w="1418" w:type="dxa"/>
            <w:tcBorders>
              <w:bottom w:val="single" w:sz="4" w:space="0" w:color="auto"/>
            </w:tcBorders>
            <w:shd w:val="clear" w:color="auto" w:fill="auto"/>
            <w:vAlign w:val="center"/>
          </w:tcPr>
          <w:p w:rsidR="00863BD0" w:rsidRPr="00FF3A95" w:rsidRDefault="00863BD0" w:rsidP="00E32677">
            <w:pPr>
              <w:spacing w:before="120" w:after="120"/>
              <w:jc w:val="center"/>
              <w:rPr>
                <w:sz w:val="16"/>
                <w:szCs w:val="16"/>
              </w:rPr>
            </w:pPr>
            <w:r w:rsidRPr="00FF3A95">
              <w:rPr>
                <w:sz w:val="16"/>
                <w:szCs w:val="16"/>
              </w:rPr>
              <w:t>201</w:t>
            </w:r>
            <w:r w:rsidR="00E32677" w:rsidRPr="00FF3A95">
              <w:rPr>
                <w:sz w:val="16"/>
                <w:szCs w:val="16"/>
              </w:rPr>
              <w:t>7</w:t>
            </w:r>
          </w:p>
        </w:tc>
      </w:tr>
      <w:tr w:rsidR="00863BD0" w:rsidRPr="00FF3A95" w:rsidTr="00C127B2">
        <w:trPr>
          <w:trHeight w:val="20"/>
          <w:jc w:val="center"/>
        </w:trPr>
        <w:tc>
          <w:tcPr>
            <w:tcW w:w="4519" w:type="dxa"/>
            <w:tcBorders>
              <w:top w:val="single" w:sz="4" w:space="0" w:color="auto"/>
              <w:bottom w:val="nil"/>
              <w:right w:val="single" w:sz="4" w:space="0" w:color="auto"/>
            </w:tcBorders>
            <w:shd w:val="clear" w:color="auto" w:fill="auto"/>
          </w:tcPr>
          <w:p w:rsidR="00863BD0" w:rsidRPr="00FF3A95" w:rsidRDefault="00863BD0" w:rsidP="005821E3">
            <w:pPr>
              <w:spacing w:line="288" w:lineRule="auto"/>
              <w:rPr>
                <w:b/>
                <w:sz w:val="16"/>
                <w:szCs w:val="16"/>
              </w:rPr>
            </w:pPr>
          </w:p>
        </w:tc>
        <w:tc>
          <w:tcPr>
            <w:tcW w:w="724" w:type="dxa"/>
            <w:tcBorders>
              <w:top w:val="single" w:sz="4" w:space="0" w:color="auto"/>
              <w:left w:val="single" w:sz="4" w:space="0" w:color="auto"/>
              <w:bottom w:val="nil"/>
              <w:right w:val="nil"/>
            </w:tcBorders>
            <w:shd w:val="clear" w:color="auto" w:fill="auto"/>
            <w:vAlign w:val="bottom"/>
          </w:tcPr>
          <w:p w:rsidR="00863BD0" w:rsidRPr="00FF3A95" w:rsidRDefault="00863BD0" w:rsidP="005821E3">
            <w:pPr>
              <w:spacing w:line="288" w:lineRule="auto"/>
              <w:jc w:val="right"/>
              <w:rPr>
                <w:b/>
                <w:sz w:val="16"/>
                <w:szCs w:val="16"/>
              </w:rPr>
            </w:pPr>
          </w:p>
        </w:tc>
        <w:tc>
          <w:tcPr>
            <w:tcW w:w="1418" w:type="dxa"/>
            <w:tcBorders>
              <w:top w:val="single" w:sz="4" w:space="0" w:color="auto"/>
              <w:left w:val="nil"/>
              <w:bottom w:val="nil"/>
              <w:right w:val="nil"/>
            </w:tcBorders>
            <w:shd w:val="clear" w:color="auto" w:fill="auto"/>
            <w:vAlign w:val="bottom"/>
          </w:tcPr>
          <w:p w:rsidR="00863BD0" w:rsidRPr="00FF3A95" w:rsidRDefault="00863BD0" w:rsidP="005821E3">
            <w:pPr>
              <w:spacing w:line="288" w:lineRule="auto"/>
              <w:jc w:val="right"/>
              <w:rPr>
                <w:b/>
                <w:sz w:val="16"/>
                <w:szCs w:val="16"/>
              </w:rPr>
            </w:pPr>
          </w:p>
        </w:tc>
        <w:tc>
          <w:tcPr>
            <w:tcW w:w="1418" w:type="dxa"/>
            <w:tcBorders>
              <w:top w:val="single" w:sz="4" w:space="0" w:color="auto"/>
              <w:left w:val="nil"/>
              <w:bottom w:val="nil"/>
              <w:right w:val="nil"/>
            </w:tcBorders>
            <w:shd w:val="clear" w:color="auto" w:fill="auto"/>
            <w:vAlign w:val="bottom"/>
          </w:tcPr>
          <w:p w:rsidR="00863BD0" w:rsidRPr="00FF3A95" w:rsidRDefault="00863BD0" w:rsidP="005821E3">
            <w:pPr>
              <w:spacing w:line="288" w:lineRule="auto"/>
              <w:jc w:val="right"/>
              <w:rPr>
                <w:b/>
                <w:sz w:val="16"/>
                <w:szCs w:val="16"/>
              </w:rPr>
            </w:pP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b/>
                <w:sz w:val="16"/>
                <w:szCs w:val="16"/>
              </w:rPr>
            </w:pPr>
            <w:r w:rsidRPr="00FF3A95">
              <w:rPr>
                <w:b/>
                <w:sz w:val="16"/>
                <w:szCs w:val="16"/>
              </w:rPr>
              <w:t>Expenditures for environmental protection</w:t>
            </w:r>
          </w:p>
        </w:tc>
        <w:tc>
          <w:tcPr>
            <w:tcW w:w="724" w:type="dxa"/>
            <w:tcBorders>
              <w:top w:val="nil"/>
              <w:left w:val="nil"/>
              <w:bottom w:val="nil"/>
              <w:right w:val="nil"/>
            </w:tcBorders>
            <w:shd w:val="clear" w:color="auto" w:fill="auto"/>
            <w:vAlign w:val="center"/>
          </w:tcPr>
          <w:p w:rsidR="00384759" w:rsidRDefault="00384759" w:rsidP="00384759">
            <w:pPr>
              <w:jc w:val="right"/>
              <w:rPr>
                <w:b/>
                <w:bCs/>
                <w:color w:val="000000"/>
                <w:sz w:val="16"/>
                <w:szCs w:val="16"/>
              </w:rPr>
            </w:pPr>
            <w:r>
              <w:rPr>
                <w:b/>
                <w:bCs/>
                <w:color w:val="000000" w:themeColor="text1"/>
                <w:sz w:val="16"/>
                <w:szCs w:val="16"/>
                <w:lang w:val="sr-Cyrl-RS"/>
              </w:rPr>
              <w:t>35349.4</w:t>
            </w:r>
          </w:p>
        </w:tc>
        <w:tc>
          <w:tcPr>
            <w:tcW w:w="1418" w:type="dxa"/>
            <w:tcBorders>
              <w:top w:val="nil"/>
              <w:left w:val="nil"/>
              <w:bottom w:val="nil"/>
              <w:right w:val="nil"/>
            </w:tcBorders>
            <w:shd w:val="clear" w:color="auto" w:fill="auto"/>
            <w:vAlign w:val="center"/>
          </w:tcPr>
          <w:p w:rsidR="00384759" w:rsidRDefault="00384759" w:rsidP="00384759">
            <w:pPr>
              <w:jc w:val="right"/>
              <w:rPr>
                <w:b/>
                <w:bCs/>
                <w:color w:val="000000"/>
                <w:sz w:val="16"/>
                <w:szCs w:val="16"/>
              </w:rPr>
            </w:pPr>
            <w:r>
              <w:rPr>
                <w:b/>
                <w:bCs/>
                <w:color w:val="000000" w:themeColor="text1"/>
                <w:sz w:val="16"/>
                <w:szCs w:val="16"/>
                <w:lang w:val="sr-Cyrl-RS"/>
              </w:rPr>
              <w:t>34400.3</w:t>
            </w:r>
          </w:p>
        </w:tc>
        <w:tc>
          <w:tcPr>
            <w:tcW w:w="1418" w:type="dxa"/>
            <w:tcBorders>
              <w:top w:val="nil"/>
              <w:left w:val="nil"/>
              <w:bottom w:val="nil"/>
              <w:right w:val="nil"/>
            </w:tcBorders>
            <w:shd w:val="clear" w:color="auto" w:fill="auto"/>
            <w:vAlign w:val="center"/>
          </w:tcPr>
          <w:p w:rsidR="00384759" w:rsidRDefault="00384759" w:rsidP="00384759">
            <w:pPr>
              <w:jc w:val="right"/>
              <w:rPr>
                <w:b/>
                <w:bCs/>
                <w:color w:val="000000"/>
                <w:sz w:val="16"/>
                <w:szCs w:val="16"/>
              </w:rPr>
            </w:pPr>
            <w:r>
              <w:rPr>
                <w:b/>
                <w:bCs/>
                <w:color w:val="000000" w:themeColor="text1"/>
                <w:sz w:val="16"/>
                <w:szCs w:val="16"/>
                <w:lang w:val="sr-Cyrl-RS"/>
              </w:rPr>
              <w:t>100</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FF3A95">
              <w:rPr>
                <w:sz w:val="16"/>
                <w:szCs w:val="16"/>
              </w:rPr>
              <w:t>Air protection</w:t>
            </w: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5704.2</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Latn-RS"/>
              </w:rPr>
              <w:t>2000.5</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5</w:t>
            </w:r>
            <w:r>
              <w:rPr>
                <w:color w:val="000000"/>
                <w:sz w:val="16"/>
                <w:szCs w:val="16"/>
              </w:rPr>
              <w:t>.</w:t>
            </w:r>
            <w:r>
              <w:rPr>
                <w:color w:val="000000"/>
                <w:sz w:val="16"/>
                <w:szCs w:val="16"/>
                <w:lang w:val="en-US"/>
              </w:rPr>
              <w:t>8</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FF3A95">
              <w:rPr>
                <w:sz w:val="16"/>
                <w:szCs w:val="16"/>
              </w:rPr>
              <w:t>Wastewater management</w:t>
            </w: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4420.7</w:t>
            </w:r>
          </w:p>
        </w:tc>
        <w:tc>
          <w:tcPr>
            <w:tcW w:w="1418" w:type="dxa"/>
            <w:tcBorders>
              <w:top w:val="nil"/>
              <w:left w:val="nil"/>
              <w:bottom w:val="nil"/>
              <w:right w:val="nil"/>
            </w:tcBorders>
            <w:shd w:val="clear" w:color="auto" w:fill="auto"/>
            <w:vAlign w:val="center"/>
          </w:tcPr>
          <w:p w:rsidR="00384759" w:rsidRDefault="00384759" w:rsidP="00231C1A">
            <w:pPr>
              <w:jc w:val="right"/>
              <w:rPr>
                <w:color w:val="000000"/>
                <w:sz w:val="16"/>
                <w:szCs w:val="16"/>
              </w:rPr>
            </w:pPr>
            <w:r>
              <w:rPr>
                <w:color w:val="000000" w:themeColor="text1"/>
                <w:sz w:val="16"/>
                <w:szCs w:val="16"/>
                <w:lang w:val="sr-Latn-RS"/>
              </w:rPr>
              <w:t>4465.</w:t>
            </w:r>
            <w:r w:rsidR="00231C1A">
              <w:rPr>
                <w:color w:val="000000" w:themeColor="text1"/>
                <w:sz w:val="16"/>
                <w:szCs w:val="16"/>
                <w:lang w:val="sr-Latn-RS"/>
              </w:rPr>
              <w:t>9</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13</w:t>
            </w:r>
            <w:r>
              <w:rPr>
                <w:color w:val="000000"/>
                <w:sz w:val="16"/>
                <w:szCs w:val="16"/>
              </w:rPr>
              <w:t>.</w:t>
            </w:r>
            <w:r>
              <w:rPr>
                <w:color w:val="000000"/>
                <w:sz w:val="16"/>
                <w:szCs w:val="16"/>
                <w:lang w:val="en-US"/>
              </w:rPr>
              <w:t>0</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FF3A95">
              <w:rPr>
                <w:sz w:val="16"/>
                <w:szCs w:val="16"/>
              </w:rPr>
              <w:t>Waste management</w:t>
            </w: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19390.4</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20235.5</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58</w:t>
            </w:r>
            <w:r>
              <w:rPr>
                <w:color w:val="000000"/>
                <w:sz w:val="16"/>
                <w:szCs w:val="16"/>
              </w:rPr>
              <w:t>.</w:t>
            </w:r>
            <w:r>
              <w:rPr>
                <w:color w:val="000000"/>
                <w:sz w:val="16"/>
                <w:szCs w:val="16"/>
                <w:lang w:val="en-US"/>
              </w:rPr>
              <w:t>8</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6E69A3">
              <w:rPr>
                <w:sz w:val="16"/>
                <w:szCs w:val="16"/>
              </w:rPr>
              <w:t>Nature protection</w:t>
            </w: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914.8</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Latn-RS"/>
              </w:rPr>
              <w:t>2436.5</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7</w:t>
            </w:r>
            <w:r>
              <w:rPr>
                <w:color w:val="000000"/>
                <w:sz w:val="16"/>
                <w:szCs w:val="16"/>
              </w:rPr>
              <w:t>.</w:t>
            </w:r>
            <w:r>
              <w:rPr>
                <w:color w:val="000000"/>
                <w:sz w:val="16"/>
                <w:szCs w:val="16"/>
                <w:lang w:val="en-US"/>
              </w:rPr>
              <w:t>1</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FF3A95">
              <w:rPr>
                <w:sz w:val="16"/>
                <w:szCs w:val="16"/>
              </w:rPr>
              <w:t>Other</w:t>
            </w:r>
            <w:r w:rsidRPr="00FF3A95">
              <w:rPr>
                <w:sz w:val="16"/>
                <w:szCs w:val="16"/>
                <w:vertAlign w:val="superscript"/>
              </w:rPr>
              <w:t>2)</w:t>
            </w:r>
          </w:p>
        </w:tc>
        <w:tc>
          <w:tcPr>
            <w:tcW w:w="724" w:type="dxa"/>
            <w:tcBorders>
              <w:top w:val="nil"/>
              <w:left w:val="nil"/>
              <w:bottom w:val="nil"/>
              <w:right w:val="nil"/>
            </w:tcBorders>
            <w:shd w:val="clear" w:color="auto" w:fill="auto"/>
            <w:vAlign w:val="center"/>
          </w:tcPr>
          <w:p w:rsidR="00384759" w:rsidRPr="001C2F8B" w:rsidRDefault="001C2F8B" w:rsidP="00384759">
            <w:pPr>
              <w:jc w:val="right"/>
              <w:rPr>
                <w:color w:val="000000"/>
                <w:sz w:val="16"/>
                <w:szCs w:val="16"/>
                <w:lang w:val="sr-Latn-RS"/>
              </w:rPr>
            </w:pPr>
            <w:r>
              <w:rPr>
                <w:color w:val="000000" w:themeColor="text1"/>
                <w:sz w:val="16"/>
                <w:szCs w:val="16"/>
                <w:lang w:val="sr-Latn-RS"/>
              </w:rPr>
              <w:t>4919.3</w:t>
            </w:r>
          </w:p>
        </w:tc>
        <w:tc>
          <w:tcPr>
            <w:tcW w:w="1418" w:type="dxa"/>
            <w:tcBorders>
              <w:top w:val="nil"/>
              <w:left w:val="nil"/>
              <w:bottom w:val="nil"/>
              <w:right w:val="nil"/>
            </w:tcBorders>
            <w:shd w:val="clear" w:color="auto" w:fill="auto"/>
            <w:vAlign w:val="center"/>
          </w:tcPr>
          <w:p w:rsidR="00384759" w:rsidRDefault="00384759" w:rsidP="00231C1A">
            <w:pPr>
              <w:jc w:val="right"/>
              <w:rPr>
                <w:color w:val="000000"/>
                <w:sz w:val="16"/>
                <w:szCs w:val="16"/>
              </w:rPr>
            </w:pPr>
            <w:r>
              <w:rPr>
                <w:color w:val="000000" w:themeColor="text1"/>
                <w:sz w:val="16"/>
                <w:szCs w:val="16"/>
                <w:lang w:val="sr-Latn-RS"/>
              </w:rPr>
              <w:t>526</w:t>
            </w:r>
            <w:r w:rsidR="00231C1A">
              <w:rPr>
                <w:color w:val="000000" w:themeColor="text1"/>
                <w:sz w:val="16"/>
                <w:szCs w:val="16"/>
                <w:lang w:val="sr-Latn-RS"/>
              </w:rPr>
              <w:t>1</w:t>
            </w:r>
            <w:r>
              <w:rPr>
                <w:color w:val="000000" w:themeColor="text1"/>
                <w:sz w:val="16"/>
                <w:szCs w:val="16"/>
                <w:lang w:val="sr-Latn-RS"/>
              </w:rPr>
              <w:t>.</w:t>
            </w:r>
            <w:r w:rsidR="00231C1A">
              <w:rPr>
                <w:color w:val="000000" w:themeColor="text1"/>
                <w:sz w:val="16"/>
                <w:szCs w:val="16"/>
                <w:lang w:val="sr-Latn-RS"/>
              </w:rPr>
              <w:t>9</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15</w:t>
            </w:r>
            <w:r>
              <w:rPr>
                <w:color w:val="000000"/>
                <w:sz w:val="16"/>
                <w:szCs w:val="16"/>
              </w:rPr>
              <w:t>.</w:t>
            </w:r>
            <w:r>
              <w:rPr>
                <w:color w:val="000000"/>
                <w:sz w:val="16"/>
                <w:szCs w:val="16"/>
                <w:lang w:val="en-US"/>
              </w:rPr>
              <w:t>3</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p>
        </w:tc>
        <w:tc>
          <w:tcPr>
            <w:tcW w:w="1418" w:type="dxa"/>
            <w:tcBorders>
              <w:top w:val="nil"/>
              <w:left w:val="nil"/>
              <w:bottom w:val="nil"/>
              <w:right w:val="nil"/>
            </w:tcBorders>
            <w:shd w:val="clear" w:color="auto" w:fill="auto"/>
            <w:vAlign w:val="center"/>
          </w:tcPr>
          <w:p w:rsidR="00384759" w:rsidRDefault="00384759" w:rsidP="00384759">
            <w:pPr>
              <w:jc w:val="right"/>
            </w:pPr>
          </w:p>
        </w:tc>
        <w:tc>
          <w:tcPr>
            <w:tcW w:w="1418" w:type="dxa"/>
            <w:tcBorders>
              <w:top w:val="nil"/>
              <w:left w:val="nil"/>
              <w:bottom w:val="nil"/>
              <w:right w:val="nil"/>
            </w:tcBorders>
            <w:shd w:val="clear" w:color="auto" w:fill="auto"/>
            <w:vAlign w:val="center"/>
          </w:tcPr>
          <w:p w:rsidR="00384759" w:rsidRDefault="00384759" w:rsidP="00384759">
            <w:pPr>
              <w:jc w:val="right"/>
            </w:pP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FF3A95">
              <w:rPr>
                <w:b/>
                <w:sz w:val="16"/>
                <w:szCs w:val="16"/>
              </w:rPr>
              <w:t>Investments for environmental protection</w:t>
            </w:r>
          </w:p>
        </w:tc>
        <w:tc>
          <w:tcPr>
            <w:tcW w:w="724" w:type="dxa"/>
            <w:tcBorders>
              <w:top w:val="nil"/>
              <w:left w:val="nil"/>
              <w:bottom w:val="nil"/>
              <w:right w:val="nil"/>
            </w:tcBorders>
            <w:shd w:val="clear" w:color="auto" w:fill="auto"/>
            <w:vAlign w:val="center"/>
          </w:tcPr>
          <w:p w:rsidR="00384759" w:rsidRPr="00087C1B" w:rsidRDefault="00384759" w:rsidP="00384759">
            <w:pPr>
              <w:jc w:val="right"/>
              <w:rPr>
                <w:b/>
                <w:bCs/>
                <w:color w:val="000000"/>
                <w:sz w:val="16"/>
                <w:szCs w:val="16"/>
                <w:lang w:val="sr-Latn-RS"/>
              </w:rPr>
            </w:pPr>
            <w:r>
              <w:rPr>
                <w:b/>
                <w:bCs/>
                <w:color w:val="000000" w:themeColor="text1"/>
                <w:sz w:val="16"/>
                <w:szCs w:val="16"/>
                <w:lang w:val="sr-Cyrl-RS"/>
              </w:rPr>
              <w:t>12805</w:t>
            </w:r>
            <w:r w:rsidR="00087C1B">
              <w:rPr>
                <w:b/>
                <w:bCs/>
                <w:color w:val="000000" w:themeColor="text1"/>
                <w:sz w:val="16"/>
                <w:szCs w:val="16"/>
                <w:lang w:val="sr-Latn-RS"/>
              </w:rPr>
              <w:t>.0</w:t>
            </w:r>
          </w:p>
        </w:tc>
        <w:tc>
          <w:tcPr>
            <w:tcW w:w="1418" w:type="dxa"/>
            <w:tcBorders>
              <w:top w:val="nil"/>
              <w:left w:val="nil"/>
              <w:bottom w:val="nil"/>
              <w:right w:val="nil"/>
            </w:tcBorders>
            <w:shd w:val="clear" w:color="auto" w:fill="auto"/>
            <w:vAlign w:val="center"/>
          </w:tcPr>
          <w:p w:rsidR="00384759" w:rsidRDefault="00384759" w:rsidP="00384759">
            <w:pPr>
              <w:jc w:val="right"/>
              <w:rPr>
                <w:b/>
                <w:bCs/>
                <w:color w:val="000000"/>
                <w:sz w:val="16"/>
                <w:szCs w:val="16"/>
              </w:rPr>
            </w:pPr>
            <w:r>
              <w:rPr>
                <w:b/>
                <w:bCs/>
                <w:color w:val="000000" w:themeColor="text1"/>
                <w:sz w:val="16"/>
                <w:szCs w:val="16"/>
                <w:lang w:val="sr-Cyrl-RS"/>
              </w:rPr>
              <w:t>6592.8</w:t>
            </w:r>
          </w:p>
        </w:tc>
        <w:tc>
          <w:tcPr>
            <w:tcW w:w="1418" w:type="dxa"/>
            <w:tcBorders>
              <w:top w:val="nil"/>
              <w:left w:val="nil"/>
              <w:bottom w:val="nil"/>
              <w:right w:val="nil"/>
            </w:tcBorders>
            <w:shd w:val="clear" w:color="auto" w:fill="auto"/>
            <w:vAlign w:val="center"/>
          </w:tcPr>
          <w:p w:rsidR="00384759" w:rsidRDefault="00384759" w:rsidP="00384759">
            <w:pPr>
              <w:jc w:val="right"/>
              <w:rPr>
                <w:b/>
                <w:bCs/>
                <w:color w:val="000000"/>
                <w:sz w:val="16"/>
                <w:szCs w:val="16"/>
              </w:rPr>
            </w:pPr>
            <w:r>
              <w:rPr>
                <w:b/>
                <w:bCs/>
                <w:color w:val="000000" w:themeColor="text1"/>
                <w:sz w:val="16"/>
                <w:szCs w:val="16"/>
                <w:lang w:val="sr-Cyrl-RS"/>
              </w:rPr>
              <w:t>100</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FF3A95">
              <w:rPr>
                <w:sz w:val="16"/>
                <w:szCs w:val="16"/>
              </w:rPr>
              <w:t>Air protection</w:t>
            </w: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5337.1</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Latn-RS"/>
              </w:rPr>
              <w:t>871.9</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13</w:t>
            </w:r>
            <w:r>
              <w:rPr>
                <w:color w:val="000000"/>
                <w:sz w:val="16"/>
                <w:szCs w:val="16"/>
              </w:rPr>
              <w:t>.</w:t>
            </w:r>
            <w:r>
              <w:rPr>
                <w:color w:val="000000"/>
                <w:sz w:val="16"/>
                <w:szCs w:val="16"/>
                <w:lang w:val="en-US"/>
              </w:rPr>
              <w:t>2</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FF3A95">
              <w:rPr>
                <w:sz w:val="16"/>
                <w:szCs w:val="16"/>
              </w:rPr>
              <w:t>Wastewater management</w:t>
            </w: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1445.6</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Latn-RS"/>
              </w:rPr>
              <w:t>758.2</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11</w:t>
            </w:r>
            <w:r>
              <w:rPr>
                <w:color w:val="000000"/>
                <w:sz w:val="16"/>
                <w:szCs w:val="16"/>
              </w:rPr>
              <w:t>.</w:t>
            </w:r>
            <w:r>
              <w:rPr>
                <w:color w:val="000000"/>
                <w:sz w:val="16"/>
                <w:szCs w:val="16"/>
                <w:lang w:val="en-US"/>
              </w:rPr>
              <w:t>5</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b/>
                <w:sz w:val="16"/>
                <w:szCs w:val="16"/>
              </w:rPr>
            </w:pPr>
            <w:r w:rsidRPr="00FF3A95">
              <w:rPr>
                <w:sz w:val="16"/>
                <w:szCs w:val="16"/>
              </w:rPr>
              <w:t>Waste management</w:t>
            </w: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3867.7</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2474.8</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37</w:t>
            </w:r>
            <w:r>
              <w:rPr>
                <w:color w:val="000000"/>
                <w:sz w:val="16"/>
                <w:szCs w:val="16"/>
              </w:rPr>
              <w:t>.</w:t>
            </w:r>
            <w:r>
              <w:rPr>
                <w:color w:val="000000"/>
                <w:sz w:val="16"/>
                <w:szCs w:val="16"/>
                <w:lang w:val="en-US"/>
              </w:rPr>
              <w:t>5</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6E69A3">
              <w:rPr>
                <w:sz w:val="16"/>
                <w:szCs w:val="16"/>
              </w:rPr>
              <w:t>Nature protection</w:t>
            </w: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Latn-RS"/>
              </w:rPr>
              <w:t>323.2</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Latn-RS"/>
              </w:rPr>
              <w:t>1201.2</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18</w:t>
            </w:r>
            <w:r>
              <w:rPr>
                <w:color w:val="000000"/>
                <w:sz w:val="16"/>
                <w:szCs w:val="16"/>
              </w:rPr>
              <w:t>.</w:t>
            </w:r>
            <w:r>
              <w:rPr>
                <w:color w:val="000000"/>
                <w:sz w:val="16"/>
                <w:szCs w:val="16"/>
                <w:lang w:val="en-US"/>
              </w:rPr>
              <w:t>2</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FF3A95">
              <w:rPr>
                <w:sz w:val="16"/>
                <w:szCs w:val="16"/>
              </w:rPr>
              <w:t>Other</w:t>
            </w:r>
            <w:r w:rsidRPr="00FF3A95">
              <w:rPr>
                <w:sz w:val="16"/>
                <w:szCs w:val="16"/>
                <w:vertAlign w:val="superscript"/>
              </w:rPr>
              <w:t>2)</w:t>
            </w:r>
          </w:p>
        </w:tc>
        <w:tc>
          <w:tcPr>
            <w:tcW w:w="724" w:type="dxa"/>
            <w:tcBorders>
              <w:top w:val="nil"/>
              <w:left w:val="nil"/>
              <w:bottom w:val="nil"/>
              <w:right w:val="nil"/>
            </w:tcBorders>
            <w:shd w:val="clear" w:color="auto" w:fill="auto"/>
            <w:vAlign w:val="center"/>
          </w:tcPr>
          <w:p w:rsidR="00384759" w:rsidRPr="001C2F8B" w:rsidRDefault="001C2F8B" w:rsidP="00384759">
            <w:pPr>
              <w:jc w:val="right"/>
              <w:rPr>
                <w:color w:val="000000"/>
                <w:sz w:val="16"/>
                <w:szCs w:val="16"/>
                <w:lang w:val="sr-Latn-RS"/>
              </w:rPr>
            </w:pPr>
            <w:r>
              <w:rPr>
                <w:color w:val="000000" w:themeColor="text1"/>
                <w:sz w:val="16"/>
                <w:szCs w:val="16"/>
                <w:lang w:val="sr-Latn-RS"/>
              </w:rPr>
              <w:t>1831.4</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1286.7</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19</w:t>
            </w:r>
            <w:r>
              <w:rPr>
                <w:color w:val="000000"/>
                <w:sz w:val="16"/>
                <w:szCs w:val="16"/>
              </w:rPr>
              <w:t>.</w:t>
            </w:r>
            <w:r>
              <w:rPr>
                <w:color w:val="000000"/>
                <w:sz w:val="16"/>
                <w:szCs w:val="16"/>
                <w:lang w:val="en-US"/>
              </w:rPr>
              <w:t>5</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p>
        </w:tc>
        <w:tc>
          <w:tcPr>
            <w:tcW w:w="1418" w:type="dxa"/>
            <w:tcBorders>
              <w:top w:val="nil"/>
              <w:left w:val="nil"/>
              <w:bottom w:val="nil"/>
              <w:right w:val="nil"/>
            </w:tcBorders>
            <w:shd w:val="clear" w:color="auto" w:fill="auto"/>
            <w:vAlign w:val="center"/>
          </w:tcPr>
          <w:p w:rsidR="00384759" w:rsidRDefault="00384759" w:rsidP="00384759">
            <w:pPr>
              <w:jc w:val="right"/>
            </w:pPr>
          </w:p>
        </w:tc>
        <w:tc>
          <w:tcPr>
            <w:tcW w:w="1418" w:type="dxa"/>
            <w:tcBorders>
              <w:top w:val="nil"/>
              <w:left w:val="nil"/>
              <w:bottom w:val="nil"/>
              <w:right w:val="nil"/>
            </w:tcBorders>
            <w:shd w:val="clear" w:color="auto" w:fill="auto"/>
            <w:vAlign w:val="center"/>
          </w:tcPr>
          <w:p w:rsidR="00384759" w:rsidRDefault="00384759" w:rsidP="00384759">
            <w:pPr>
              <w:jc w:val="right"/>
            </w:pP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FF3A95">
              <w:rPr>
                <w:b/>
                <w:sz w:val="16"/>
                <w:szCs w:val="16"/>
              </w:rPr>
              <w:t>Current expenditures for environmental protection</w:t>
            </w:r>
          </w:p>
        </w:tc>
        <w:tc>
          <w:tcPr>
            <w:tcW w:w="724" w:type="dxa"/>
            <w:tcBorders>
              <w:top w:val="nil"/>
              <w:left w:val="nil"/>
              <w:bottom w:val="nil"/>
              <w:right w:val="nil"/>
            </w:tcBorders>
            <w:shd w:val="clear" w:color="auto" w:fill="auto"/>
            <w:vAlign w:val="center"/>
          </w:tcPr>
          <w:p w:rsidR="00384759" w:rsidRDefault="00384759" w:rsidP="00384759">
            <w:pPr>
              <w:jc w:val="right"/>
              <w:rPr>
                <w:b/>
                <w:bCs/>
                <w:color w:val="000000"/>
                <w:sz w:val="16"/>
                <w:szCs w:val="16"/>
              </w:rPr>
            </w:pPr>
            <w:r>
              <w:rPr>
                <w:b/>
                <w:bCs/>
                <w:color w:val="000000" w:themeColor="text1"/>
                <w:sz w:val="16"/>
                <w:szCs w:val="16"/>
                <w:lang w:val="sr-Cyrl-RS"/>
              </w:rPr>
              <w:t>22544.4</w:t>
            </w:r>
          </w:p>
        </w:tc>
        <w:tc>
          <w:tcPr>
            <w:tcW w:w="1418" w:type="dxa"/>
            <w:tcBorders>
              <w:top w:val="nil"/>
              <w:left w:val="nil"/>
              <w:bottom w:val="nil"/>
              <w:right w:val="nil"/>
            </w:tcBorders>
            <w:shd w:val="clear" w:color="auto" w:fill="auto"/>
            <w:vAlign w:val="center"/>
          </w:tcPr>
          <w:p w:rsidR="00384759" w:rsidRDefault="00384759" w:rsidP="00384759">
            <w:pPr>
              <w:jc w:val="right"/>
              <w:rPr>
                <w:b/>
                <w:bCs/>
                <w:color w:val="000000"/>
                <w:sz w:val="16"/>
                <w:szCs w:val="16"/>
              </w:rPr>
            </w:pPr>
            <w:r>
              <w:rPr>
                <w:b/>
                <w:bCs/>
                <w:color w:val="000000" w:themeColor="text1"/>
                <w:sz w:val="16"/>
                <w:szCs w:val="16"/>
                <w:lang w:val="sr-Cyrl-RS"/>
              </w:rPr>
              <w:t>27807.5</w:t>
            </w:r>
          </w:p>
        </w:tc>
        <w:tc>
          <w:tcPr>
            <w:tcW w:w="1418" w:type="dxa"/>
            <w:tcBorders>
              <w:top w:val="nil"/>
              <w:left w:val="nil"/>
              <w:bottom w:val="nil"/>
              <w:right w:val="nil"/>
            </w:tcBorders>
            <w:shd w:val="clear" w:color="auto" w:fill="auto"/>
            <w:vAlign w:val="center"/>
          </w:tcPr>
          <w:p w:rsidR="00384759" w:rsidRDefault="00384759" w:rsidP="00384759">
            <w:pPr>
              <w:jc w:val="right"/>
              <w:rPr>
                <w:b/>
                <w:bCs/>
                <w:color w:val="000000"/>
                <w:sz w:val="16"/>
                <w:szCs w:val="16"/>
              </w:rPr>
            </w:pPr>
            <w:r>
              <w:rPr>
                <w:b/>
                <w:bCs/>
                <w:color w:val="000000" w:themeColor="text1"/>
                <w:sz w:val="16"/>
                <w:szCs w:val="16"/>
                <w:lang w:val="sr-Cyrl-RS"/>
              </w:rPr>
              <w:t>100</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FF3A95">
              <w:rPr>
                <w:sz w:val="16"/>
                <w:szCs w:val="16"/>
              </w:rPr>
              <w:t>Air protection</w:t>
            </w: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367.1</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1128.6</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4</w:t>
            </w:r>
            <w:r>
              <w:rPr>
                <w:color w:val="000000"/>
                <w:sz w:val="16"/>
                <w:szCs w:val="16"/>
              </w:rPr>
              <w:t>.</w:t>
            </w:r>
            <w:r>
              <w:rPr>
                <w:color w:val="000000"/>
                <w:sz w:val="16"/>
                <w:szCs w:val="16"/>
                <w:lang w:val="en-US"/>
              </w:rPr>
              <w:t>1</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FF3A95">
              <w:rPr>
                <w:sz w:val="16"/>
                <w:szCs w:val="16"/>
              </w:rPr>
              <w:t>Wastewater management</w:t>
            </w: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2975.1</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Latn-RS"/>
              </w:rPr>
              <w:t>3707</w:t>
            </w:r>
            <w:r w:rsidR="001872D8">
              <w:rPr>
                <w:color w:val="000000" w:themeColor="text1"/>
                <w:sz w:val="16"/>
                <w:szCs w:val="16"/>
                <w:lang w:val="sr-Latn-RS"/>
              </w:rPr>
              <w:t>.7</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13</w:t>
            </w:r>
            <w:r>
              <w:rPr>
                <w:color w:val="000000"/>
                <w:sz w:val="16"/>
                <w:szCs w:val="16"/>
              </w:rPr>
              <w:t>.</w:t>
            </w:r>
            <w:r>
              <w:rPr>
                <w:color w:val="000000"/>
                <w:sz w:val="16"/>
                <w:szCs w:val="16"/>
                <w:lang w:val="en-US"/>
              </w:rPr>
              <w:t>3</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b/>
                <w:sz w:val="16"/>
                <w:szCs w:val="16"/>
              </w:rPr>
            </w:pPr>
            <w:r w:rsidRPr="00FF3A95">
              <w:rPr>
                <w:sz w:val="16"/>
                <w:szCs w:val="16"/>
              </w:rPr>
              <w:t>Waste management</w:t>
            </w: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Cyrl-RS"/>
              </w:rPr>
              <w:t>15522.7</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Latn-RS"/>
              </w:rPr>
              <w:t>17760.7</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63</w:t>
            </w:r>
            <w:r>
              <w:rPr>
                <w:color w:val="000000"/>
                <w:sz w:val="16"/>
                <w:szCs w:val="16"/>
              </w:rPr>
              <w:t>.</w:t>
            </w:r>
            <w:r>
              <w:rPr>
                <w:color w:val="000000"/>
                <w:sz w:val="16"/>
                <w:szCs w:val="16"/>
                <w:lang w:val="en-US"/>
              </w:rPr>
              <w:t>9</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6E69A3">
              <w:rPr>
                <w:sz w:val="16"/>
                <w:szCs w:val="16"/>
              </w:rPr>
              <w:t>Nature protection</w:t>
            </w:r>
          </w:p>
        </w:tc>
        <w:tc>
          <w:tcPr>
            <w:tcW w:w="724"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Latn-RS"/>
              </w:rPr>
              <w:t>591.6</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themeColor="text1"/>
                <w:sz w:val="16"/>
                <w:szCs w:val="16"/>
                <w:lang w:val="sr-Latn-RS"/>
              </w:rPr>
              <w:t>1235.3</w:t>
            </w:r>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4</w:t>
            </w:r>
            <w:r>
              <w:rPr>
                <w:color w:val="000000"/>
                <w:sz w:val="16"/>
                <w:szCs w:val="16"/>
              </w:rPr>
              <w:t>.</w:t>
            </w:r>
            <w:r>
              <w:rPr>
                <w:color w:val="000000"/>
                <w:sz w:val="16"/>
                <w:szCs w:val="16"/>
                <w:lang w:val="en-US"/>
              </w:rPr>
              <w:t>4</w:t>
            </w:r>
          </w:p>
        </w:tc>
      </w:tr>
      <w:tr w:rsidR="00384759" w:rsidRPr="00FF3A95" w:rsidTr="00C127B2">
        <w:trPr>
          <w:trHeight w:val="20"/>
          <w:jc w:val="center"/>
        </w:trPr>
        <w:tc>
          <w:tcPr>
            <w:tcW w:w="4519" w:type="dxa"/>
            <w:tcBorders>
              <w:top w:val="nil"/>
              <w:bottom w:val="nil"/>
              <w:right w:val="single" w:sz="4" w:space="0" w:color="auto"/>
            </w:tcBorders>
            <w:shd w:val="clear" w:color="auto" w:fill="auto"/>
          </w:tcPr>
          <w:p w:rsidR="00384759" w:rsidRPr="00FF3A95" w:rsidRDefault="00384759" w:rsidP="00384759">
            <w:pPr>
              <w:spacing w:line="288" w:lineRule="auto"/>
              <w:rPr>
                <w:sz w:val="16"/>
                <w:szCs w:val="16"/>
              </w:rPr>
            </w:pPr>
            <w:r w:rsidRPr="00FF3A95">
              <w:rPr>
                <w:sz w:val="16"/>
                <w:szCs w:val="16"/>
              </w:rPr>
              <w:t>Other</w:t>
            </w:r>
            <w:r w:rsidRPr="00FF3A95">
              <w:rPr>
                <w:sz w:val="16"/>
                <w:szCs w:val="16"/>
                <w:vertAlign w:val="superscript"/>
              </w:rPr>
              <w:t>2</w:t>
            </w:r>
            <w:r>
              <w:rPr>
                <w:sz w:val="16"/>
                <w:szCs w:val="16"/>
                <w:vertAlign w:val="superscript"/>
              </w:rPr>
              <w:t>)</w:t>
            </w:r>
          </w:p>
        </w:tc>
        <w:tc>
          <w:tcPr>
            <w:tcW w:w="724" w:type="dxa"/>
            <w:tcBorders>
              <w:top w:val="nil"/>
              <w:left w:val="nil"/>
              <w:bottom w:val="nil"/>
              <w:right w:val="nil"/>
            </w:tcBorders>
            <w:shd w:val="clear" w:color="auto" w:fill="auto"/>
            <w:vAlign w:val="center"/>
          </w:tcPr>
          <w:p w:rsidR="00384759" w:rsidRPr="001C2F8B" w:rsidRDefault="001C2F8B" w:rsidP="00384759">
            <w:pPr>
              <w:jc w:val="right"/>
              <w:rPr>
                <w:color w:val="000000"/>
                <w:sz w:val="16"/>
                <w:szCs w:val="16"/>
                <w:lang w:val="sr-Latn-RS"/>
              </w:rPr>
            </w:pPr>
            <w:r>
              <w:rPr>
                <w:color w:val="000000" w:themeColor="text1"/>
                <w:sz w:val="16"/>
                <w:szCs w:val="16"/>
                <w:lang w:val="sr-Latn-RS"/>
              </w:rPr>
              <w:t>3087.9</w:t>
            </w:r>
          </w:p>
        </w:tc>
        <w:tc>
          <w:tcPr>
            <w:tcW w:w="1418" w:type="dxa"/>
            <w:tcBorders>
              <w:top w:val="nil"/>
              <w:left w:val="nil"/>
              <w:bottom w:val="nil"/>
              <w:right w:val="nil"/>
            </w:tcBorders>
            <w:shd w:val="clear" w:color="auto" w:fill="auto"/>
            <w:vAlign w:val="center"/>
          </w:tcPr>
          <w:p w:rsidR="00384759" w:rsidRPr="00FD5ECE" w:rsidRDefault="00384759" w:rsidP="00FD5ECE">
            <w:pPr>
              <w:jc w:val="right"/>
              <w:rPr>
                <w:color w:val="000000"/>
                <w:sz w:val="16"/>
                <w:szCs w:val="16"/>
                <w:lang w:val="sr-Latn-RS"/>
              </w:rPr>
            </w:pPr>
            <w:r>
              <w:rPr>
                <w:color w:val="000000" w:themeColor="text1"/>
                <w:sz w:val="16"/>
                <w:szCs w:val="16"/>
                <w:lang w:val="sr-Cyrl-RS"/>
              </w:rPr>
              <w:t>3975.</w:t>
            </w:r>
            <w:r w:rsidR="00FD5ECE">
              <w:rPr>
                <w:color w:val="000000" w:themeColor="text1"/>
                <w:sz w:val="16"/>
                <w:szCs w:val="16"/>
                <w:lang w:val="sr-Latn-RS"/>
              </w:rPr>
              <w:t>2</w:t>
            </w:r>
            <w:bookmarkStart w:id="0" w:name="_GoBack"/>
            <w:bookmarkEnd w:id="0"/>
          </w:p>
        </w:tc>
        <w:tc>
          <w:tcPr>
            <w:tcW w:w="1418" w:type="dxa"/>
            <w:tcBorders>
              <w:top w:val="nil"/>
              <w:left w:val="nil"/>
              <w:bottom w:val="nil"/>
              <w:right w:val="nil"/>
            </w:tcBorders>
            <w:shd w:val="clear" w:color="auto" w:fill="auto"/>
            <w:vAlign w:val="center"/>
          </w:tcPr>
          <w:p w:rsidR="00384759" w:rsidRDefault="00384759" w:rsidP="00384759">
            <w:pPr>
              <w:jc w:val="right"/>
              <w:rPr>
                <w:color w:val="000000"/>
                <w:sz w:val="16"/>
                <w:szCs w:val="16"/>
              </w:rPr>
            </w:pPr>
            <w:r>
              <w:rPr>
                <w:color w:val="000000"/>
                <w:sz w:val="16"/>
                <w:szCs w:val="16"/>
                <w:lang w:val="en-US"/>
              </w:rPr>
              <w:t>14</w:t>
            </w:r>
            <w:r>
              <w:rPr>
                <w:color w:val="000000"/>
                <w:sz w:val="16"/>
                <w:szCs w:val="16"/>
              </w:rPr>
              <w:t>.</w:t>
            </w:r>
            <w:r>
              <w:rPr>
                <w:color w:val="000000"/>
                <w:sz w:val="16"/>
                <w:szCs w:val="16"/>
                <w:lang w:val="en-US"/>
              </w:rPr>
              <w:t>3</w:t>
            </w:r>
          </w:p>
        </w:tc>
      </w:tr>
    </w:tbl>
    <w:p w:rsidR="00863BD0" w:rsidRPr="00FF3A95" w:rsidRDefault="00863BD0" w:rsidP="00863BD0">
      <w:pPr>
        <w:ind w:left="360"/>
        <w:rPr>
          <w:sz w:val="14"/>
          <w:szCs w:val="14"/>
        </w:rPr>
      </w:pPr>
    </w:p>
    <w:p w:rsidR="00863BD0" w:rsidRPr="00FF3A95" w:rsidRDefault="00863BD0" w:rsidP="00863BD0">
      <w:pPr>
        <w:ind w:left="397" w:hanging="113"/>
        <w:rPr>
          <w:sz w:val="14"/>
          <w:szCs w:val="14"/>
          <w:vertAlign w:val="superscript"/>
        </w:rPr>
      </w:pPr>
      <w:r w:rsidRPr="00FF3A95">
        <w:rPr>
          <w:noProof/>
          <w:sz w:val="14"/>
          <w:szCs w:val="14"/>
          <w:vertAlign w:val="superscript"/>
          <w:lang w:eastAsia="en-GB"/>
        </w:rPr>
        <mc:AlternateContent>
          <mc:Choice Requires="wps">
            <w:drawing>
              <wp:anchor distT="0" distB="0" distL="114300" distR="114300" simplePos="0" relativeHeight="251659776" behindDoc="0" locked="0" layoutInCell="1" allowOverlap="1" wp14:anchorId="377F5FA9" wp14:editId="2C85B628">
                <wp:simplePos x="0" y="0"/>
                <wp:positionH relativeFrom="column">
                  <wp:posOffset>400771</wp:posOffset>
                </wp:positionH>
                <wp:positionV relativeFrom="paragraph">
                  <wp:posOffset>23495</wp:posOffset>
                </wp:positionV>
                <wp:extent cx="628650" cy="0"/>
                <wp:effectExtent l="5715" t="5080" r="1333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4A41C" id="AutoShape 4" o:spid="_x0000_s1026" type="#_x0000_t32" style="position:absolute;margin-left:31.55pt;margin-top:1.85pt;width:4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0eAHAIAADoEAAAOAAAAZHJzL2Uyb0RvYy54bWysU8GO2jAQvVfqP1i+QxI2S9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" strokeweight=".25pt"/>
            </w:pict>
          </mc:Fallback>
        </mc:AlternateContent>
      </w:r>
    </w:p>
    <w:p w:rsidR="00863BD0" w:rsidRPr="00FF3A95" w:rsidRDefault="00863BD0" w:rsidP="00863BD0">
      <w:pPr>
        <w:ind w:left="737" w:hanging="113"/>
        <w:rPr>
          <w:sz w:val="14"/>
          <w:szCs w:val="14"/>
        </w:rPr>
      </w:pPr>
      <w:r w:rsidRPr="00FF3A95">
        <w:rPr>
          <w:sz w:val="14"/>
          <w:szCs w:val="14"/>
          <w:vertAlign w:val="superscript"/>
        </w:rPr>
        <w:t xml:space="preserve">2) </w:t>
      </w:r>
      <w:r w:rsidR="006E69A3" w:rsidRPr="006E69A3">
        <w:rPr>
          <w:sz w:val="14"/>
          <w:szCs w:val="14"/>
        </w:rPr>
        <w:t>Protection and remediation of land, underground and surface waters</w:t>
      </w:r>
      <w:r w:rsidR="006E69A3">
        <w:rPr>
          <w:sz w:val="14"/>
          <w:szCs w:val="14"/>
        </w:rPr>
        <w:t xml:space="preserve">; </w:t>
      </w:r>
      <w:r w:rsidR="00C32AB8">
        <w:rPr>
          <w:sz w:val="14"/>
          <w:szCs w:val="14"/>
        </w:rPr>
        <w:t>No</w:t>
      </w:r>
      <w:r w:rsidRPr="00FF3A95">
        <w:rPr>
          <w:sz w:val="14"/>
          <w:szCs w:val="14"/>
        </w:rPr>
        <w:t xml:space="preserve">ise and vibration protection; other activities related to environmental protection.    </w:t>
      </w:r>
    </w:p>
    <w:p w:rsidR="00863BD0" w:rsidRPr="00FF3A95" w:rsidRDefault="00863BD0" w:rsidP="00863BD0">
      <w:pPr>
        <w:rPr>
          <w:sz w:val="14"/>
          <w:szCs w:val="14"/>
        </w:rPr>
      </w:pPr>
    </w:p>
    <w:p w:rsidR="00863BD0" w:rsidRPr="00FF3A95" w:rsidRDefault="00863BD0" w:rsidP="00863BD0">
      <w:pPr>
        <w:rPr>
          <w:sz w:val="14"/>
          <w:szCs w:val="14"/>
        </w:rPr>
      </w:pPr>
    </w:p>
    <w:p w:rsidR="00863BD0" w:rsidRPr="00FF3A95" w:rsidRDefault="00863BD0" w:rsidP="00863BD0">
      <w:pPr>
        <w:rPr>
          <w:sz w:val="14"/>
          <w:szCs w:val="14"/>
        </w:rPr>
      </w:pPr>
    </w:p>
    <w:p w:rsidR="00863BD0" w:rsidRPr="00FF3A95" w:rsidRDefault="00863BD0" w:rsidP="00863BD0">
      <w:pPr>
        <w:rPr>
          <w:sz w:val="14"/>
          <w:szCs w:val="14"/>
        </w:rPr>
      </w:pPr>
    </w:p>
    <w:p w:rsidR="00863BD0" w:rsidRPr="00FF3A95" w:rsidRDefault="00863BD0" w:rsidP="00863BD0">
      <w:pPr>
        <w:rPr>
          <w:sz w:val="16"/>
          <w:szCs w:val="16"/>
          <w:vertAlign w:val="superscript"/>
        </w:rPr>
      </w:pPr>
    </w:p>
    <w:p w:rsidR="00863BD0" w:rsidRPr="00FF3A95" w:rsidRDefault="00863BD0" w:rsidP="00863BD0">
      <w:pPr>
        <w:spacing w:before="120" w:after="120" w:line="288" w:lineRule="auto"/>
        <w:ind w:firstLine="397"/>
        <w:jc w:val="both"/>
      </w:pPr>
      <w:r w:rsidRPr="00FF3A95">
        <w:t>Methodological explanations on expenditures for environmental protection calculations can be found on SORS website (</w:t>
      </w:r>
      <w:r w:rsidR="0021187F" w:rsidRPr="0021187F">
        <w:rPr>
          <w:rStyle w:val="Hyperlink"/>
          <w:rFonts w:cs="Arial"/>
        </w:rPr>
        <w:t>http://www.stat.gov.rs/en-US/istrazivanja/methodology-and-documents/?a=25&amp;s=2503</w:t>
      </w:r>
      <w:r w:rsidRPr="00FF3A95">
        <w:t>).</w:t>
      </w:r>
    </w:p>
    <w:p w:rsidR="00863BD0" w:rsidRPr="00FF3A95" w:rsidRDefault="00863BD0" w:rsidP="00863BD0">
      <w:pPr>
        <w:spacing w:before="120" w:after="120" w:line="288" w:lineRule="auto"/>
        <w:ind w:firstLine="397"/>
        <w:jc w:val="both"/>
      </w:pPr>
      <w:r w:rsidRPr="00FF3A95">
        <w:t xml:space="preserve">Series of data on investments and current expenditures for environmental protection and revenues from the environmental protection related activities are available on SORS website, in the database </w:t>
      </w:r>
      <w:r w:rsidR="001E24FA" w:rsidRPr="001E24FA">
        <w:rPr>
          <w:rStyle w:val="Hyperlink"/>
          <w:rFonts w:cs="Arial"/>
        </w:rPr>
        <w:t>http://data.stat.gov.rs/Home/?languageCode=en-US</w:t>
      </w:r>
      <w:r w:rsidRPr="00FF3A95">
        <w:t>.</w:t>
      </w:r>
    </w:p>
    <w:p w:rsidR="00863BD0" w:rsidRPr="00FF3A95" w:rsidRDefault="00863BD0" w:rsidP="00863BD0">
      <w:pPr>
        <w:spacing w:before="120" w:after="120" w:line="288" w:lineRule="auto"/>
        <w:ind w:firstLine="397"/>
        <w:jc w:val="both"/>
      </w:pPr>
      <w:r w:rsidRPr="00FF3A95">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62A7" w:rsidRPr="00FF3A95" w:rsidRDefault="00EE62A7" w:rsidP="00CE5D0F">
      <w:pPr>
        <w:jc w:val="center"/>
        <w:rPr>
          <w:sz w:val="18"/>
          <w:szCs w:val="18"/>
        </w:rPr>
      </w:pPr>
    </w:p>
    <w:p w:rsidR="00863BD0" w:rsidRPr="00FF3A95" w:rsidRDefault="00863BD0" w:rsidP="00CE5D0F">
      <w:pPr>
        <w:jc w:val="center"/>
        <w:rPr>
          <w:sz w:val="18"/>
          <w:szCs w:val="18"/>
        </w:rPr>
      </w:pPr>
    </w:p>
    <w:p w:rsidR="00863BD0" w:rsidRDefault="00863BD0" w:rsidP="00CE5D0F">
      <w:pPr>
        <w:jc w:val="center"/>
        <w:rPr>
          <w:sz w:val="18"/>
          <w:szCs w:val="18"/>
        </w:rPr>
      </w:pPr>
    </w:p>
    <w:p w:rsidR="006E69A3" w:rsidRDefault="006E69A3" w:rsidP="00CE5D0F">
      <w:pPr>
        <w:jc w:val="center"/>
        <w:rPr>
          <w:sz w:val="18"/>
          <w:szCs w:val="18"/>
        </w:rPr>
      </w:pPr>
    </w:p>
    <w:p w:rsidR="006E69A3" w:rsidRPr="00FF3A95" w:rsidRDefault="006E69A3" w:rsidP="00CE5D0F">
      <w:pPr>
        <w:jc w:val="center"/>
        <w:rPr>
          <w:sz w:val="18"/>
          <w:szCs w:val="18"/>
        </w:rPr>
      </w:pPr>
    </w:p>
    <w:p w:rsidR="00863BD0" w:rsidRDefault="00863BD0" w:rsidP="00CE5D0F">
      <w:pPr>
        <w:jc w:val="center"/>
        <w:rPr>
          <w:sz w:val="18"/>
          <w:szCs w:val="18"/>
        </w:rPr>
      </w:pPr>
    </w:p>
    <w:p w:rsidR="002005FB" w:rsidRPr="00FF3A95" w:rsidRDefault="002005FB" w:rsidP="00CE5D0F">
      <w:pPr>
        <w:jc w:val="center"/>
        <w:rPr>
          <w:sz w:val="18"/>
          <w:szCs w:val="18"/>
        </w:rPr>
      </w:pPr>
    </w:p>
    <w:p w:rsidR="00863BD0" w:rsidRPr="00FF3A95" w:rsidRDefault="00863BD0" w:rsidP="00CE5D0F">
      <w:pPr>
        <w:jc w:val="center"/>
        <w:rPr>
          <w:sz w:val="18"/>
          <w:szCs w:val="18"/>
        </w:rPr>
      </w:pPr>
    </w:p>
    <w:p w:rsidR="00863BD0" w:rsidRPr="00FF3A95" w:rsidRDefault="00863BD0" w:rsidP="00CE5D0F">
      <w:pPr>
        <w:jc w:val="center"/>
        <w:rPr>
          <w:sz w:val="18"/>
          <w:szCs w:val="18"/>
        </w:rPr>
      </w:pPr>
    </w:p>
    <w:p w:rsidR="00863BD0" w:rsidRPr="00FF3A95" w:rsidRDefault="00863BD0" w:rsidP="00CE5D0F">
      <w:pPr>
        <w:jc w:val="center"/>
        <w:rPr>
          <w:sz w:val="18"/>
          <w:szCs w:val="18"/>
        </w:rPr>
      </w:pPr>
    </w:p>
    <w:p w:rsidR="00863BD0" w:rsidRPr="00FF3A95" w:rsidRDefault="00863BD0" w:rsidP="00CE5D0F">
      <w:pPr>
        <w:jc w:val="center"/>
        <w:rPr>
          <w:sz w:val="18"/>
          <w:szCs w:val="18"/>
        </w:rPr>
      </w:pPr>
    </w:p>
    <w:p w:rsidR="00863BD0" w:rsidRPr="00FF3A95" w:rsidRDefault="00863BD0" w:rsidP="00CE5D0F">
      <w:pPr>
        <w:jc w:val="center"/>
        <w:rPr>
          <w:sz w:val="18"/>
          <w:szCs w:val="18"/>
        </w:rPr>
      </w:pPr>
    </w:p>
    <w:p w:rsidR="00863BD0" w:rsidRPr="00FF3A95" w:rsidRDefault="00863BD0" w:rsidP="00CE5D0F">
      <w:pPr>
        <w:jc w:val="center"/>
        <w:rPr>
          <w:sz w:val="18"/>
          <w:szCs w:val="18"/>
        </w:rPr>
      </w:pPr>
    </w:p>
    <w:p w:rsidR="00863BD0" w:rsidRPr="00FF3A95" w:rsidRDefault="00863BD0" w:rsidP="00CE5D0F">
      <w:pPr>
        <w:jc w:val="center"/>
        <w:rPr>
          <w:sz w:val="18"/>
          <w:szCs w:val="18"/>
        </w:rPr>
      </w:pPr>
    </w:p>
    <w:p w:rsidR="00863BD0" w:rsidRPr="00FF3A95" w:rsidRDefault="00863BD0" w:rsidP="00CE5D0F">
      <w:pPr>
        <w:jc w:val="center"/>
        <w:rPr>
          <w:sz w:val="18"/>
          <w:szCs w:val="18"/>
        </w:rPr>
      </w:pPr>
    </w:p>
    <w:tbl>
      <w:tblPr>
        <w:tblW w:w="0" w:type="auto"/>
        <w:jc w:val="center"/>
        <w:tblBorders>
          <w:top w:val="single" w:sz="4" w:space="0" w:color="595959"/>
        </w:tblBorders>
        <w:tblCellMar>
          <w:left w:w="28" w:type="dxa"/>
          <w:right w:w="28" w:type="dxa"/>
        </w:tblCellMar>
        <w:tblLook w:val="04A0" w:firstRow="1" w:lastRow="0" w:firstColumn="1" w:lastColumn="0" w:noHBand="0" w:noVBand="1"/>
      </w:tblPr>
      <w:tblGrid>
        <w:gridCol w:w="8505"/>
      </w:tblGrid>
      <w:tr w:rsidR="00EE62A7" w:rsidRPr="00FF3A95" w:rsidTr="00212808">
        <w:trPr>
          <w:jc w:val="center"/>
        </w:trPr>
        <w:tc>
          <w:tcPr>
            <w:tcW w:w="8505" w:type="dxa"/>
            <w:shd w:val="clear" w:color="auto" w:fill="auto"/>
          </w:tcPr>
          <w:p w:rsidR="00863BD0" w:rsidRPr="00FF3A95" w:rsidRDefault="00863BD0" w:rsidP="00863BD0">
            <w:pPr>
              <w:autoSpaceDE w:val="0"/>
              <w:autoSpaceDN w:val="0"/>
              <w:adjustRightInd w:val="0"/>
              <w:spacing w:before="120"/>
              <w:jc w:val="center"/>
              <w:rPr>
                <w:color w:val="000000"/>
                <w:sz w:val="18"/>
                <w:szCs w:val="18"/>
              </w:rPr>
            </w:pPr>
            <w:r w:rsidRPr="00FF3A95">
              <w:rPr>
                <w:color w:val="000000"/>
                <w:sz w:val="18"/>
                <w:szCs w:val="18"/>
              </w:rPr>
              <w:t xml:space="preserve">Contact: </w:t>
            </w:r>
            <w:r w:rsidR="006670F7" w:rsidRPr="00FF3A95">
              <w:rPr>
                <w:rStyle w:val="Hyperlink"/>
                <w:rFonts w:cs="Arial"/>
                <w:sz w:val="18"/>
                <w:szCs w:val="18"/>
              </w:rPr>
              <w:t>ana.vignjevic@stat.gov.rs</w:t>
            </w:r>
            <w:r w:rsidRPr="00FF3A95">
              <w:rPr>
                <w:color w:val="0000FF"/>
                <w:sz w:val="18"/>
                <w:szCs w:val="18"/>
              </w:rPr>
              <w:t xml:space="preserve"> </w:t>
            </w:r>
            <w:r w:rsidRPr="00FF3A95">
              <w:rPr>
                <w:color w:val="000000"/>
                <w:sz w:val="18"/>
                <w:szCs w:val="18"/>
              </w:rPr>
              <w:t xml:space="preserve">Phone: +381 11 </w:t>
            </w:r>
            <w:r w:rsidR="006670F7" w:rsidRPr="00FF3A95">
              <w:rPr>
                <w:sz w:val="18"/>
                <w:szCs w:val="18"/>
              </w:rPr>
              <w:t>011 3290-242</w:t>
            </w:r>
          </w:p>
          <w:p w:rsidR="00863BD0" w:rsidRPr="00FF3A95" w:rsidRDefault="00863BD0" w:rsidP="00863BD0">
            <w:pPr>
              <w:jc w:val="center"/>
              <w:rPr>
                <w:iCs/>
                <w:sz w:val="18"/>
                <w:szCs w:val="18"/>
              </w:rPr>
            </w:pPr>
            <w:r w:rsidRPr="00FF3A95">
              <w:rPr>
                <w:iCs/>
                <w:sz w:val="18"/>
                <w:szCs w:val="18"/>
              </w:rPr>
              <w:t>Published and printed by: Statistical Office of the Republic of Serbia, 11 050 Belgrade, Milana Rakica 5</w:t>
            </w:r>
          </w:p>
          <w:p w:rsidR="00863BD0" w:rsidRPr="00FF3A95" w:rsidRDefault="00863BD0" w:rsidP="00863BD0">
            <w:pPr>
              <w:jc w:val="center"/>
              <w:rPr>
                <w:iCs/>
                <w:sz w:val="18"/>
                <w:szCs w:val="18"/>
              </w:rPr>
            </w:pPr>
            <w:r w:rsidRPr="00FF3A95">
              <w:rPr>
                <w:iCs/>
                <w:sz w:val="18"/>
                <w:szCs w:val="18"/>
              </w:rPr>
              <w:t xml:space="preserve">Phone: +381 11 2412922 </w:t>
            </w:r>
            <w:r w:rsidRPr="00FF3A95">
              <w:rPr>
                <w:sz w:val="18"/>
                <w:szCs w:val="18"/>
              </w:rPr>
              <w:t>(telephone exchange)</w:t>
            </w:r>
            <w:r w:rsidRPr="00FF3A95">
              <w:t xml:space="preserve"> </w:t>
            </w:r>
            <w:r w:rsidRPr="00FF3A95">
              <w:rPr>
                <w:iCs/>
                <w:sz w:val="18"/>
                <w:szCs w:val="18"/>
              </w:rPr>
              <w:t xml:space="preserve">● Fax: +381 11 2411260 ● www.stat.gov.rs  </w:t>
            </w:r>
          </w:p>
          <w:p w:rsidR="00863BD0" w:rsidRPr="00FF3A95" w:rsidRDefault="00863BD0" w:rsidP="00863BD0">
            <w:pPr>
              <w:jc w:val="center"/>
              <w:rPr>
                <w:iCs/>
                <w:sz w:val="18"/>
                <w:szCs w:val="18"/>
              </w:rPr>
            </w:pPr>
            <w:r w:rsidRPr="00FF3A95">
              <w:rPr>
                <w:iCs/>
                <w:sz w:val="18"/>
                <w:szCs w:val="18"/>
              </w:rPr>
              <w:t>Responsible: Dr Miladin Kovačević, Director</w:t>
            </w:r>
          </w:p>
          <w:p w:rsidR="00EE62A7" w:rsidRPr="00FF3A95" w:rsidRDefault="00863BD0" w:rsidP="00863BD0">
            <w:pPr>
              <w:jc w:val="center"/>
              <w:rPr>
                <w:sz w:val="18"/>
                <w:szCs w:val="18"/>
              </w:rPr>
            </w:pPr>
            <w:r w:rsidRPr="00FF3A95">
              <w:rPr>
                <w:color w:val="000000"/>
                <w:sz w:val="18"/>
                <w:szCs w:val="18"/>
              </w:rPr>
              <w:t>Circulation: 20 ● Issued annually</w:t>
            </w:r>
          </w:p>
        </w:tc>
      </w:tr>
    </w:tbl>
    <w:p w:rsidR="00CE5D0F" w:rsidRPr="00FF3A95" w:rsidRDefault="00CE5D0F" w:rsidP="00CE5D0F">
      <w:pPr>
        <w:jc w:val="center"/>
        <w:rPr>
          <w:sz w:val="18"/>
          <w:szCs w:val="18"/>
        </w:rPr>
      </w:pPr>
    </w:p>
    <w:sectPr w:rsidR="00CE5D0F" w:rsidRPr="00FF3A95" w:rsidSect="0031163C">
      <w:footerReference w:type="even" r:id="rId10"/>
      <w:footerReference w:type="default" r:id="rId11"/>
      <w:pgSz w:w="11907" w:h="16840" w:code="9"/>
      <w:pgMar w:top="907" w:right="907" w:bottom="907"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1C" w:rsidRDefault="00AB631C">
      <w:r>
        <w:separator/>
      </w:r>
    </w:p>
  </w:endnote>
  <w:endnote w:type="continuationSeparator" w:id="0">
    <w:p w:rsidR="00AB631C" w:rsidRDefault="00AB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151"/>
      <w:gridCol w:w="5158"/>
    </w:tblGrid>
    <w:tr w:rsidR="00493CD5">
      <w:tc>
        <w:tcPr>
          <w:tcW w:w="5210" w:type="dxa"/>
          <w:tcBorders>
            <w:top w:val="single" w:sz="4" w:space="0" w:color="auto"/>
            <w:left w:val="nil"/>
            <w:bottom w:val="nil"/>
            <w:right w:val="nil"/>
          </w:tcBorders>
        </w:tcPr>
        <w:p w:rsidR="00493CD5" w:rsidRPr="00AF23FB" w:rsidRDefault="00493CD5" w:rsidP="00CB3327">
          <w:pPr>
            <w:spacing w:before="120"/>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FD5ECE">
            <w:rPr>
              <w:noProof/>
              <w:sz w:val="16"/>
              <w:szCs w:val="16"/>
            </w:rPr>
            <w:t>2</w:t>
          </w:r>
          <w:r w:rsidRPr="00AF23FB">
            <w:rPr>
              <w:sz w:val="16"/>
              <w:szCs w:val="16"/>
            </w:rPr>
            <w:fldChar w:fldCharType="end"/>
          </w:r>
          <w:r w:rsidR="00845491">
            <w:rPr>
              <w:sz w:val="16"/>
              <w:szCs w:val="16"/>
            </w:rPr>
            <w:t xml:space="preserve">             </w:t>
          </w:r>
        </w:p>
      </w:tc>
      <w:tc>
        <w:tcPr>
          <w:tcW w:w="5211" w:type="dxa"/>
          <w:tcBorders>
            <w:top w:val="single" w:sz="4" w:space="0" w:color="auto"/>
            <w:left w:val="nil"/>
            <w:bottom w:val="nil"/>
          </w:tcBorders>
        </w:tcPr>
        <w:p w:rsidR="00845491" w:rsidRPr="008015EB" w:rsidRDefault="00845491" w:rsidP="00751BA2">
          <w:pPr>
            <w:spacing w:before="120"/>
            <w:jc w:val="right"/>
            <w:rPr>
              <w:sz w:val="16"/>
              <w:szCs w:val="16"/>
              <w:lang w:val="sr-Latn-RS"/>
            </w:rPr>
          </w:pPr>
          <w:r>
            <w:rPr>
              <w:sz w:val="16"/>
              <w:szCs w:val="16"/>
            </w:rPr>
            <w:t xml:space="preserve">                                                                       </w:t>
          </w:r>
          <w:r w:rsidR="00863BD0">
            <w:rPr>
              <w:sz w:val="16"/>
              <w:szCs w:val="16"/>
            </w:rPr>
            <w:t>SRB</w:t>
          </w:r>
          <w:r w:rsidR="00751BA2">
            <w:rPr>
              <w:sz w:val="16"/>
              <w:szCs w:val="16"/>
            </w:rPr>
            <w:t>286</w:t>
          </w:r>
          <w:r>
            <w:rPr>
              <w:sz w:val="16"/>
              <w:szCs w:val="16"/>
              <w:lang w:val="sr-Latn-CS"/>
            </w:rPr>
            <w:t xml:space="preserve"> </w:t>
          </w:r>
          <w:r w:rsidR="00863BD0">
            <w:rPr>
              <w:sz w:val="16"/>
              <w:szCs w:val="16"/>
              <w:lang w:val="sr-Latn-CS"/>
            </w:rPr>
            <w:t>ZS91</w:t>
          </w:r>
          <w:r w:rsidR="00493CD5" w:rsidRPr="00AF23FB">
            <w:rPr>
              <w:sz w:val="16"/>
              <w:szCs w:val="16"/>
              <w:lang w:val="sr-Cyrl-CS"/>
            </w:rPr>
            <w:t xml:space="preserve"> </w:t>
          </w:r>
          <w:r w:rsidR="00751BA2">
            <w:rPr>
              <w:sz w:val="16"/>
              <w:szCs w:val="16"/>
              <w:lang w:val="sr-Latn-CS"/>
            </w:rPr>
            <w:t>201118</w:t>
          </w:r>
        </w:p>
      </w:tc>
    </w:tr>
  </w:tbl>
  <w:p w:rsidR="00493CD5" w:rsidRPr="005C58EB" w:rsidRDefault="00493CD5"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157"/>
      <w:gridCol w:w="5152"/>
    </w:tblGrid>
    <w:tr w:rsidR="00493CD5">
      <w:tc>
        <w:tcPr>
          <w:tcW w:w="5210" w:type="dxa"/>
          <w:tcBorders>
            <w:top w:val="single" w:sz="4" w:space="0" w:color="auto"/>
            <w:bottom w:val="nil"/>
            <w:right w:val="nil"/>
          </w:tcBorders>
        </w:tcPr>
        <w:p w:rsidR="00493CD5" w:rsidRPr="00AF23FB" w:rsidRDefault="00493CD5" w:rsidP="00B22014">
          <w:pPr>
            <w:spacing w:before="120"/>
            <w:rPr>
              <w:sz w:val="16"/>
              <w:szCs w:val="16"/>
              <w:lang w:val="sr-Latn-CS"/>
            </w:rPr>
          </w:pPr>
          <w:r w:rsidRPr="00AF23FB">
            <w:rPr>
              <w:sz w:val="16"/>
              <w:szCs w:val="16"/>
            </w:rPr>
            <w:t>СРБ</w:t>
          </w:r>
          <w:r w:rsidR="00B22014">
            <w:rPr>
              <w:sz w:val="16"/>
              <w:szCs w:val="16"/>
              <w:lang w:val="sr-Cyrl-RS"/>
            </w:rPr>
            <w:t>306</w:t>
          </w:r>
          <w:r>
            <w:rPr>
              <w:sz w:val="16"/>
              <w:szCs w:val="16"/>
              <w:lang w:val="sr-Cyrl-CS"/>
            </w:rPr>
            <w:t xml:space="preserve"> </w:t>
          </w:r>
          <w:r w:rsidRPr="00AF23FB">
            <w:rPr>
              <w:sz w:val="16"/>
              <w:szCs w:val="16"/>
              <w:lang w:val="sr-Cyrl-CS"/>
            </w:rPr>
            <w:t>НР</w:t>
          </w:r>
          <w:r w:rsidR="00B22014">
            <w:rPr>
              <w:sz w:val="16"/>
              <w:szCs w:val="16"/>
              <w:lang w:val="sr-Cyrl-CS"/>
            </w:rPr>
            <w:t>5</w:t>
          </w:r>
          <w:r w:rsidRPr="00AF23FB">
            <w:rPr>
              <w:sz w:val="16"/>
              <w:szCs w:val="16"/>
              <w:lang w:val="sr-Cyrl-CS"/>
            </w:rPr>
            <w:t xml:space="preserve">0 </w:t>
          </w:r>
          <w:r w:rsidR="00B22014">
            <w:rPr>
              <w:sz w:val="16"/>
              <w:szCs w:val="16"/>
              <w:lang w:val="sr-Cyrl-CS"/>
            </w:rPr>
            <w:t>201115</w:t>
          </w:r>
        </w:p>
      </w:tc>
      <w:tc>
        <w:tcPr>
          <w:tcW w:w="5211" w:type="dxa"/>
          <w:tcBorders>
            <w:top w:val="single" w:sz="4" w:space="0" w:color="auto"/>
            <w:left w:val="nil"/>
            <w:bottom w:val="nil"/>
          </w:tcBorders>
        </w:tcPr>
        <w:p w:rsidR="00493CD5" w:rsidRPr="00AF23FB" w:rsidRDefault="00493CD5" w:rsidP="00CB3327">
          <w:pPr>
            <w:spacing w:before="120"/>
            <w:jc w:val="right"/>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6E69A3">
            <w:rPr>
              <w:noProof/>
              <w:sz w:val="16"/>
              <w:szCs w:val="16"/>
            </w:rPr>
            <w:t>3</w:t>
          </w:r>
          <w:r w:rsidRPr="00AF23FB">
            <w:rPr>
              <w:sz w:val="16"/>
              <w:szCs w:val="16"/>
            </w:rPr>
            <w:fldChar w:fldCharType="end"/>
          </w:r>
        </w:p>
      </w:tc>
    </w:tr>
  </w:tbl>
  <w:p w:rsidR="00493CD5" w:rsidRPr="005C58EB" w:rsidRDefault="00493CD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1C" w:rsidRDefault="00AB631C">
      <w:r>
        <w:separator/>
      </w:r>
    </w:p>
  </w:footnote>
  <w:footnote w:type="continuationSeparator" w:id="0">
    <w:p w:rsidR="00AB631C" w:rsidRDefault="00AB6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4"/>
  <w:doNotHyphenateCaps/>
  <w:evenAndOddHeaders/>
  <w:drawingGridHorizontalSpacing w:val="11"/>
  <w:drawingGridVerticalSpacing w:val="1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0071"/>
    <w:rsid w:val="000034A9"/>
    <w:rsid w:val="000034E4"/>
    <w:rsid w:val="000049E7"/>
    <w:rsid w:val="000053A6"/>
    <w:rsid w:val="00007FBD"/>
    <w:rsid w:val="00013950"/>
    <w:rsid w:val="0001599D"/>
    <w:rsid w:val="00017AE7"/>
    <w:rsid w:val="00021C9B"/>
    <w:rsid w:val="00023215"/>
    <w:rsid w:val="00023B4C"/>
    <w:rsid w:val="000261BF"/>
    <w:rsid w:val="000267D7"/>
    <w:rsid w:val="0003083D"/>
    <w:rsid w:val="00034AEC"/>
    <w:rsid w:val="0004045B"/>
    <w:rsid w:val="00040BA0"/>
    <w:rsid w:val="000439EE"/>
    <w:rsid w:val="00043FF5"/>
    <w:rsid w:val="000443BC"/>
    <w:rsid w:val="00044AD5"/>
    <w:rsid w:val="00046A38"/>
    <w:rsid w:val="000471FF"/>
    <w:rsid w:val="00055943"/>
    <w:rsid w:val="00057A0F"/>
    <w:rsid w:val="00060D51"/>
    <w:rsid w:val="00063B99"/>
    <w:rsid w:val="000664C2"/>
    <w:rsid w:val="00066F42"/>
    <w:rsid w:val="00067EB3"/>
    <w:rsid w:val="00073936"/>
    <w:rsid w:val="000748B0"/>
    <w:rsid w:val="00075881"/>
    <w:rsid w:val="000766D4"/>
    <w:rsid w:val="00076873"/>
    <w:rsid w:val="000803DD"/>
    <w:rsid w:val="00087B68"/>
    <w:rsid w:val="00087C1B"/>
    <w:rsid w:val="0009529F"/>
    <w:rsid w:val="000A2DB5"/>
    <w:rsid w:val="000A48A2"/>
    <w:rsid w:val="000A6A3B"/>
    <w:rsid w:val="000B2C58"/>
    <w:rsid w:val="000B3802"/>
    <w:rsid w:val="000C1BE1"/>
    <w:rsid w:val="000C1DD3"/>
    <w:rsid w:val="000C4CBC"/>
    <w:rsid w:val="000C784B"/>
    <w:rsid w:val="000C7ABF"/>
    <w:rsid w:val="000C7CC4"/>
    <w:rsid w:val="000D2620"/>
    <w:rsid w:val="000D32E9"/>
    <w:rsid w:val="000D4726"/>
    <w:rsid w:val="000D53E2"/>
    <w:rsid w:val="000D6957"/>
    <w:rsid w:val="000D7A37"/>
    <w:rsid w:val="000E0B38"/>
    <w:rsid w:val="000E1208"/>
    <w:rsid w:val="000E1739"/>
    <w:rsid w:val="000E4058"/>
    <w:rsid w:val="000E457C"/>
    <w:rsid w:val="000E4DEF"/>
    <w:rsid w:val="000F126A"/>
    <w:rsid w:val="000F4AF7"/>
    <w:rsid w:val="000F57B1"/>
    <w:rsid w:val="0010039D"/>
    <w:rsid w:val="001034CA"/>
    <w:rsid w:val="001057A8"/>
    <w:rsid w:val="00106A6E"/>
    <w:rsid w:val="00110976"/>
    <w:rsid w:val="00110F39"/>
    <w:rsid w:val="001148A4"/>
    <w:rsid w:val="00120DC5"/>
    <w:rsid w:val="001245F5"/>
    <w:rsid w:val="00124E8D"/>
    <w:rsid w:val="00130CE3"/>
    <w:rsid w:val="00130D77"/>
    <w:rsid w:val="00132AB5"/>
    <w:rsid w:val="00133AC4"/>
    <w:rsid w:val="0014018B"/>
    <w:rsid w:val="001417E5"/>
    <w:rsid w:val="00146F50"/>
    <w:rsid w:val="00151D72"/>
    <w:rsid w:val="00155E60"/>
    <w:rsid w:val="001577B8"/>
    <w:rsid w:val="00160D2D"/>
    <w:rsid w:val="00161C21"/>
    <w:rsid w:val="00161D65"/>
    <w:rsid w:val="00162FC7"/>
    <w:rsid w:val="0016393C"/>
    <w:rsid w:val="00163ABD"/>
    <w:rsid w:val="00165B24"/>
    <w:rsid w:val="00167D23"/>
    <w:rsid w:val="00172BA5"/>
    <w:rsid w:val="00174C07"/>
    <w:rsid w:val="00174E1D"/>
    <w:rsid w:val="00175CCA"/>
    <w:rsid w:val="00175D07"/>
    <w:rsid w:val="00175E04"/>
    <w:rsid w:val="00176BA3"/>
    <w:rsid w:val="00177684"/>
    <w:rsid w:val="00180434"/>
    <w:rsid w:val="001809CA"/>
    <w:rsid w:val="0018121E"/>
    <w:rsid w:val="0018679C"/>
    <w:rsid w:val="001872D8"/>
    <w:rsid w:val="00191987"/>
    <w:rsid w:val="00194F9C"/>
    <w:rsid w:val="0019546C"/>
    <w:rsid w:val="00196304"/>
    <w:rsid w:val="001A2928"/>
    <w:rsid w:val="001A305E"/>
    <w:rsid w:val="001A3FF7"/>
    <w:rsid w:val="001A5008"/>
    <w:rsid w:val="001A77B5"/>
    <w:rsid w:val="001B1519"/>
    <w:rsid w:val="001B1F89"/>
    <w:rsid w:val="001B2E96"/>
    <w:rsid w:val="001B376E"/>
    <w:rsid w:val="001B416B"/>
    <w:rsid w:val="001B4B42"/>
    <w:rsid w:val="001C080E"/>
    <w:rsid w:val="001C094C"/>
    <w:rsid w:val="001C0DC6"/>
    <w:rsid w:val="001C19D0"/>
    <w:rsid w:val="001C23EB"/>
    <w:rsid w:val="001C2F8B"/>
    <w:rsid w:val="001C31AD"/>
    <w:rsid w:val="001C3719"/>
    <w:rsid w:val="001C38FC"/>
    <w:rsid w:val="001C53BD"/>
    <w:rsid w:val="001D23DB"/>
    <w:rsid w:val="001E008D"/>
    <w:rsid w:val="001E0342"/>
    <w:rsid w:val="001E24FA"/>
    <w:rsid w:val="001E2578"/>
    <w:rsid w:val="001E665F"/>
    <w:rsid w:val="001F2E55"/>
    <w:rsid w:val="001F3ABF"/>
    <w:rsid w:val="001F6480"/>
    <w:rsid w:val="002002E6"/>
    <w:rsid w:val="002005FB"/>
    <w:rsid w:val="00201EC0"/>
    <w:rsid w:val="00204857"/>
    <w:rsid w:val="00205188"/>
    <w:rsid w:val="00205B73"/>
    <w:rsid w:val="002109EE"/>
    <w:rsid w:val="00210AC6"/>
    <w:rsid w:val="0021187F"/>
    <w:rsid w:val="00212808"/>
    <w:rsid w:val="00214D2C"/>
    <w:rsid w:val="00220ABD"/>
    <w:rsid w:val="00225696"/>
    <w:rsid w:val="00231C1A"/>
    <w:rsid w:val="00233606"/>
    <w:rsid w:val="002338F2"/>
    <w:rsid w:val="00233D2F"/>
    <w:rsid w:val="00237399"/>
    <w:rsid w:val="00243857"/>
    <w:rsid w:val="00244503"/>
    <w:rsid w:val="00246009"/>
    <w:rsid w:val="002460A5"/>
    <w:rsid w:val="00246177"/>
    <w:rsid w:val="00247186"/>
    <w:rsid w:val="00254875"/>
    <w:rsid w:val="00256318"/>
    <w:rsid w:val="00256399"/>
    <w:rsid w:val="002577D1"/>
    <w:rsid w:val="00266953"/>
    <w:rsid w:val="0027099B"/>
    <w:rsid w:val="00270CA6"/>
    <w:rsid w:val="002714E6"/>
    <w:rsid w:val="00275D4F"/>
    <w:rsid w:val="00277662"/>
    <w:rsid w:val="00277F75"/>
    <w:rsid w:val="002806DC"/>
    <w:rsid w:val="002814A0"/>
    <w:rsid w:val="002826B6"/>
    <w:rsid w:val="00284F57"/>
    <w:rsid w:val="00285A7E"/>
    <w:rsid w:val="00285B0F"/>
    <w:rsid w:val="0028769D"/>
    <w:rsid w:val="0029008C"/>
    <w:rsid w:val="002961F4"/>
    <w:rsid w:val="002973A2"/>
    <w:rsid w:val="002A3110"/>
    <w:rsid w:val="002A7A06"/>
    <w:rsid w:val="002B01FB"/>
    <w:rsid w:val="002B54CB"/>
    <w:rsid w:val="002B7024"/>
    <w:rsid w:val="002C2C17"/>
    <w:rsid w:val="002C4EC4"/>
    <w:rsid w:val="002C5654"/>
    <w:rsid w:val="002C6218"/>
    <w:rsid w:val="002D6BA4"/>
    <w:rsid w:val="002E2049"/>
    <w:rsid w:val="002E619E"/>
    <w:rsid w:val="002E67FE"/>
    <w:rsid w:val="002E7BD2"/>
    <w:rsid w:val="002F1F25"/>
    <w:rsid w:val="002F3B5A"/>
    <w:rsid w:val="002F575B"/>
    <w:rsid w:val="002F723C"/>
    <w:rsid w:val="002F7471"/>
    <w:rsid w:val="003014F9"/>
    <w:rsid w:val="00303366"/>
    <w:rsid w:val="0030344F"/>
    <w:rsid w:val="00305331"/>
    <w:rsid w:val="0031163C"/>
    <w:rsid w:val="0031664D"/>
    <w:rsid w:val="00334507"/>
    <w:rsid w:val="00337626"/>
    <w:rsid w:val="00341AE4"/>
    <w:rsid w:val="00345F38"/>
    <w:rsid w:val="00346534"/>
    <w:rsid w:val="003472A6"/>
    <w:rsid w:val="00357146"/>
    <w:rsid w:val="0036003E"/>
    <w:rsid w:val="003620E3"/>
    <w:rsid w:val="00362392"/>
    <w:rsid w:val="00362875"/>
    <w:rsid w:val="0036561A"/>
    <w:rsid w:val="00367ABC"/>
    <w:rsid w:val="003712D8"/>
    <w:rsid w:val="0037335D"/>
    <w:rsid w:val="00374EB9"/>
    <w:rsid w:val="00377573"/>
    <w:rsid w:val="003778DB"/>
    <w:rsid w:val="00377EA2"/>
    <w:rsid w:val="0038067D"/>
    <w:rsid w:val="00380AD2"/>
    <w:rsid w:val="003811AA"/>
    <w:rsid w:val="00382772"/>
    <w:rsid w:val="00384759"/>
    <w:rsid w:val="003868DB"/>
    <w:rsid w:val="00386CE6"/>
    <w:rsid w:val="003870B9"/>
    <w:rsid w:val="00390467"/>
    <w:rsid w:val="00390972"/>
    <w:rsid w:val="00392B6B"/>
    <w:rsid w:val="003948EC"/>
    <w:rsid w:val="00395898"/>
    <w:rsid w:val="00395B71"/>
    <w:rsid w:val="003A2F46"/>
    <w:rsid w:val="003A742D"/>
    <w:rsid w:val="003B2E9E"/>
    <w:rsid w:val="003B3064"/>
    <w:rsid w:val="003B602E"/>
    <w:rsid w:val="003C08A8"/>
    <w:rsid w:val="003C4653"/>
    <w:rsid w:val="003C4EB0"/>
    <w:rsid w:val="003C52A9"/>
    <w:rsid w:val="003C6D85"/>
    <w:rsid w:val="003D37B1"/>
    <w:rsid w:val="003D4FFC"/>
    <w:rsid w:val="003D685B"/>
    <w:rsid w:val="003E06F2"/>
    <w:rsid w:val="003E23E7"/>
    <w:rsid w:val="003E3C34"/>
    <w:rsid w:val="003E6600"/>
    <w:rsid w:val="003F120F"/>
    <w:rsid w:val="003F3CB9"/>
    <w:rsid w:val="00400BED"/>
    <w:rsid w:val="00403A1C"/>
    <w:rsid w:val="0041219D"/>
    <w:rsid w:val="00412B5A"/>
    <w:rsid w:val="00413011"/>
    <w:rsid w:val="00413AB8"/>
    <w:rsid w:val="00416599"/>
    <w:rsid w:val="00416D14"/>
    <w:rsid w:val="0041739D"/>
    <w:rsid w:val="004207A1"/>
    <w:rsid w:val="004207D9"/>
    <w:rsid w:val="00421C2C"/>
    <w:rsid w:val="00423590"/>
    <w:rsid w:val="0043154C"/>
    <w:rsid w:val="00431B92"/>
    <w:rsid w:val="00431CD2"/>
    <w:rsid w:val="00432A9E"/>
    <w:rsid w:val="00432F75"/>
    <w:rsid w:val="00433D51"/>
    <w:rsid w:val="00435E65"/>
    <w:rsid w:val="00436886"/>
    <w:rsid w:val="00437370"/>
    <w:rsid w:val="00440054"/>
    <w:rsid w:val="00441AE6"/>
    <w:rsid w:val="00443CB3"/>
    <w:rsid w:val="0044671B"/>
    <w:rsid w:val="004510FD"/>
    <w:rsid w:val="00457A57"/>
    <w:rsid w:val="00460D4D"/>
    <w:rsid w:val="004621A2"/>
    <w:rsid w:val="00462270"/>
    <w:rsid w:val="00462CEE"/>
    <w:rsid w:val="004704E5"/>
    <w:rsid w:val="00476072"/>
    <w:rsid w:val="00482144"/>
    <w:rsid w:val="00482895"/>
    <w:rsid w:val="004835AE"/>
    <w:rsid w:val="00493C46"/>
    <w:rsid w:val="00493CD5"/>
    <w:rsid w:val="004946DA"/>
    <w:rsid w:val="004958A5"/>
    <w:rsid w:val="00495AFE"/>
    <w:rsid w:val="004974D6"/>
    <w:rsid w:val="004A189B"/>
    <w:rsid w:val="004A3C5E"/>
    <w:rsid w:val="004A3F92"/>
    <w:rsid w:val="004A4AED"/>
    <w:rsid w:val="004A5992"/>
    <w:rsid w:val="004B0A92"/>
    <w:rsid w:val="004B49A9"/>
    <w:rsid w:val="004B4CCA"/>
    <w:rsid w:val="004B56AF"/>
    <w:rsid w:val="004B6A06"/>
    <w:rsid w:val="004C2D9B"/>
    <w:rsid w:val="004C39C2"/>
    <w:rsid w:val="004C63BF"/>
    <w:rsid w:val="004D0462"/>
    <w:rsid w:val="004D0798"/>
    <w:rsid w:val="004D1357"/>
    <w:rsid w:val="004D2A23"/>
    <w:rsid w:val="004D4105"/>
    <w:rsid w:val="004D6373"/>
    <w:rsid w:val="004D648E"/>
    <w:rsid w:val="004E03F4"/>
    <w:rsid w:val="004E0CCB"/>
    <w:rsid w:val="004E266D"/>
    <w:rsid w:val="004E2A2C"/>
    <w:rsid w:val="004E4946"/>
    <w:rsid w:val="004E5ADD"/>
    <w:rsid w:val="004F0F73"/>
    <w:rsid w:val="004F4449"/>
    <w:rsid w:val="004F4876"/>
    <w:rsid w:val="004F4A78"/>
    <w:rsid w:val="004F5F83"/>
    <w:rsid w:val="004F612F"/>
    <w:rsid w:val="004F62AE"/>
    <w:rsid w:val="00500F5E"/>
    <w:rsid w:val="00502C16"/>
    <w:rsid w:val="00503166"/>
    <w:rsid w:val="005044DC"/>
    <w:rsid w:val="00504807"/>
    <w:rsid w:val="005062DF"/>
    <w:rsid w:val="00506D55"/>
    <w:rsid w:val="00507B65"/>
    <w:rsid w:val="00510BDA"/>
    <w:rsid w:val="0051192E"/>
    <w:rsid w:val="00513623"/>
    <w:rsid w:val="00513FAF"/>
    <w:rsid w:val="00516896"/>
    <w:rsid w:val="0052041A"/>
    <w:rsid w:val="0052044E"/>
    <w:rsid w:val="005208E4"/>
    <w:rsid w:val="00520A8A"/>
    <w:rsid w:val="00520D45"/>
    <w:rsid w:val="0052221E"/>
    <w:rsid w:val="00523583"/>
    <w:rsid w:val="00523EEB"/>
    <w:rsid w:val="005243E8"/>
    <w:rsid w:val="00524691"/>
    <w:rsid w:val="00527173"/>
    <w:rsid w:val="0053192E"/>
    <w:rsid w:val="005452E1"/>
    <w:rsid w:val="0054652E"/>
    <w:rsid w:val="00546D94"/>
    <w:rsid w:val="00547280"/>
    <w:rsid w:val="00557DB8"/>
    <w:rsid w:val="005603F7"/>
    <w:rsid w:val="005605E2"/>
    <w:rsid w:val="00563780"/>
    <w:rsid w:val="00564063"/>
    <w:rsid w:val="00567ABC"/>
    <w:rsid w:val="00570E04"/>
    <w:rsid w:val="0058196E"/>
    <w:rsid w:val="005831F5"/>
    <w:rsid w:val="00585FCA"/>
    <w:rsid w:val="00591F3B"/>
    <w:rsid w:val="00592C13"/>
    <w:rsid w:val="00595754"/>
    <w:rsid w:val="00596A18"/>
    <w:rsid w:val="00597702"/>
    <w:rsid w:val="005A28AF"/>
    <w:rsid w:val="005B323C"/>
    <w:rsid w:val="005B6E72"/>
    <w:rsid w:val="005C10E4"/>
    <w:rsid w:val="005C4034"/>
    <w:rsid w:val="005C40DD"/>
    <w:rsid w:val="005C58EB"/>
    <w:rsid w:val="005C6B4C"/>
    <w:rsid w:val="005D2746"/>
    <w:rsid w:val="005D79E8"/>
    <w:rsid w:val="005E1D06"/>
    <w:rsid w:val="005E232F"/>
    <w:rsid w:val="005E75B7"/>
    <w:rsid w:val="005F408E"/>
    <w:rsid w:val="005F68E1"/>
    <w:rsid w:val="005F68E6"/>
    <w:rsid w:val="005F6D50"/>
    <w:rsid w:val="005F706E"/>
    <w:rsid w:val="006024D6"/>
    <w:rsid w:val="006046B5"/>
    <w:rsid w:val="006063F3"/>
    <w:rsid w:val="00611B35"/>
    <w:rsid w:val="006149ED"/>
    <w:rsid w:val="00614C60"/>
    <w:rsid w:val="006164EA"/>
    <w:rsid w:val="006203B1"/>
    <w:rsid w:val="00620BE5"/>
    <w:rsid w:val="0062269D"/>
    <w:rsid w:val="00624AE1"/>
    <w:rsid w:val="00626DB8"/>
    <w:rsid w:val="006272D3"/>
    <w:rsid w:val="00627E99"/>
    <w:rsid w:val="006351F0"/>
    <w:rsid w:val="00643ED7"/>
    <w:rsid w:val="006444DB"/>
    <w:rsid w:val="00646A6B"/>
    <w:rsid w:val="00651014"/>
    <w:rsid w:val="00651333"/>
    <w:rsid w:val="00655270"/>
    <w:rsid w:val="00655C6C"/>
    <w:rsid w:val="00662ABE"/>
    <w:rsid w:val="00662AF2"/>
    <w:rsid w:val="006669BD"/>
    <w:rsid w:val="006670F7"/>
    <w:rsid w:val="0067052F"/>
    <w:rsid w:val="006707A4"/>
    <w:rsid w:val="0067119B"/>
    <w:rsid w:val="00672093"/>
    <w:rsid w:val="0067357E"/>
    <w:rsid w:val="0067636C"/>
    <w:rsid w:val="00676E1B"/>
    <w:rsid w:val="00677A51"/>
    <w:rsid w:val="00686FCA"/>
    <w:rsid w:val="00687AA9"/>
    <w:rsid w:val="00687D62"/>
    <w:rsid w:val="006907C1"/>
    <w:rsid w:val="00690999"/>
    <w:rsid w:val="00690DF8"/>
    <w:rsid w:val="00692DC4"/>
    <w:rsid w:val="00694D9C"/>
    <w:rsid w:val="00697BF7"/>
    <w:rsid w:val="006A40AB"/>
    <w:rsid w:val="006A7E8E"/>
    <w:rsid w:val="006B0492"/>
    <w:rsid w:val="006B339F"/>
    <w:rsid w:val="006B4529"/>
    <w:rsid w:val="006B4D05"/>
    <w:rsid w:val="006B52DB"/>
    <w:rsid w:val="006B5A54"/>
    <w:rsid w:val="006B7517"/>
    <w:rsid w:val="006B7937"/>
    <w:rsid w:val="006C078D"/>
    <w:rsid w:val="006C50F2"/>
    <w:rsid w:val="006C6640"/>
    <w:rsid w:val="006D01D0"/>
    <w:rsid w:val="006D15A0"/>
    <w:rsid w:val="006D362E"/>
    <w:rsid w:val="006D50C8"/>
    <w:rsid w:val="006E29DE"/>
    <w:rsid w:val="006E3135"/>
    <w:rsid w:val="006E4AD6"/>
    <w:rsid w:val="006E5DB8"/>
    <w:rsid w:val="006E653F"/>
    <w:rsid w:val="006E69A3"/>
    <w:rsid w:val="006E6B4C"/>
    <w:rsid w:val="006E7AF4"/>
    <w:rsid w:val="006F19F9"/>
    <w:rsid w:val="006F35D2"/>
    <w:rsid w:val="006F4F1C"/>
    <w:rsid w:val="006F63E6"/>
    <w:rsid w:val="006F7059"/>
    <w:rsid w:val="006F712C"/>
    <w:rsid w:val="00704508"/>
    <w:rsid w:val="00706F55"/>
    <w:rsid w:val="007074DC"/>
    <w:rsid w:val="00707A41"/>
    <w:rsid w:val="0071482E"/>
    <w:rsid w:val="00722F9B"/>
    <w:rsid w:val="00723EB0"/>
    <w:rsid w:val="007251CE"/>
    <w:rsid w:val="00730B71"/>
    <w:rsid w:val="0073113A"/>
    <w:rsid w:val="007312D6"/>
    <w:rsid w:val="007327DD"/>
    <w:rsid w:val="007430BB"/>
    <w:rsid w:val="007431B3"/>
    <w:rsid w:val="00743FDD"/>
    <w:rsid w:val="0075006A"/>
    <w:rsid w:val="00750CA0"/>
    <w:rsid w:val="007513E5"/>
    <w:rsid w:val="007515CD"/>
    <w:rsid w:val="00751B92"/>
    <w:rsid w:val="00751BA2"/>
    <w:rsid w:val="00751EC2"/>
    <w:rsid w:val="00752E82"/>
    <w:rsid w:val="00753F7C"/>
    <w:rsid w:val="00754837"/>
    <w:rsid w:val="0075497F"/>
    <w:rsid w:val="00767C6C"/>
    <w:rsid w:val="007706EE"/>
    <w:rsid w:val="0077107B"/>
    <w:rsid w:val="0077161C"/>
    <w:rsid w:val="007722B2"/>
    <w:rsid w:val="0077734A"/>
    <w:rsid w:val="00785B62"/>
    <w:rsid w:val="00787581"/>
    <w:rsid w:val="00791F5B"/>
    <w:rsid w:val="00793124"/>
    <w:rsid w:val="00796D48"/>
    <w:rsid w:val="007A1F5A"/>
    <w:rsid w:val="007A231F"/>
    <w:rsid w:val="007A4A07"/>
    <w:rsid w:val="007A551E"/>
    <w:rsid w:val="007B2F2C"/>
    <w:rsid w:val="007C07D3"/>
    <w:rsid w:val="007C4D1D"/>
    <w:rsid w:val="007C4DE7"/>
    <w:rsid w:val="007C56DA"/>
    <w:rsid w:val="007C689F"/>
    <w:rsid w:val="007D3AA8"/>
    <w:rsid w:val="007D4AF9"/>
    <w:rsid w:val="007D5B2C"/>
    <w:rsid w:val="007D7BD4"/>
    <w:rsid w:val="007E2A9A"/>
    <w:rsid w:val="007E2BD1"/>
    <w:rsid w:val="007E3FD2"/>
    <w:rsid w:val="007E4E6C"/>
    <w:rsid w:val="007E6E68"/>
    <w:rsid w:val="007F058D"/>
    <w:rsid w:val="007F1EB5"/>
    <w:rsid w:val="007F2E03"/>
    <w:rsid w:val="007F34C8"/>
    <w:rsid w:val="007F5A19"/>
    <w:rsid w:val="007F63EA"/>
    <w:rsid w:val="008015EB"/>
    <w:rsid w:val="008033B8"/>
    <w:rsid w:val="008114A9"/>
    <w:rsid w:val="008118E2"/>
    <w:rsid w:val="00811CA6"/>
    <w:rsid w:val="0081236A"/>
    <w:rsid w:val="00812EC1"/>
    <w:rsid w:val="00813621"/>
    <w:rsid w:val="00813DB7"/>
    <w:rsid w:val="00814B4C"/>
    <w:rsid w:val="008174D7"/>
    <w:rsid w:val="00822CBB"/>
    <w:rsid w:val="008278B9"/>
    <w:rsid w:val="00840E5A"/>
    <w:rsid w:val="00842531"/>
    <w:rsid w:val="0084253A"/>
    <w:rsid w:val="00845491"/>
    <w:rsid w:val="00850DA0"/>
    <w:rsid w:val="00851B2B"/>
    <w:rsid w:val="00856A49"/>
    <w:rsid w:val="008577B3"/>
    <w:rsid w:val="00863BD0"/>
    <w:rsid w:val="00865950"/>
    <w:rsid w:val="0087146C"/>
    <w:rsid w:val="008728C7"/>
    <w:rsid w:val="00875065"/>
    <w:rsid w:val="008754DA"/>
    <w:rsid w:val="008776C0"/>
    <w:rsid w:val="008819FE"/>
    <w:rsid w:val="0089187A"/>
    <w:rsid w:val="00892C0C"/>
    <w:rsid w:val="008A2E23"/>
    <w:rsid w:val="008B5159"/>
    <w:rsid w:val="008B6D92"/>
    <w:rsid w:val="008B6E10"/>
    <w:rsid w:val="008C22D5"/>
    <w:rsid w:val="008C3B72"/>
    <w:rsid w:val="008C44B8"/>
    <w:rsid w:val="008D0328"/>
    <w:rsid w:val="008D69F1"/>
    <w:rsid w:val="008D7F7A"/>
    <w:rsid w:val="008E0361"/>
    <w:rsid w:val="008E0687"/>
    <w:rsid w:val="008E2125"/>
    <w:rsid w:val="008E5FDA"/>
    <w:rsid w:val="008E7A21"/>
    <w:rsid w:val="00903DE7"/>
    <w:rsid w:val="00904BEC"/>
    <w:rsid w:val="0090577F"/>
    <w:rsid w:val="00906511"/>
    <w:rsid w:val="00910446"/>
    <w:rsid w:val="00913607"/>
    <w:rsid w:val="00920F5C"/>
    <w:rsid w:val="0092477D"/>
    <w:rsid w:val="00925410"/>
    <w:rsid w:val="009324E6"/>
    <w:rsid w:val="009328A6"/>
    <w:rsid w:val="00933260"/>
    <w:rsid w:val="00935F76"/>
    <w:rsid w:val="0093660D"/>
    <w:rsid w:val="00936FD5"/>
    <w:rsid w:val="00940DEA"/>
    <w:rsid w:val="00941E16"/>
    <w:rsid w:val="0094203E"/>
    <w:rsid w:val="009430D1"/>
    <w:rsid w:val="00946629"/>
    <w:rsid w:val="00946A00"/>
    <w:rsid w:val="00950772"/>
    <w:rsid w:val="00950AC1"/>
    <w:rsid w:val="00952142"/>
    <w:rsid w:val="009524C3"/>
    <w:rsid w:val="00952F3D"/>
    <w:rsid w:val="00953B72"/>
    <w:rsid w:val="00955404"/>
    <w:rsid w:val="0095540F"/>
    <w:rsid w:val="00957B6A"/>
    <w:rsid w:val="009639E9"/>
    <w:rsid w:val="009640F2"/>
    <w:rsid w:val="0096647B"/>
    <w:rsid w:val="00973F22"/>
    <w:rsid w:val="00980896"/>
    <w:rsid w:val="009822A0"/>
    <w:rsid w:val="00983FA1"/>
    <w:rsid w:val="00984A89"/>
    <w:rsid w:val="0098501D"/>
    <w:rsid w:val="00986DC1"/>
    <w:rsid w:val="009917E3"/>
    <w:rsid w:val="00996FBB"/>
    <w:rsid w:val="009973F7"/>
    <w:rsid w:val="00997843"/>
    <w:rsid w:val="009A31E3"/>
    <w:rsid w:val="009A3AEC"/>
    <w:rsid w:val="009A408C"/>
    <w:rsid w:val="009B0771"/>
    <w:rsid w:val="009B4153"/>
    <w:rsid w:val="009B4400"/>
    <w:rsid w:val="009B74D1"/>
    <w:rsid w:val="009C06F4"/>
    <w:rsid w:val="009C2AFD"/>
    <w:rsid w:val="009C5794"/>
    <w:rsid w:val="009D28E8"/>
    <w:rsid w:val="009D2F49"/>
    <w:rsid w:val="009D3151"/>
    <w:rsid w:val="009D4E86"/>
    <w:rsid w:val="009D648E"/>
    <w:rsid w:val="009E2639"/>
    <w:rsid w:val="009E2AF2"/>
    <w:rsid w:val="009E336C"/>
    <w:rsid w:val="009E4B29"/>
    <w:rsid w:val="009E4CF4"/>
    <w:rsid w:val="009E4F9B"/>
    <w:rsid w:val="009E655D"/>
    <w:rsid w:val="009F044C"/>
    <w:rsid w:val="009F11AD"/>
    <w:rsid w:val="009F7393"/>
    <w:rsid w:val="00A01C8B"/>
    <w:rsid w:val="00A01E04"/>
    <w:rsid w:val="00A061C6"/>
    <w:rsid w:val="00A10EB9"/>
    <w:rsid w:val="00A16495"/>
    <w:rsid w:val="00A1772E"/>
    <w:rsid w:val="00A20D67"/>
    <w:rsid w:val="00A21344"/>
    <w:rsid w:val="00A24D49"/>
    <w:rsid w:val="00A25E54"/>
    <w:rsid w:val="00A50B8E"/>
    <w:rsid w:val="00A55339"/>
    <w:rsid w:val="00A56CB2"/>
    <w:rsid w:val="00A570F7"/>
    <w:rsid w:val="00A605C7"/>
    <w:rsid w:val="00A609E9"/>
    <w:rsid w:val="00A61C2D"/>
    <w:rsid w:val="00A62320"/>
    <w:rsid w:val="00A62452"/>
    <w:rsid w:val="00A62EC1"/>
    <w:rsid w:val="00A7271D"/>
    <w:rsid w:val="00A74C66"/>
    <w:rsid w:val="00A7556A"/>
    <w:rsid w:val="00A75CF8"/>
    <w:rsid w:val="00A764C6"/>
    <w:rsid w:val="00A82348"/>
    <w:rsid w:val="00A84CB0"/>
    <w:rsid w:val="00A84F98"/>
    <w:rsid w:val="00A86745"/>
    <w:rsid w:val="00A9046A"/>
    <w:rsid w:val="00A91736"/>
    <w:rsid w:val="00A921D9"/>
    <w:rsid w:val="00A92638"/>
    <w:rsid w:val="00A929A5"/>
    <w:rsid w:val="00A933FF"/>
    <w:rsid w:val="00A93E93"/>
    <w:rsid w:val="00A950A0"/>
    <w:rsid w:val="00A95833"/>
    <w:rsid w:val="00AA0E77"/>
    <w:rsid w:val="00AA54DC"/>
    <w:rsid w:val="00AA6448"/>
    <w:rsid w:val="00AA65BB"/>
    <w:rsid w:val="00AB0F5F"/>
    <w:rsid w:val="00AB4CE9"/>
    <w:rsid w:val="00AB631C"/>
    <w:rsid w:val="00AC3594"/>
    <w:rsid w:val="00AC43D9"/>
    <w:rsid w:val="00AC467A"/>
    <w:rsid w:val="00AC703A"/>
    <w:rsid w:val="00AD15BC"/>
    <w:rsid w:val="00AD1BB9"/>
    <w:rsid w:val="00AD2E5F"/>
    <w:rsid w:val="00AE2ACD"/>
    <w:rsid w:val="00AE36EB"/>
    <w:rsid w:val="00AE4134"/>
    <w:rsid w:val="00AE4E8D"/>
    <w:rsid w:val="00AE780C"/>
    <w:rsid w:val="00AF15E8"/>
    <w:rsid w:val="00AF23FB"/>
    <w:rsid w:val="00AF2B45"/>
    <w:rsid w:val="00B02624"/>
    <w:rsid w:val="00B02D0F"/>
    <w:rsid w:val="00B05DFA"/>
    <w:rsid w:val="00B10603"/>
    <w:rsid w:val="00B130CC"/>
    <w:rsid w:val="00B156EF"/>
    <w:rsid w:val="00B17B15"/>
    <w:rsid w:val="00B211BF"/>
    <w:rsid w:val="00B22014"/>
    <w:rsid w:val="00B23848"/>
    <w:rsid w:val="00B244DC"/>
    <w:rsid w:val="00B26B75"/>
    <w:rsid w:val="00B27091"/>
    <w:rsid w:val="00B2795C"/>
    <w:rsid w:val="00B30C50"/>
    <w:rsid w:val="00B32A22"/>
    <w:rsid w:val="00B34198"/>
    <w:rsid w:val="00B358E6"/>
    <w:rsid w:val="00B35F2A"/>
    <w:rsid w:val="00B36A95"/>
    <w:rsid w:val="00B4577D"/>
    <w:rsid w:val="00B4700B"/>
    <w:rsid w:val="00B4738A"/>
    <w:rsid w:val="00B47D63"/>
    <w:rsid w:val="00B50286"/>
    <w:rsid w:val="00B550CB"/>
    <w:rsid w:val="00B55D7E"/>
    <w:rsid w:val="00B60C8C"/>
    <w:rsid w:val="00B62F12"/>
    <w:rsid w:val="00B63455"/>
    <w:rsid w:val="00B634A6"/>
    <w:rsid w:val="00B64573"/>
    <w:rsid w:val="00B65ABB"/>
    <w:rsid w:val="00B71FD5"/>
    <w:rsid w:val="00B7661A"/>
    <w:rsid w:val="00B8306B"/>
    <w:rsid w:val="00B8650C"/>
    <w:rsid w:val="00B86A39"/>
    <w:rsid w:val="00B8779F"/>
    <w:rsid w:val="00B910D8"/>
    <w:rsid w:val="00B916A3"/>
    <w:rsid w:val="00B95348"/>
    <w:rsid w:val="00B967F5"/>
    <w:rsid w:val="00BA2A4A"/>
    <w:rsid w:val="00BA4D95"/>
    <w:rsid w:val="00BA50A8"/>
    <w:rsid w:val="00BA6296"/>
    <w:rsid w:val="00BA6321"/>
    <w:rsid w:val="00BB38EB"/>
    <w:rsid w:val="00BB6A8F"/>
    <w:rsid w:val="00BC2810"/>
    <w:rsid w:val="00BC5169"/>
    <w:rsid w:val="00BC5F23"/>
    <w:rsid w:val="00BC7440"/>
    <w:rsid w:val="00BE0489"/>
    <w:rsid w:val="00BE2839"/>
    <w:rsid w:val="00BE366A"/>
    <w:rsid w:val="00BF3411"/>
    <w:rsid w:val="00C0316A"/>
    <w:rsid w:val="00C031FA"/>
    <w:rsid w:val="00C0539B"/>
    <w:rsid w:val="00C12159"/>
    <w:rsid w:val="00C1239A"/>
    <w:rsid w:val="00C127A9"/>
    <w:rsid w:val="00C127B2"/>
    <w:rsid w:val="00C13D19"/>
    <w:rsid w:val="00C149A4"/>
    <w:rsid w:val="00C14CCA"/>
    <w:rsid w:val="00C153BD"/>
    <w:rsid w:val="00C16831"/>
    <w:rsid w:val="00C17FF1"/>
    <w:rsid w:val="00C22089"/>
    <w:rsid w:val="00C25926"/>
    <w:rsid w:val="00C27E77"/>
    <w:rsid w:val="00C31057"/>
    <w:rsid w:val="00C32249"/>
    <w:rsid w:val="00C32AA1"/>
    <w:rsid w:val="00C32AB8"/>
    <w:rsid w:val="00C3359D"/>
    <w:rsid w:val="00C37F67"/>
    <w:rsid w:val="00C418F4"/>
    <w:rsid w:val="00C52B20"/>
    <w:rsid w:val="00C5318A"/>
    <w:rsid w:val="00C55236"/>
    <w:rsid w:val="00C62862"/>
    <w:rsid w:val="00C63242"/>
    <w:rsid w:val="00C6412F"/>
    <w:rsid w:val="00C66556"/>
    <w:rsid w:val="00C66CF1"/>
    <w:rsid w:val="00C67855"/>
    <w:rsid w:val="00C7452A"/>
    <w:rsid w:val="00C748FB"/>
    <w:rsid w:val="00C76AC2"/>
    <w:rsid w:val="00C82551"/>
    <w:rsid w:val="00C85F5A"/>
    <w:rsid w:val="00C962F3"/>
    <w:rsid w:val="00C9704D"/>
    <w:rsid w:val="00CA16B2"/>
    <w:rsid w:val="00CA57E2"/>
    <w:rsid w:val="00CA666A"/>
    <w:rsid w:val="00CA78C3"/>
    <w:rsid w:val="00CB282A"/>
    <w:rsid w:val="00CB3327"/>
    <w:rsid w:val="00CB3388"/>
    <w:rsid w:val="00CC248D"/>
    <w:rsid w:val="00CC2991"/>
    <w:rsid w:val="00CC4C9D"/>
    <w:rsid w:val="00CC54BD"/>
    <w:rsid w:val="00CD02EA"/>
    <w:rsid w:val="00CD40C9"/>
    <w:rsid w:val="00CD60E5"/>
    <w:rsid w:val="00CD66CF"/>
    <w:rsid w:val="00CD6DB8"/>
    <w:rsid w:val="00CE17DA"/>
    <w:rsid w:val="00CE1979"/>
    <w:rsid w:val="00CE1BF6"/>
    <w:rsid w:val="00CE27F3"/>
    <w:rsid w:val="00CE386F"/>
    <w:rsid w:val="00CE435A"/>
    <w:rsid w:val="00CE5D0F"/>
    <w:rsid w:val="00CE7EC0"/>
    <w:rsid w:val="00CF20F9"/>
    <w:rsid w:val="00CF261A"/>
    <w:rsid w:val="00CF74C4"/>
    <w:rsid w:val="00D00005"/>
    <w:rsid w:val="00D020EF"/>
    <w:rsid w:val="00D02A56"/>
    <w:rsid w:val="00D0305D"/>
    <w:rsid w:val="00D03324"/>
    <w:rsid w:val="00D035E1"/>
    <w:rsid w:val="00D04553"/>
    <w:rsid w:val="00D04A93"/>
    <w:rsid w:val="00D075D6"/>
    <w:rsid w:val="00D124E5"/>
    <w:rsid w:val="00D15375"/>
    <w:rsid w:val="00D15AAF"/>
    <w:rsid w:val="00D20DCB"/>
    <w:rsid w:val="00D21338"/>
    <w:rsid w:val="00D25FB4"/>
    <w:rsid w:val="00D3084A"/>
    <w:rsid w:val="00D32C5D"/>
    <w:rsid w:val="00D3344E"/>
    <w:rsid w:val="00D36AB4"/>
    <w:rsid w:val="00D37048"/>
    <w:rsid w:val="00D4193A"/>
    <w:rsid w:val="00D44043"/>
    <w:rsid w:val="00D5713A"/>
    <w:rsid w:val="00D6629C"/>
    <w:rsid w:val="00D66EB9"/>
    <w:rsid w:val="00D72576"/>
    <w:rsid w:val="00D733D4"/>
    <w:rsid w:val="00D74863"/>
    <w:rsid w:val="00D76DD4"/>
    <w:rsid w:val="00D810FE"/>
    <w:rsid w:val="00D84187"/>
    <w:rsid w:val="00D90437"/>
    <w:rsid w:val="00D92EE0"/>
    <w:rsid w:val="00D93DA8"/>
    <w:rsid w:val="00D940AD"/>
    <w:rsid w:val="00D948C3"/>
    <w:rsid w:val="00D95469"/>
    <w:rsid w:val="00D95B1D"/>
    <w:rsid w:val="00D97025"/>
    <w:rsid w:val="00DA14AE"/>
    <w:rsid w:val="00DA7C0E"/>
    <w:rsid w:val="00DB2B73"/>
    <w:rsid w:val="00DB3213"/>
    <w:rsid w:val="00DB3350"/>
    <w:rsid w:val="00DB36B5"/>
    <w:rsid w:val="00DB3E56"/>
    <w:rsid w:val="00DB7477"/>
    <w:rsid w:val="00DC38CB"/>
    <w:rsid w:val="00DC3BE0"/>
    <w:rsid w:val="00DC695B"/>
    <w:rsid w:val="00DD0C1B"/>
    <w:rsid w:val="00DD137F"/>
    <w:rsid w:val="00DD27B3"/>
    <w:rsid w:val="00DD3E95"/>
    <w:rsid w:val="00DD46E1"/>
    <w:rsid w:val="00DD4E7F"/>
    <w:rsid w:val="00DD676A"/>
    <w:rsid w:val="00DE1752"/>
    <w:rsid w:val="00DF06B0"/>
    <w:rsid w:val="00DF0777"/>
    <w:rsid w:val="00DF4A7D"/>
    <w:rsid w:val="00DF4D32"/>
    <w:rsid w:val="00DF608C"/>
    <w:rsid w:val="00DF7733"/>
    <w:rsid w:val="00DF776C"/>
    <w:rsid w:val="00E01306"/>
    <w:rsid w:val="00E05618"/>
    <w:rsid w:val="00E0629B"/>
    <w:rsid w:val="00E12B5E"/>
    <w:rsid w:val="00E14C1D"/>
    <w:rsid w:val="00E15256"/>
    <w:rsid w:val="00E15F89"/>
    <w:rsid w:val="00E161DF"/>
    <w:rsid w:val="00E17591"/>
    <w:rsid w:val="00E20C16"/>
    <w:rsid w:val="00E21E5F"/>
    <w:rsid w:val="00E22DB5"/>
    <w:rsid w:val="00E32677"/>
    <w:rsid w:val="00E34C75"/>
    <w:rsid w:val="00E370DF"/>
    <w:rsid w:val="00E43E4A"/>
    <w:rsid w:val="00E52199"/>
    <w:rsid w:val="00E540AC"/>
    <w:rsid w:val="00E558B9"/>
    <w:rsid w:val="00E55DD4"/>
    <w:rsid w:val="00E60CE4"/>
    <w:rsid w:val="00E610E9"/>
    <w:rsid w:val="00E63062"/>
    <w:rsid w:val="00E6399C"/>
    <w:rsid w:val="00E63DCD"/>
    <w:rsid w:val="00E654D8"/>
    <w:rsid w:val="00E67436"/>
    <w:rsid w:val="00E70E1F"/>
    <w:rsid w:val="00E729C4"/>
    <w:rsid w:val="00E7696B"/>
    <w:rsid w:val="00E77F09"/>
    <w:rsid w:val="00E85DB4"/>
    <w:rsid w:val="00E86DAD"/>
    <w:rsid w:val="00E90670"/>
    <w:rsid w:val="00E90DDD"/>
    <w:rsid w:val="00E923B9"/>
    <w:rsid w:val="00E929B7"/>
    <w:rsid w:val="00E93085"/>
    <w:rsid w:val="00E94374"/>
    <w:rsid w:val="00EA017B"/>
    <w:rsid w:val="00EA7C4C"/>
    <w:rsid w:val="00EB2BE5"/>
    <w:rsid w:val="00EB3265"/>
    <w:rsid w:val="00EC3833"/>
    <w:rsid w:val="00EC3FD1"/>
    <w:rsid w:val="00EC4F79"/>
    <w:rsid w:val="00ED1D99"/>
    <w:rsid w:val="00ED3034"/>
    <w:rsid w:val="00ED68B8"/>
    <w:rsid w:val="00ED6916"/>
    <w:rsid w:val="00EE1B0B"/>
    <w:rsid w:val="00EE45D5"/>
    <w:rsid w:val="00EE6026"/>
    <w:rsid w:val="00EE62A7"/>
    <w:rsid w:val="00EF0C0D"/>
    <w:rsid w:val="00EF29A3"/>
    <w:rsid w:val="00EF3E24"/>
    <w:rsid w:val="00EF50D5"/>
    <w:rsid w:val="00EF554A"/>
    <w:rsid w:val="00EF72A9"/>
    <w:rsid w:val="00F04662"/>
    <w:rsid w:val="00F0488B"/>
    <w:rsid w:val="00F17AB2"/>
    <w:rsid w:val="00F17C85"/>
    <w:rsid w:val="00F210D6"/>
    <w:rsid w:val="00F263F2"/>
    <w:rsid w:val="00F27D4C"/>
    <w:rsid w:val="00F300A3"/>
    <w:rsid w:val="00F30233"/>
    <w:rsid w:val="00F31BC5"/>
    <w:rsid w:val="00F3776D"/>
    <w:rsid w:val="00F409D1"/>
    <w:rsid w:val="00F431D7"/>
    <w:rsid w:val="00F437F1"/>
    <w:rsid w:val="00F50635"/>
    <w:rsid w:val="00F50C5A"/>
    <w:rsid w:val="00F554F4"/>
    <w:rsid w:val="00F57F01"/>
    <w:rsid w:val="00F612C9"/>
    <w:rsid w:val="00F62DCE"/>
    <w:rsid w:val="00F63F85"/>
    <w:rsid w:val="00F6719C"/>
    <w:rsid w:val="00F679E2"/>
    <w:rsid w:val="00F76883"/>
    <w:rsid w:val="00F801A0"/>
    <w:rsid w:val="00F820E0"/>
    <w:rsid w:val="00F86959"/>
    <w:rsid w:val="00F916A6"/>
    <w:rsid w:val="00F9267A"/>
    <w:rsid w:val="00F97012"/>
    <w:rsid w:val="00FA21E5"/>
    <w:rsid w:val="00FA43A1"/>
    <w:rsid w:val="00FA46FA"/>
    <w:rsid w:val="00FA5683"/>
    <w:rsid w:val="00FA78BC"/>
    <w:rsid w:val="00FB10F0"/>
    <w:rsid w:val="00FB4944"/>
    <w:rsid w:val="00FB55F1"/>
    <w:rsid w:val="00FC021A"/>
    <w:rsid w:val="00FC0824"/>
    <w:rsid w:val="00FC2230"/>
    <w:rsid w:val="00FC40CA"/>
    <w:rsid w:val="00FC502A"/>
    <w:rsid w:val="00FC56CB"/>
    <w:rsid w:val="00FC59BE"/>
    <w:rsid w:val="00FD3731"/>
    <w:rsid w:val="00FD42EA"/>
    <w:rsid w:val="00FD5ECE"/>
    <w:rsid w:val="00FD649D"/>
    <w:rsid w:val="00FE04B4"/>
    <w:rsid w:val="00FE0F7A"/>
    <w:rsid w:val="00FE2ACF"/>
    <w:rsid w:val="00FE3B0F"/>
    <w:rsid w:val="00FE7F09"/>
    <w:rsid w:val="00FF037E"/>
    <w:rsid w:val="00FF3A95"/>
    <w:rsid w:val="00FF3BEC"/>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5A5644"/>
  <w15:docId w15:val="{A35B2FC8-23C4-4170-B759-BDA6C5D2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5D5"/>
    <w:rPr>
      <w:rFonts w:ascii="Arial" w:hAnsi="Arial" w:cs="Arial"/>
      <w:lang w:val="en-GB"/>
    </w:rPr>
  </w:style>
  <w:style w:type="paragraph" w:styleId="Heading1">
    <w:name w:val="heading 1"/>
    <w:basedOn w:val="Normal"/>
    <w:next w:val="Normal"/>
    <w:link w:val="Heading1Char"/>
    <w:qFormat/>
    <w:rsid w:val="00626DB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qFormat/>
    <w:rsid w:val="00626DB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qFormat/>
    <w:rsid w:val="00626DB8"/>
    <w:pPr>
      <w:keepNext/>
      <w:spacing w:before="240" w:after="60"/>
      <w:outlineLvl w:val="2"/>
    </w:pPr>
    <w:rPr>
      <w:rFonts w:ascii="Cambria" w:hAnsi="Cambria" w:cs="Times New Roman"/>
      <w:b/>
      <w:bCs/>
      <w:sz w:val="26"/>
      <w:szCs w:val="26"/>
      <w:lang w:val="x-none" w:eastAsia="x-none"/>
    </w:rPr>
  </w:style>
  <w:style w:type="paragraph" w:styleId="Heading5">
    <w:name w:val="heading 5"/>
    <w:basedOn w:val="Normal"/>
    <w:next w:val="Normal"/>
    <w:link w:val="Heading5Char"/>
    <w:qFormat/>
    <w:rsid w:val="002577D1"/>
    <w:p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qFormat/>
    <w:rsid w:val="002577D1"/>
    <w:pPr>
      <w:spacing w:before="240" w:after="60"/>
      <w:outlineLvl w:val="5"/>
    </w:pPr>
    <w:rPr>
      <w:rFonts w:ascii="Calibri" w:hAnsi="Calibri" w:cs="Times New Roman"/>
      <w:b/>
      <w:bCs/>
      <w:lang w:val="x-none" w:eastAsia="x-none"/>
    </w:rPr>
  </w:style>
  <w:style w:type="paragraph" w:styleId="Heading7">
    <w:name w:val="heading 7"/>
    <w:basedOn w:val="Normal"/>
    <w:next w:val="Normal"/>
    <w:link w:val="Heading7Char"/>
    <w:qFormat/>
    <w:rsid w:val="005C4034"/>
    <w:pPr>
      <w:spacing w:before="240" w:after="60"/>
      <w:outlineLvl w:val="6"/>
    </w:pPr>
    <w:rPr>
      <w:rFonts w:ascii="Calibri"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0BA0"/>
    <w:rPr>
      <w:rFonts w:ascii="Cambria" w:hAnsi="Cambria" w:cs="Times New Roman"/>
      <w:b/>
      <w:bCs/>
      <w:kern w:val="32"/>
      <w:sz w:val="32"/>
      <w:szCs w:val="32"/>
    </w:rPr>
  </w:style>
  <w:style w:type="character" w:customStyle="1" w:styleId="Heading2Char">
    <w:name w:val="Heading 2 Char"/>
    <w:link w:val="Heading2"/>
    <w:semiHidden/>
    <w:locked/>
    <w:rsid w:val="00040BA0"/>
    <w:rPr>
      <w:rFonts w:ascii="Cambria" w:hAnsi="Cambria" w:cs="Times New Roman"/>
      <w:b/>
      <w:bCs/>
      <w:i/>
      <w:iCs/>
      <w:sz w:val="28"/>
      <w:szCs w:val="28"/>
    </w:rPr>
  </w:style>
  <w:style w:type="character" w:customStyle="1" w:styleId="Heading3Char">
    <w:name w:val="Heading 3 Char"/>
    <w:link w:val="Heading3"/>
    <w:semiHidden/>
    <w:locked/>
    <w:rsid w:val="00040BA0"/>
    <w:rPr>
      <w:rFonts w:ascii="Cambria" w:hAnsi="Cambria" w:cs="Times New Roman"/>
      <w:b/>
      <w:bCs/>
      <w:sz w:val="26"/>
      <w:szCs w:val="26"/>
    </w:rPr>
  </w:style>
  <w:style w:type="character" w:customStyle="1" w:styleId="Heading5Char">
    <w:name w:val="Heading 5 Char"/>
    <w:link w:val="Heading5"/>
    <w:semiHidden/>
    <w:locked/>
    <w:rsid w:val="00040BA0"/>
    <w:rPr>
      <w:rFonts w:ascii="Calibri" w:hAnsi="Calibri" w:cs="Times New Roman"/>
      <w:b/>
      <w:bCs/>
      <w:i/>
      <w:iCs/>
      <w:sz w:val="26"/>
      <w:szCs w:val="26"/>
    </w:rPr>
  </w:style>
  <w:style w:type="character" w:customStyle="1" w:styleId="Heading6Char">
    <w:name w:val="Heading 6 Char"/>
    <w:link w:val="Heading6"/>
    <w:semiHidden/>
    <w:locked/>
    <w:rsid w:val="00040BA0"/>
    <w:rPr>
      <w:rFonts w:ascii="Calibri" w:hAnsi="Calibri" w:cs="Times New Roman"/>
      <w:b/>
      <w:bCs/>
    </w:rPr>
  </w:style>
  <w:style w:type="character" w:customStyle="1" w:styleId="Heading7Char">
    <w:name w:val="Heading 7 Char"/>
    <w:link w:val="Heading7"/>
    <w:semiHidden/>
    <w:locked/>
    <w:rsid w:val="00040BA0"/>
    <w:rPr>
      <w:rFonts w:ascii="Calibri" w:hAnsi="Calibri" w:cs="Times New Roman"/>
      <w:sz w:val="24"/>
      <w:szCs w:val="24"/>
    </w:rPr>
  </w:style>
  <w:style w:type="paragraph" w:customStyle="1" w:styleId="Naslovsaopstenja">
    <w:name w:val="Naslov saopstenja"/>
    <w:basedOn w:val="Title"/>
    <w:next w:val="Caption"/>
    <w:rsid w:val="006E7AF4"/>
    <w:pPr>
      <w:spacing w:after="0"/>
    </w:pPr>
    <w:rPr>
      <w:sz w:val="24"/>
      <w:szCs w:val="24"/>
    </w:rPr>
  </w:style>
  <w:style w:type="paragraph" w:styleId="Title">
    <w:name w:val="Title"/>
    <w:basedOn w:val="Normal"/>
    <w:link w:val="TitleChar"/>
    <w:qFormat/>
    <w:rsid w:val="003C4653"/>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locked/>
    <w:rsid w:val="00040BA0"/>
    <w:rPr>
      <w:rFonts w:ascii="Cambria" w:hAnsi="Cambria" w:cs="Times New Roman"/>
      <w:b/>
      <w:bCs/>
      <w:kern w:val="28"/>
      <w:sz w:val="32"/>
      <w:szCs w:val="32"/>
    </w:rPr>
  </w:style>
  <w:style w:type="paragraph" w:styleId="Caption">
    <w:name w:val="caption"/>
    <w:basedOn w:val="Normal"/>
    <w:next w:val="Normal"/>
    <w:qFormat/>
    <w:rsid w:val="003C4653"/>
    <w:rPr>
      <w:b/>
      <w:bCs/>
    </w:rPr>
  </w:style>
  <w:style w:type="paragraph" w:customStyle="1" w:styleId="Podnaslovsopstenja">
    <w:name w:val="Podnaslov sopstenja"/>
    <w:basedOn w:val="Normal"/>
    <w:rsid w:val="006E7AF4"/>
    <w:pPr>
      <w:spacing w:after="120"/>
      <w:jc w:val="center"/>
    </w:pPr>
    <w:rPr>
      <w:b/>
      <w:bCs/>
      <w:sz w:val="22"/>
      <w:szCs w:val="22"/>
    </w:rPr>
  </w:style>
  <w:style w:type="paragraph" w:styleId="Subtitle">
    <w:name w:val="Subtitle"/>
    <w:basedOn w:val="Normal"/>
    <w:link w:val="SubtitleChar"/>
    <w:qFormat/>
    <w:rsid w:val="003C4653"/>
    <w:pPr>
      <w:spacing w:after="60"/>
      <w:jc w:val="center"/>
      <w:outlineLvl w:val="1"/>
    </w:pPr>
    <w:rPr>
      <w:rFonts w:ascii="Cambria" w:hAnsi="Cambria" w:cs="Times New Roman"/>
      <w:sz w:val="24"/>
      <w:szCs w:val="24"/>
      <w:lang w:val="x-none" w:eastAsia="x-none"/>
    </w:rPr>
  </w:style>
  <w:style w:type="character" w:customStyle="1" w:styleId="SubtitleChar">
    <w:name w:val="Subtitle Char"/>
    <w:link w:val="Subtitle"/>
    <w:locked/>
    <w:rsid w:val="00040BA0"/>
    <w:rPr>
      <w:rFonts w:ascii="Cambria" w:hAnsi="Cambria" w:cs="Times New Roman"/>
      <w:sz w:val="24"/>
      <w:szCs w:val="24"/>
    </w:rPr>
  </w:style>
  <w:style w:type="paragraph" w:customStyle="1" w:styleId="NaslovMetodologijaiNapomena">
    <w:name w:val="Naslov Metodologija i Napomena"/>
    <w:basedOn w:val="Normal"/>
    <w:rsid w:val="00266953"/>
    <w:pPr>
      <w:spacing w:before="120" w:after="240"/>
      <w:jc w:val="center"/>
    </w:pPr>
    <w:rPr>
      <w:b/>
      <w:bCs/>
    </w:rPr>
  </w:style>
  <w:style w:type="paragraph" w:customStyle="1" w:styleId="TekstMetodologijaiNapomena">
    <w:name w:val="Tekst Metodologija i Napomena"/>
    <w:basedOn w:val="BodyTextFirstIndent"/>
    <w:next w:val="BodyText"/>
    <w:rsid w:val="00D66EB9"/>
    <w:pPr>
      <w:spacing w:before="120" w:after="0"/>
      <w:ind w:firstLine="397"/>
      <w:jc w:val="both"/>
    </w:pPr>
    <w:rPr>
      <w:lang w:val="sr-Cyrl-CS"/>
    </w:rPr>
  </w:style>
  <w:style w:type="paragraph" w:styleId="BodyText">
    <w:name w:val="Body Text"/>
    <w:basedOn w:val="Normal"/>
    <w:link w:val="BodyTextChar"/>
    <w:semiHidden/>
    <w:rsid w:val="00CD6DB8"/>
    <w:pPr>
      <w:spacing w:after="120"/>
    </w:pPr>
    <w:rPr>
      <w:rFonts w:cs="Times New Roman"/>
      <w:lang w:val="x-none" w:eastAsia="x-none"/>
    </w:rPr>
  </w:style>
  <w:style w:type="character" w:customStyle="1" w:styleId="BodyTextChar">
    <w:name w:val="Body Text Char"/>
    <w:link w:val="BodyText"/>
    <w:semiHidden/>
    <w:locked/>
    <w:rsid w:val="00040BA0"/>
    <w:rPr>
      <w:rFonts w:ascii="Arial" w:hAnsi="Arial" w:cs="Arial"/>
      <w:sz w:val="20"/>
      <w:szCs w:val="20"/>
    </w:rPr>
  </w:style>
  <w:style w:type="paragraph" w:styleId="BodyTextFirstIndent">
    <w:name w:val="Body Text First Indent"/>
    <w:basedOn w:val="BodyText"/>
    <w:link w:val="BodyTextFirstIndentChar"/>
    <w:semiHidden/>
    <w:rsid w:val="00CD6DB8"/>
    <w:pPr>
      <w:ind w:firstLine="210"/>
    </w:pPr>
  </w:style>
  <w:style w:type="character" w:customStyle="1" w:styleId="BodyTextFirstIndentChar">
    <w:name w:val="Body Text First Indent Char"/>
    <w:basedOn w:val="BodyTextChar"/>
    <w:link w:val="BodyTextFirstIndent"/>
    <w:semiHidden/>
    <w:locked/>
    <w:rsid w:val="00040BA0"/>
    <w:rPr>
      <w:rFonts w:ascii="Arial" w:hAnsi="Arial" w:cs="Arial"/>
      <w:sz w:val="20"/>
      <w:szCs w:val="20"/>
    </w:r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cs="Arial"/>
    </w:rPr>
  </w:style>
  <w:style w:type="paragraph" w:styleId="BodyTextIndent">
    <w:name w:val="Body Text Indent"/>
    <w:basedOn w:val="Normal"/>
    <w:link w:val="BodyTextIndentChar"/>
    <w:semiHidden/>
    <w:rsid w:val="00CD6DB8"/>
    <w:pPr>
      <w:spacing w:after="120"/>
      <w:ind w:left="283"/>
    </w:pPr>
    <w:rPr>
      <w:rFonts w:cs="Times New Roman"/>
      <w:lang w:val="x-none" w:eastAsia="x-none"/>
    </w:rPr>
  </w:style>
  <w:style w:type="character" w:customStyle="1" w:styleId="BodyTextIndentChar">
    <w:name w:val="Body Text Indent Char"/>
    <w:link w:val="BodyTextIndent"/>
    <w:semiHidden/>
    <w:locked/>
    <w:rsid w:val="00040BA0"/>
    <w:rPr>
      <w:rFonts w:ascii="Arial" w:hAnsi="Arial" w:cs="Arial"/>
      <w:sz w:val="20"/>
      <w:szCs w:val="20"/>
    </w:rPr>
  </w:style>
  <w:style w:type="paragraph" w:styleId="BodyTextIndent2">
    <w:name w:val="Body Text Indent 2"/>
    <w:basedOn w:val="Normal"/>
    <w:link w:val="BodyTextIndent2Char"/>
    <w:semiHidden/>
    <w:rsid w:val="00CD6DB8"/>
    <w:pPr>
      <w:spacing w:after="120" w:line="480" w:lineRule="auto"/>
      <w:ind w:left="283"/>
    </w:pPr>
    <w:rPr>
      <w:rFonts w:cs="Times New Roman"/>
      <w:lang w:val="x-none" w:eastAsia="x-none"/>
    </w:rPr>
  </w:style>
  <w:style w:type="character" w:customStyle="1" w:styleId="BodyTextIndent2Char">
    <w:name w:val="Body Text Indent 2 Char"/>
    <w:link w:val="BodyTextIndent2"/>
    <w:semiHidden/>
    <w:locked/>
    <w:rsid w:val="00040BA0"/>
    <w:rPr>
      <w:rFonts w:ascii="Arial" w:hAnsi="Arial" w:cs="Arial"/>
      <w:sz w:val="20"/>
      <w:szCs w:val="20"/>
    </w:rPr>
  </w:style>
  <w:style w:type="paragraph" w:styleId="BodyText3">
    <w:name w:val="Body Text 3"/>
    <w:basedOn w:val="Normal"/>
    <w:link w:val="BodyText3Char"/>
    <w:semiHidden/>
    <w:rsid w:val="00CD6DB8"/>
    <w:pPr>
      <w:spacing w:after="120"/>
    </w:pPr>
    <w:rPr>
      <w:rFonts w:cs="Times New Roman"/>
      <w:sz w:val="16"/>
      <w:szCs w:val="16"/>
      <w:lang w:val="x-none" w:eastAsia="x-none"/>
    </w:rPr>
  </w:style>
  <w:style w:type="character" w:customStyle="1" w:styleId="BodyText3Char">
    <w:name w:val="Body Text 3 Char"/>
    <w:link w:val="BodyText3"/>
    <w:semiHidden/>
    <w:locked/>
    <w:rsid w:val="00040BA0"/>
    <w:rPr>
      <w:rFonts w:ascii="Arial" w:hAnsi="Arial" w:cs="Arial"/>
      <w:sz w:val="16"/>
      <w:szCs w:val="16"/>
    </w:rPr>
  </w:style>
  <w:style w:type="paragraph" w:styleId="BodyTextFirstIndent2">
    <w:name w:val="Body Text First Indent 2"/>
    <w:basedOn w:val="BodyTextIndent"/>
    <w:link w:val="BodyTextFirstIndent2Char"/>
    <w:semiHidden/>
    <w:rsid w:val="00CD6DB8"/>
    <w:pPr>
      <w:ind w:firstLine="210"/>
    </w:pPr>
  </w:style>
  <w:style w:type="character" w:customStyle="1" w:styleId="BodyTextFirstIndent2Char">
    <w:name w:val="Body Text First Indent 2 Char"/>
    <w:basedOn w:val="BodyTextIndentChar"/>
    <w:link w:val="BodyTextFirstIndent2"/>
    <w:semiHidden/>
    <w:locked/>
    <w:rsid w:val="00040BA0"/>
    <w:rPr>
      <w:rFonts w:ascii="Arial" w:hAnsi="Arial" w:cs="Arial"/>
      <w:sz w:val="20"/>
      <w:szCs w:val="20"/>
    </w:rPr>
  </w:style>
  <w:style w:type="paragraph" w:styleId="BodyTextIndent3">
    <w:name w:val="Body Text Indent 3"/>
    <w:basedOn w:val="Normal"/>
    <w:link w:val="BodyTextIndent3Char"/>
    <w:semiHidden/>
    <w:rsid w:val="00CD6DB8"/>
    <w:pPr>
      <w:spacing w:after="120"/>
      <w:ind w:left="283"/>
    </w:pPr>
    <w:rPr>
      <w:rFonts w:cs="Times New Roman"/>
      <w:sz w:val="16"/>
      <w:szCs w:val="16"/>
      <w:lang w:val="x-none" w:eastAsia="x-none"/>
    </w:rPr>
  </w:style>
  <w:style w:type="character" w:customStyle="1" w:styleId="BodyTextIndent3Char">
    <w:name w:val="Body Text Indent 3 Char"/>
    <w:link w:val="BodyTextIndent3"/>
    <w:semiHidden/>
    <w:locked/>
    <w:rsid w:val="00040BA0"/>
    <w:rPr>
      <w:rFonts w:ascii="Arial" w:hAnsi="Arial" w:cs="Arial"/>
      <w:sz w:val="16"/>
      <w:szCs w:val="16"/>
    </w:rPr>
  </w:style>
  <w:style w:type="paragraph" w:styleId="BalloonText">
    <w:name w:val="Balloon Text"/>
    <w:basedOn w:val="Normal"/>
    <w:link w:val="BalloonTextChar"/>
    <w:semiHidden/>
    <w:rsid w:val="00CD6DB8"/>
    <w:rPr>
      <w:rFonts w:ascii="Times New Roman" w:hAnsi="Times New Roman" w:cs="Times New Roman"/>
      <w:sz w:val="2"/>
      <w:lang w:val="x-none" w:eastAsia="x-none"/>
    </w:rPr>
  </w:style>
  <w:style w:type="character" w:customStyle="1" w:styleId="BalloonTextChar">
    <w:name w:val="Balloon Text Char"/>
    <w:link w:val="BalloonText"/>
    <w:semiHidden/>
    <w:locked/>
    <w:rsid w:val="00040BA0"/>
    <w:rPr>
      <w:rFonts w:cs="Times New Roman"/>
      <w:sz w:val="2"/>
    </w:rPr>
  </w:style>
  <w:style w:type="paragraph" w:styleId="BodyText2">
    <w:name w:val="Body Text 2"/>
    <w:basedOn w:val="Normal"/>
    <w:link w:val="BodyText2Char"/>
    <w:semiHidden/>
    <w:rsid w:val="00CD6DB8"/>
    <w:pPr>
      <w:spacing w:after="120" w:line="480" w:lineRule="auto"/>
    </w:pPr>
    <w:rPr>
      <w:rFonts w:cs="Times New Roman"/>
      <w:lang w:val="x-none" w:eastAsia="x-none"/>
    </w:rPr>
  </w:style>
  <w:style w:type="character" w:customStyle="1" w:styleId="BodyText2Char">
    <w:name w:val="Body Text 2 Char"/>
    <w:link w:val="BodyText2"/>
    <w:semiHidden/>
    <w:locked/>
    <w:rsid w:val="00040BA0"/>
    <w:rPr>
      <w:rFonts w:ascii="Arial" w:hAnsi="Arial" w:cs="Arial"/>
      <w:sz w:val="20"/>
      <w:szCs w:val="20"/>
    </w:r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bCs/>
    </w:rPr>
  </w:style>
  <w:style w:type="table" w:styleId="TableGrid">
    <w:name w:val="Table Grid"/>
    <w:basedOn w:val="TableNormal"/>
    <w:rsid w:val="00D075D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rPr>
      <w:rFonts w:ascii="Arial" w:hAnsi="Aria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sz w:val="16"/>
      <w:szCs w:val="16"/>
      <w:lang w:val="sr-Latn-CS"/>
    </w:rPr>
  </w:style>
  <w:style w:type="paragraph" w:customStyle="1" w:styleId="Tabela-Pretkolona">
    <w:name w:val="Tabela-Pretkolona"/>
    <w:basedOn w:val="Normal"/>
    <w:rsid w:val="00C13D19"/>
    <w:rPr>
      <w:sz w:val="16"/>
      <w:szCs w:val="16"/>
      <w:lang w:val="sr-Latn-CS"/>
    </w:rPr>
  </w:style>
  <w:style w:type="paragraph" w:customStyle="1" w:styleId="Tabela-PretkolonaI">
    <w:name w:val="Tabela-PretkolonaI"/>
    <w:basedOn w:val="Normal"/>
    <w:rsid w:val="00C13D19"/>
    <w:rPr>
      <w:i/>
      <w:iCs/>
      <w:sz w:val="16"/>
      <w:szCs w:val="16"/>
      <w:lang w:val="sr-Latn-CS"/>
    </w:rPr>
  </w:style>
  <w:style w:type="paragraph" w:customStyle="1" w:styleId="Tabela-PretkolonaB">
    <w:name w:val="Tabela-PretkolonaB"/>
    <w:basedOn w:val="Normal"/>
    <w:rsid w:val="00C13D19"/>
    <w:rPr>
      <w:b/>
      <w:bCs/>
      <w:sz w:val="16"/>
      <w:szCs w:val="16"/>
      <w:lang w:val="sr-Latn-CS"/>
    </w:rPr>
  </w:style>
  <w:style w:type="paragraph" w:customStyle="1" w:styleId="Tabela-Brojevi">
    <w:name w:val="Tabela-Brojevi"/>
    <w:basedOn w:val="Normal"/>
    <w:rsid w:val="00C13D19"/>
    <w:pPr>
      <w:jc w:val="right"/>
    </w:pPr>
    <w:rPr>
      <w:sz w:val="16"/>
      <w:szCs w:val="16"/>
      <w:lang w:val="sr-Latn-CS"/>
    </w:rPr>
  </w:style>
  <w:style w:type="paragraph" w:styleId="FootnoteText">
    <w:name w:val="footnote text"/>
    <w:basedOn w:val="Normal"/>
    <w:link w:val="FootnoteTextChar"/>
    <w:semiHidden/>
    <w:rsid w:val="00EC4F79"/>
    <w:rPr>
      <w:rFonts w:cs="Times New Roman"/>
      <w:lang w:val="x-none" w:eastAsia="x-none"/>
    </w:rPr>
  </w:style>
  <w:style w:type="character" w:customStyle="1" w:styleId="FootnoteTextChar">
    <w:name w:val="Footnote Text Char"/>
    <w:link w:val="FootnoteText"/>
    <w:semiHidden/>
    <w:locked/>
    <w:rsid w:val="00040BA0"/>
    <w:rPr>
      <w:rFonts w:ascii="Arial" w:hAnsi="Arial" w:cs="Arial"/>
      <w:sz w:val="20"/>
      <w:szCs w:val="20"/>
    </w:rPr>
  </w:style>
  <w:style w:type="paragraph" w:customStyle="1" w:styleId="Tabela-BrojeviI">
    <w:name w:val="Tabela-BrojeviI"/>
    <w:basedOn w:val="Normal"/>
    <w:rsid w:val="00C13D19"/>
    <w:pPr>
      <w:jc w:val="right"/>
    </w:pPr>
    <w:rPr>
      <w:i/>
      <w:iCs/>
      <w:sz w:val="16"/>
      <w:szCs w:val="16"/>
      <w:lang w:val="sr-Latn-CS"/>
    </w:rPr>
  </w:style>
  <w:style w:type="paragraph" w:customStyle="1" w:styleId="Tabela-BrojeviB">
    <w:name w:val="Tabela-BrojeviB"/>
    <w:basedOn w:val="Normal"/>
    <w:rsid w:val="00C13D19"/>
    <w:pPr>
      <w:jc w:val="right"/>
    </w:pPr>
    <w:rPr>
      <w:b/>
      <w:bCs/>
      <w:sz w:val="16"/>
      <w:szCs w:val="16"/>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sz w:val="14"/>
      <w:szCs w:val="14"/>
      <w:lang w:val="sr-Latn-CS"/>
    </w:rPr>
  </w:style>
  <w:style w:type="paragraph" w:customStyle="1" w:styleId="Naslovgrafikona">
    <w:name w:val="Naslov grafikona"/>
    <w:basedOn w:val="Normal"/>
    <w:next w:val="Normal"/>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semiHidden/>
    <w:rsid w:val="00627E99"/>
    <w:pPr>
      <w:tabs>
        <w:tab w:val="center" w:pos="4703"/>
        <w:tab w:val="right" w:pos="9406"/>
      </w:tabs>
    </w:pPr>
    <w:rPr>
      <w:rFonts w:cs="Times New Roman"/>
      <w:lang w:val="x-none" w:eastAsia="x-none"/>
    </w:rPr>
  </w:style>
  <w:style w:type="character" w:customStyle="1" w:styleId="HeaderChar">
    <w:name w:val="Header Char"/>
    <w:link w:val="Header"/>
    <w:semiHidden/>
    <w:locked/>
    <w:rsid w:val="00040BA0"/>
    <w:rPr>
      <w:rFonts w:ascii="Arial" w:hAnsi="Arial" w:cs="Arial"/>
      <w:sz w:val="20"/>
      <w:szCs w:val="20"/>
    </w:rPr>
  </w:style>
  <w:style w:type="paragraph" w:styleId="Footer">
    <w:name w:val="footer"/>
    <w:basedOn w:val="Normal"/>
    <w:link w:val="FooterChar"/>
    <w:semiHidden/>
    <w:rsid w:val="00627E99"/>
    <w:pPr>
      <w:tabs>
        <w:tab w:val="center" w:pos="4703"/>
        <w:tab w:val="right" w:pos="9406"/>
      </w:tabs>
    </w:pPr>
    <w:rPr>
      <w:rFonts w:cs="Times New Roman"/>
      <w:lang w:val="x-none" w:eastAsia="x-none"/>
    </w:rPr>
  </w:style>
  <w:style w:type="character" w:customStyle="1" w:styleId="FooterChar">
    <w:name w:val="Footer Char"/>
    <w:link w:val="Footer"/>
    <w:semiHidden/>
    <w:locked/>
    <w:rsid w:val="00040BA0"/>
    <w:rPr>
      <w:rFonts w:ascii="Arial" w:hAnsi="Arial" w:cs="Arial"/>
      <w:sz w:val="20"/>
      <w:szCs w:val="20"/>
    </w:rPr>
  </w:style>
  <w:style w:type="paragraph" w:customStyle="1" w:styleId="CarCar">
    <w:name w:val="Car Car"/>
    <w:basedOn w:val="Normal"/>
    <w:rsid w:val="00614C60"/>
    <w:pPr>
      <w:spacing w:after="160" w:line="240" w:lineRule="exact"/>
    </w:pPr>
    <w:rPr>
      <w:rFonts w:ascii="Verdana" w:hAnsi="Verdana" w:cs="Verdana"/>
      <w:i/>
      <w:iCs/>
    </w:rPr>
  </w:style>
  <w:style w:type="character" w:styleId="Hyperlink">
    <w:name w:val="Hyperlink"/>
    <w:rsid w:val="00614C60"/>
    <w:rPr>
      <w:rFonts w:cs="Times New Roman"/>
      <w:color w:val="0000FF"/>
      <w:u w:val="single"/>
    </w:rPr>
  </w:style>
  <w:style w:type="character" w:styleId="FollowedHyperlink">
    <w:name w:val="FollowedHyperlink"/>
    <w:rsid w:val="00672093"/>
    <w:rPr>
      <w:rFonts w:cs="Times New Roman"/>
      <w:color w:val="800080"/>
      <w:u w:val="single"/>
    </w:rPr>
  </w:style>
  <w:style w:type="paragraph" w:styleId="ListParagraph">
    <w:name w:val="List Paragraph"/>
    <w:basedOn w:val="Normal"/>
    <w:qFormat/>
    <w:rsid w:val="005C40DD"/>
    <w:pPr>
      <w:ind w:left="720"/>
    </w:pPr>
  </w:style>
  <w:style w:type="paragraph" w:styleId="DocumentMap">
    <w:name w:val="Document Map"/>
    <w:basedOn w:val="Normal"/>
    <w:semiHidden/>
    <w:rsid w:val="001A305E"/>
    <w:pPr>
      <w:shd w:val="clear" w:color="auto" w:fill="000080"/>
    </w:pPr>
    <w:rPr>
      <w:rFonts w:ascii="Tahoma" w:hAnsi="Tahoma" w:cs="Tahoma"/>
    </w:rPr>
  </w:style>
  <w:style w:type="character" w:customStyle="1" w:styleId="hps">
    <w:name w:val="hps"/>
    <w:basedOn w:val="DefaultParagraphFont"/>
    <w:rsid w:val="00863BD0"/>
  </w:style>
  <w:style w:type="character" w:customStyle="1" w:styleId="shorttext">
    <w:name w:val="short_text"/>
    <w:basedOn w:val="DefaultParagraphFont"/>
    <w:rsid w:val="00863BD0"/>
  </w:style>
  <w:style w:type="character" w:customStyle="1" w:styleId="hpsalt-edited">
    <w:name w:val="hps alt-edited"/>
    <w:basedOn w:val="DefaultParagraphFont"/>
    <w:rsid w:val="0086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381515039">
      <w:bodyDiv w:val="1"/>
      <w:marLeft w:val="0"/>
      <w:marRight w:val="0"/>
      <w:marTop w:val="0"/>
      <w:marBottom w:val="0"/>
      <w:divBdr>
        <w:top w:val="none" w:sz="0" w:space="0" w:color="auto"/>
        <w:left w:val="none" w:sz="0" w:space="0" w:color="auto"/>
        <w:bottom w:val="none" w:sz="0" w:space="0" w:color="auto"/>
        <w:right w:val="none" w:sz="0" w:space="0" w:color="auto"/>
      </w:divBdr>
    </w:div>
    <w:div w:id="580725924">
      <w:bodyDiv w:val="1"/>
      <w:marLeft w:val="0"/>
      <w:marRight w:val="0"/>
      <w:marTop w:val="0"/>
      <w:marBottom w:val="0"/>
      <w:divBdr>
        <w:top w:val="none" w:sz="0" w:space="0" w:color="auto"/>
        <w:left w:val="none" w:sz="0" w:space="0" w:color="auto"/>
        <w:bottom w:val="none" w:sz="0" w:space="0" w:color="auto"/>
        <w:right w:val="none" w:sz="0" w:space="0" w:color="auto"/>
      </w:divBdr>
    </w:div>
    <w:div w:id="711731855">
      <w:bodyDiv w:val="1"/>
      <w:marLeft w:val="0"/>
      <w:marRight w:val="0"/>
      <w:marTop w:val="0"/>
      <w:marBottom w:val="0"/>
      <w:divBdr>
        <w:top w:val="none" w:sz="0" w:space="0" w:color="auto"/>
        <w:left w:val="none" w:sz="0" w:space="0" w:color="auto"/>
        <w:bottom w:val="none" w:sz="0" w:space="0" w:color="auto"/>
        <w:right w:val="none" w:sz="0" w:space="0" w:color="auto"/>
      </w:divBdr>
    </w:div>
    <w:div w:id="888804144">
      <w:bodyDiv w:val="1"/>
      <w:marLeft w:val="0"/>
      <w:marRight w:val="0"/>
      <w:marTop w:val="0"/>
      <w:marBottom w:val="0"/>
      <w:divBdr>
        <w:top w:val="none" w:sz="0" w:space="0" w:color="auto"/>
        <w:left w:val="none" w:sz="0" w:space="0" w:color="auto"/>
        <w:bottom w:val="none" w:sz="0" w:space="0" w:color="auto"/>
        <w:right w:val="none" w:sz="0" w:space="0" w:color="auto"/>
      </w:divBdr>
    </w:div>
    <w:div w:id="971980859">
      <w:bodyDiv w:val="1"/>
      <w:marLeft w:val="0"/>
      <w:marRight w:val="0"/>
      <w:marTop w:val="0"/>
      <w:marBottom w:val="0"/>
      <w:divBdr>
        <w:top w:val="none" w:sz="0" w:space="0" w:color="auto"/>
        <w:left w:val="none" w:sz="0" w:space="0" w:color="auto"/>
        <w:bottom w:val="none" w:sz="0" w:space="0" w:color="auto"/>
        <w:right w:val="none" w:sz="0" w:space="0" w:color="auto"/>
      </w:divBdr>
    </w:div>
    <w:div w:id="1071194816">
      <w:bodyDiv w:val="1"/>
      <w:marLeft w:val="0"/>
      <w:marRight w:val="0"/>
      <w:marTop w:val="0"/>
      <w:marBottom w:val="0"/>
      <w:divBdr>
        <w:top w:val="none" w:sz="0" w:space="0" w:color="auto"/>
        <w:left w:val="none" w:sz="0" w:space="0" w:color="auto"/>
        <w:bottom w:val="none" w:sz="0" w:space="0" w:color="auto"/>
        <w:right w:val="none" w:sz="0" w:space="0" w:color="auto"/>
      </w:divBdr>
    </w:div>
    <w:div w:id="1081564510">
      <w:bodyDiv w:val="1"/>
      <w:marLeft w:val="0"/>
      <w:marRight w:val="0"/>
      <w:marTop w:val="0"/>
      <w:marBottom w:val="0"/>
      <w:divBdr>
        <w:top w:val="none" w:sz="0" w:space="0" w:color="auto"/>
        <w:left w:val="none" w:sz="0" w:space="0" w:color="auto"/>
        <w:bottom w:val="none" w:sz="0" w:space="0" w:color="auto"/>
        <w:right w:val="none" w:sz="0" w:space="0" w:color="auto"/>
      </w:divBdr>
    </w:div>
    <w:div w:id="1125931368">
      <w:bodyDiv w:val="1"/>
      <w:marLeft w:val="0"/>
      <w:marRight w:val="0"/>
      <w:marTop w:val="0"/>
      <w:marBottom w:val="0"/>
      <w:divBdr>
        <w:top w:val="none" w:sz="0" w:space="0" w:color="auto"/>
        <w:left w:val="none" w:sz="0" w:space="0" w:color="auto"/>
        <w:bottom w:val="none" w:sz="0" w:space="0" w:color="auto"/>
        <w:right w:val="none" w:sz="0" w:space="0" w:color="auto"/>
      </w:divBdr>
    </w:div>
    <w:div w:id="1413236451">
      <w:bodyDiv w:val="1"/>
      <w:marLeft w:val="0"/>
      <w:marRight w:val="0"/>
      <w:marTop w:val="0"/>
      <w:marBottom w:val="0"/>
      <w:divBdr>
        <w:top w:val="none" w:sz="0" w:space="0" w:color="auto"/>
        <w:left w:val="none" w:sz="0" w:space="0" w:color="auto"/>
        <w:bottom w:val="none" w:sz="0" w:space="0" w:color="auto"/>
        <w:right w:val="none" w:sz="0" w:space="0" w:color="auto"/>
      </w:divBdr>
    </w:div>
    <w:div w:id="1507943145">
      <w:bodyDiv w:val="1"/>
      <w:marLeft w:val="0"/>
      <w:marRight w:val="0"/>
      <w:marTop w:val="0"/>
      <w:marBottom w:val="0"/>
      <w:divBdr>
        <w:top w:val="none" w:sz="0" w:space="0" w:color="auto"/>
        <w:left w:val="none" w:sz="0" w:space="0" w:color="auto"/>
        <w:bottom w:val="none" w:sz="0" w:space="0" w:color="auto"/>
        <w:right w:val="none" w:sz="0" w:space="0" w:color="auto"/>
      </w:divBdr>
    </w:div>
    <w:div w:id="1523393556">
      <w:bodyDiv w:val="1"/>
      <w:marLeft w:val="0"/>
      <w:marRight w:val="0"/>
      <w:marTop w:val="0"/>
      <w:marBottom w:val="0"/>
      <w:divBdr>
        <w:top w:val="none" w:sz="0" w:space="0" w:color="auto"/>
        <w:left w:val="none" w:sz="0" w:space="0" w:color="auto"/>
        <w:bottom w:val="none" w:sz="0" w:space="0" w:color="auto"/>
        <w:right w:val="none" w:sz="0" w:space="0" w:color="auto"/>
      </w:divBdr>
    </w:div>
    <w:div w:id="1655139417">
      <w:bodyDiv w:val="1"/>
      <w:marLeft w:val="0"/>
      <w:marRight w:val="0"/>
      <w:marTop w:val="0"/>
      <w:marBottom w:val="0"/>
      <w:divBdr>
        <w:top w:val="none" w:sz="0" w:space="0" w:color="auto"/>
        <w:left w:val="none" w:sz="0" w:space="0" w:color="auto"/>
        <w:bottom w:val="none" w:sz="0" w:space="0" w:color="auto"/>
        <w:right w:val="none" w:sz="0" w:space="0" w:color="auto"/>
      </w:divBdr>
    </w:div>
    <w:div w:id="1698653075">
      <w:bodyDiv w:val="1"/>
      <w:marLeft w:val="0"/>
      <w:marRight w:val="0"/>
      <w:marTop w:val="0"/>
      <w:marBottom w:val="0"/>
      <w:divBdr>
        <w:top w:val="none" w:sz="0" w:space="0" w:color="auto"/>
        <w:left w:val="none" w:sz="0" w:space="0" w:color="auto"/>
        <w:bottom w:val="none" w:sz="0" w:space="0" w:color="auto"/>
        <w:right w:val="none" w:sz="0" w:space="0" w:color="auto"/>
      </w:divBdr>
    </w:div>
    <w:div w:id="1898272965">
      <w:bodyDiv w:val="1"/>
      <w:marLeft w:val="0"/>
      <w:marRight w:val="0"/>
      <w:marTop w:val="0"/>
      <w:marBottom w:val="0"/>
      <w:divBdr>
        <w:top w:val="none" w:sz="0" w:space="0" w:color="auto"/>
        <w:left w:val="none" w:sz="0" w:space="0" w:color="auto"/>
        <w:bottom w:val="none" w:sz="0" w:space="0" w:color="auto"/>
        <w:right w:val="none" w:sz="0" w:space="0" w:color="auto"/>
      </w:divBdr>
    </w:div>
    <w:div w:id="1971939772">
      <w:bodyDiv w:val="1"/>
      <w:marLeft w:val="0"/>
      <w:marRight w:val="0"/>
      <w:marTop w:val="0"/>
      <w:marBottom w:val="0"/>
      <w:divBdr>
        <w:top w:val="none" w:sz="0" w:space="0" w:color="auto"/>
        <w:left w:val="none" w:sz="0" w:space="0" w:color="auto"/>
        <w:bottom w:val="none" w:sz="0" w:space="0" w:color="auto"/>
        <w:right w:val="none" w:sz="0" w:space="0" w:color="auto"/>
      </w:divBdr>
    </w:div>
    <w:div w:id="2001998493">
      <w:bodyDiv w:val="1"/>
      <w:marLeft w:val="0"/>
      <w:marRight w:val="0"/>
      <w:marTop w:val="0"/>
      <w:marBottom w:val="0"/>
      <w:divBdr>
        <w:top w:val="none" w:sz="0" w:space="0" w:color="auto"/>
        <w:left w:val="none" w:sz="0" w:space="0" w:color="auto"/>
        <w:bottom w:val="none" w:sz="0" w:space="0" w:color="auto"/>
        <w:right w:val="none" w:sz="0" w:space="0" w:color="auto"/>
      </w:divBdr>
    </w:div>
    <w:div w:id="2016149705">
      <w:bodyDiv w:val="1"/>
      <w:marLeft w:val="0"/>
      <w:marRight w:val="0"/>
      <w:marTop w:val="0"/>
      <w:marBottom w:val="0"/>
      <w:divBdr>
        <w:top w:val="none" w:sz="0" w:space="0" w:color="auto"/>
        <w:left w:val="none" w:sz="0" w:space="0" w:color="auto"/>
        <w:bottom w:val="none" w:sz="0" w:space="0" w:color="auto"/>
        <w:right w:val="none" w:sz="0" w:space="0" w:color="auto"/>
      </w:divBdr>
    </w:div>
    <w:div w:id="20634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a.vignjevic.Z5403\Desktop\EPEA_obrada%20materijala%20za%202017\Saopstenje%202017\Grafikon%20za%20saopstenj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900" b="1" i="0" baseline="0">
                <a:effectLst/>
              </a:rPr>
              <a:t>Graph</a:t>
            </a:r>
            <a:r>
              <a:rPr lang="sr-Cyrl-RS" sz="900" b="1" i="0" baseline="0">
                <a:effectLst/>
              </a:rPr>
              <a:t> 1. </a:t>
            </a:r>
            <a:r>
              <a:rPr lang="en-US" sz="900" b="1" i="0" baseline="0">
                <a:effectLst/>
              </a:rPr>
              <a:t>Environmental protection costs</a:t>
            </a:r>
            <a:endParaRPr lang="en-US" sz="900">
              <a:effectLst/>
            </a:endParaRPr>
          </a:p>
        </c:rich>
      </c:tx>
      <c:overlay val="0"/>
      <c:spPr>
        <a:noFill/>
        <a:ln>
          <a:noFill/>
        </a:ln>
        <a:effectLst/>
      </c:spPr>
    </c:title>
    <c:autoTitleDeleted val="0"/>
    <c:plotArea>
      <c:layout>
        <c:manualLayout>
          <c:layoutTarget val="inner"/>
          <c:xMode val="edge"/>
          <c:yMode val="edge"/>
          <c:x val="0.16348381452318461"/>
          <c:y val="0.18947637292464878"/>
          <c:w val="0.80596062992125983"/>
          <c:h val="0.50067155398678609"/>
        </c:manualLayout>
      </c:layout>
      <c:barChart>
        <c:barDir val="col"/>
        <c:grouping val="stacked"/>
        <c:varyColors val="0"/>
        <c:ser>
          <c:idx val="0"/>
          <c:order val="0"/>
          <c:tx>
            <c:strRef>
              <c:f>Sheet1!$A$28</c:f>
              <c:strCache>
                <c:ptCount val="1"/>
                <c:pt idx="0">
                  <c:v>Investments for environmental protection </c:v>
                </c:pt>
              </c:strCache>
            </c:strRef>
          </c:tx>
          <c:spPr>
            <a:solidFill>
              <a:srgbClr val="A969A4"/>
            </a:solidFill>
            <a:ln>
              <a:noFill/>
            </a:ln>
            <a:effectLst/>
          </c:spPr>
          <c:invertIfNegative val="0"/>
          <c:cat>
            <c:numRef>
              <c:f>Sheet1!$B$27:$D$27</c:f>
              <c:numCache>
                <c:formatCode>General</c:formatCode>
                <c:ptCount val="3"/>
                <c:pt idx="0">
                  <c:v>2015</c:v>
                </c:pt>
                <c:pt idx="1">
                  <c:v>2016</c:v>
                </c:pt>
                <c:pt idx="2">
                  <c:v>2017</c:v>
                </c:pt>
              </c:numCache>
            </c:numRef>
          </c:cat>
          <c:val>
            <c:numRef>
              <c:f>Sheet1!$B$28:$D$28</c:f>
              <c:numCache>
                <c:formatCode>0</c:formatCode>
                <c:ptCount val="3"/>
                <c:pt idx="0">
                  <c:v>12292.3</c:v>
                </c:pt>
                <c:pt idx="1">
                  <c:v>12805</c:v>
                </c:pt>
                <c:pt idx="2">
                  <c:v>6592</c:v>
                </c:pt>
              </c:numCache>
            </c:numRef>
          </c:val>
          <c:extLst>
            <c:ext xmlns:c16="http://schemas.microsoft.com/office/drawing/2014/chart" uri="{C3380CC4-5D6E-409C-BE32-E72D297353CC}">
              <c16:uniqueId val="{00000000-C450-46E0-B643-D206465E93F4}"/>
            </c:ext>
          </c:extLst>
        </c:ser>
        <c:ser>
          <c:idx val="1"/>
          <c:order val="1"/>
          <c:tx>
            <c:strRef>
              <c:f>Sheet1!$A$29</c:f>
              <c:strCache>
                <c:ptCount val="1"/>
                <c:pt idx="0">
                  <c:v>Current expenditures for environmental protection </c:v>
                </c:pt>
              </c:strCache>
            </c:strRef>
          </c:tx>
          <c:spPr>
            <a:solidFill>
              <a:srgbClr val="EADFED"/>
            </a:solidFill>
            <a:ln>
              <a:noFill/>
            </a:ln>
            <a:effectLst/>
          </c:spPr>
          <c:invertIfNegative val="0"/>
          <c:cat>
            <c:numRef>
              <c:f>Sheet1!$B$27:$D$27</c:f>
              <c:numCache>
                <c:formatCode>General</c:formatCode>
                <c:ptCount val="3"/>
                <c:pt idx="0">
                  <c:v>2015</c:v>
                </c:pt>
                <c:pt idx="1">
                  <c:v>2016</c:v>
                </c:pt>
                <c:pt idx="2">
                  <c:v>2017</c:v>
                </c:pt>
              </c:numCache>
            </c:numRef>
          </c:cat>
          <c:val>
            <c:numRef>
              <c:f>Sheet1!$B$29:$D$29</c:f>
              <c:numCache>
                <c:formatCode>0</c:formatCode>
                <c:ptCount val="3"/>
                <c:pt idx="0">
                  <c:v>22533.7</c:v>
                </c:pt>
                <c:pt idx="1">
                  <c:v>22544.400000000001</c:v>
                </c:pt>
                <c:pt idx="2">
                  <c:v>27809</c:v>
                </c:pt>
              </c:numCache>
            </c:numRef>
          </c:val>
          <c:extLst>
            <c:ext xmlns:c16="http://schemas.microsoft.com/office/drawing/2014/chart" uri="{C3380CC4-5D6E-409C-BE32-E72D297353CC}">
              <c16:uniqueId val="{00000001-C450-46E0-B643-D206465E93F4}"/>
            </c:ext>
          </c:extLst>
        </c:ser>
        <c:dLbls>
          <c:showLegendKey val="0"/>
          <c:showVal val="0"/>
          <c:showCatName val="0"/>
          <c:showSerName val="0"/>
          <c:showPercent val="0"/>
          <c:showBubbleSize val="0"/>
        </c:dLbls>
        <c:gapWidth val="150"/>
        <c:overlap val="100"/>
        <c:axId val="59646720"/>
        <c:axId val="59648256"/>
      </c:barChart>
      <c:catAx>
        <c:axId val="59646720"/>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9648256"/>
        <c:crosses val="autoZero"/>
        <c:auto val="1"/>
        <c:lblAlgn val="ctr"/>
        <c:lblOffset val="100"/>
        <c:noMultiLvlLbl val="0"/>
      </c:catAx>
      <c:valAx>
        <c:axId val="59648256"/>
        <c:scaling>
          <c:orientation val="minMax"/>
        </c:scaling>
        <c:delete val="0"/>
        <c:axPos val="l"/>
        <c:majorGridlines>
          <c:spPr>
            <a:ln w="3175" cap="flat" cmpd="sng" algn="ctr">
              <a:solidFill>
                <a:schemeClr val="bg1">
                  <a:lumMod val="75000"/>
                </a:schemeClr>
              </a:solidFill>
              <a:prstDash val="sysDash"/>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sr-Latn-RS" sz="800">
                    <a:solidFill>
                      <a:sysClr val="windowText" lastClr="000000"/>
                    </a:solidFill>
                    <a:latin typeface="Arial" panose="020B0604020202020204" pitchFamily="34" charset="0"/>
                    <a:cs typeface="Arial" panose="020B0604020202020204" pitchFamily="34" charset="0"/>
                  </a:rPr>
                  <a:t>RSD mill.</a:t>
                </a:r>
                <a:endParaRPr lang="en-US" sz="8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1.9444444444444445E-2"/>
              <c:y val="0.3248820908880643"/>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9646720"/>
        <c:crosses val="autoZero"/>
        <c:crossBetween val="between"/>
      </c:valAx>
      <c:spPr>
        <a:noFill/>
        <a:ln>
          <a:noFill/>
        </a:ln>
        <a:effectLst/>
      </c:spPr>
    </c:plotArea>
    <c:legend>
      <c:legendPos val="b"/>
      <c:layout>
        <c:manualLayout>
          <c:xMode val="edge"/>
          <c:yMode val="edge"/>
          <c:x val="0.19949081364829396"/>
          <c:y val="0.82850293138645026"/>
          <c:w val="0.63157370953630798"/>
          <c:h val="0.1390895103629287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3175" cap="flat" cmpd="sng" algn="ctr">
      <a:solidFill>
        <a:schemeClr val="bg1">
          <a:lumMod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43E9-E628-4ED7-ADC6-380B5D25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3742</CharactersWithSpaces>
  <SharedDoc>false</SharedDoc>
  <HLinks>
    <vt:vector size="6" baseType="variant">
      <vt:variant>
        <vt:i4>4587632</vt:i4>
      </vt:variant>
      <vt:variant>
        <vt:i4>0</vt:i4>
      </vt:variant>
      <vt:variant>
        <vt:i4>0</vt:i4>
      </vt:variant>
      <vt:variant>
        <vt:i4>5</vt:i4>
      </vt:variant>
      <vt:variant>
        <vt:lpwstr>mailto:dusanka.dostanic@stat.gov.rs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e51id02</dc:creator>
  <cp:keywords/>
  <cp:lastModifiedBy>ana.vignjevic</cp:lastModifiedBy>
  <cp:revision>37</cp:revision>
  <cp:lastPrinted>2017-11-10T08:53:00Z</cp:lastPrinted>
  <dcterms:created xsi:type="dcterms:W3CDTF">2017-11-15T07:40:00Z</dcterms:created>
  <dcterms:modified xsi:type="dcterms:W3CDTF">2018-11-20T08:49:00Z</dcterms:modified>
</cp:coreProperties>
</file>