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391A81" w:rsidRPr="007F04C4" w:rsidTr="006A1222">
        <w:trPr>
          <w:cantSplit/>
          <w:trHeight w:val="631"/>
        </w:trPr>
        <w:tc>
          <w:tcPr>
            <w:tcW w:w="812" w:type="pct"/>
            <w:tcBorders>
              <w:top w:val="single" w:sz="12" w:space="0" w:color="808080"/>
              <w:left w:val="nil"/>
              <w:bottom w:val="nil"/>
            </w:tcBorders>
            <w:vAlign w:val="center"/>
          </w:tcPr>
          <w:p w:rsidR="00391A81" w:rsidRPr="007F04C4" w:rsidRDefault="00391A81" w:rsidP="00391A81">
            <w:pPr>
              <w:jc w:val="center"/>
              <w:rPr>
                <w:rFonts w:cs="Arial"/>
                <w:b/>
                <w:bCs/>
              </w:rPr>
            </w:pPr>
            <w:r w:rsidRPr="007F04C4">
              <w:rPr>
                <w:noProof/>
                <w:lang w:val="en-US"/>
              </w:rPr>
              <w:drawing>
                <wp:anchor distT="0" distB="0" distL="114300" distR="114300" simplePos="0" relativeHeight="251668480" behindDoc="0" locked="0" layoutInCell="1" allowOverlap="1" wp14:anchorId="7E60498B" wp14:editId="4EF243BE">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7F04C4">
              <w:rPr>
                <w:rFonts w:cs="Arial"/>
                <w:b/>
                <w:bCs/>
                <w:noProof/>
                <w:lang w:val="en-US"/>
              </w:rPr>
              <mc:AlternateContent>
                <mc:Choice Requires="wps">
                  <w:drawing>
                    <wp:inline distT="0" distB="0" distL="0" distR="0" wp14:anchorId="3F1DBF98" wp14:editId="734BEF73">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7296C"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91A81" w:rsidRPr="007F04C4" w:rsidRDefault="00391A81" w:rsidP="00391A81">
            <w:pPr>
              <w:jc w:val="right"/>
              <w:rPr>
                <w:rFonts w:cs="Arial"/>
                <w:b/>
                <w:bCs/>
                <w:color w:val="808080"/>
              </w:rPr>
            </w:pPr>
          </w:p>
        </w:tc>
        <w:tc>
          <w:tcPr>
            <w:tcW w:w="0" w:type="auto"/>
            <w:tcBorders>
              <w:top w:val="single" w:sz="12" w:space="0" w:color="808080"/>
              <w:bottom w:val="nil"/>
              <w:right w:val="nil"/>
            </w:tcBorders>
            <w:vAlign w:val="center"/>
          </w:tcPr>
          <w:p w:rsidR="00391A81" w:rsidRPr="007F04C4" w:rsidRDefault="00391A81" w:rsidP="00391A81">
            <w:pPr>
              <w:jc w:val="right"/>
              <w:rPr>
                <w:rFonts w:cs="Arial"/>
                <w:b/>
                <w:color w:val="808080"/>
              </w:rPr>
            </w:pPr>
            <w:r w:rsidRPr="007F04C4">
              <w:rPr>
                <w:rFonts w:cs="Arial"/>
              </w:rPr>
              <w:t>ISSN 0353-9555</w:t>
            </w:r>
          </w:p>
        </w:tc>
      </w:tr>
      <w:tr w:rsidR="00391A81" w:rsidRPr="007F04C4" w:rsidTr="00146319">
        <w:trPr>
          <w:cantSplit/>
          <w:trHeight w:val="836"/>
        </w:trPr>
        <w:tc>
          <w:tcPr>
            <w:tcW w:w="0" w:type="auto"/>
            <w:gridSpan w:val="2"/>
            <w:tcBorders>
              <w:top w:val="nil"/>
              <w:left w:val="nil"/>
              <w:right w:val="nil"/>
            </w:tcBorders>
            <w:vAlign w:val="center"/>
          </w:tcPr>
          <w:p w:rsidR="00391A81" w:rsidRPr="007F04C4" w:rsidRDefault="00391A81" w:rsidP="00391A81">
            <w:pPr>
              <w:rPr>
                <w:rFonts w:cs="Arial"/>
                <w:color w:val="808080"/>
              </w:rPr>
            </w:pPr>
            <w:r w:rsidRPr="007F04C4">
              <w:rPr>
                <w:rFonts w:cs="Arial"/>
                <w:b/>
                <w:bCs/>
                <w:color w:val="808080"/>
                <w:sz w:val="48"/>
                <w:szCs w:val="48"/>
              </w:rPr>
              <w:t>STATISTICAL RELEASE</w:t>
            </w:r>
          </w:p>
        </w:tc>
        <w:tc>
          <w:tcPr>
            <w:tcW w:w="0" w:type="auto"/>
            <w:tcBorders>
              <w:top w:val="nil"/>
              <w:left w:val="nil"/>
              <w:right w:val="nil"/>
            </w:tcBorders>
            <w:shd w:val="clear" w:color="auto" w:fill="auto"/>
            <w:vAlign w:val="center"/>
          </w:tcPr>
          <w:p w:rsidR="00391A81" w:rsidRPr="007F04C4" w:rsidRDefault="00391A81" w:rsidP="00391A81">
            <w:pPr>
              <w:jc w:val="right"/>
              <w:rPr>
                <w:rFonts w:cs="Arial"/>
                <w:b/>
                <w:bCs/>
                <w:color w:val="808080"/>
                <w:sz w:val="12"/>
                <w:szCs w:val="12"/>
              </w:rPr>
            </w:pPr>
            <w:r w:rsidRPr="007F04C4">
              <w:rPr>
                <w:rFonts w:cs="Arial"/>
                <w:b/>
                <w:bCs/>
                <w:color w:val="808080"/>
                <w:sz w:val="48"/>
                <w:szCs w:val="48"/>
              </w:rPr>
              <w:t>RS10</w:t>
            </w:r>
          </w:p>
        </w:tc>
      </w:tr>
      <w:tr w:rsidR="00391A81" w:rsidRPr="007F04C4" w:rsidTr="00146319">
        <w:trPr>
          <w:cantSplit/>
          <w:trHeight w:hRule="exact" w:val="279"/>
        </w:trPr>
        <w:tc>
          <w:tcPr>
            <w:tcW w:w="0" w:type="auto"/>
            <w:gridSpan w:val="2"/>
            <w:tcBorders>
              <w:top w:val="nil"/>
              <w:left w:val="nil"/>
              <w:bottom w:val="nil"/>
              <w:right w:val="nil"/>
            </w:tcBorders>
            <w:vAlign w:val="center"/>
          </w:tcPr>
          <w:p w:rsidR="00391A81" w:rsidRPr="007F04C4" w:rsidRDefault="00391A81" w:rsidP="00391A81">
            <w:pPr>
              <w:rPr>
                <w:rFonts w:cs="Arial"/>
                <w:color w:val="FF0000"/>
              </w:rPr>
            </w:pPr>
            <w:r w:rsidRPr="007F04C4">
              <w:rPr>
                <w:rFonts w:cs="Arial"/>
              </w:rPr>
              <w:t>Number 138 - Year LXVIII, 31/05/2018</w:t>
            </w:r>
          </w:p>
        </w:tc>
        <w:tc>
          <w:tcPr>
            <w:tcW w:w="0" w:type="auto"/>
            <w:tcBorders>
              <w:left w:val="nil"/>
              <w:bottom w:val="nil"/>
              <w:right w:val="nil"/>
            </w:tcBorders>
            <w:shd w:val="clear" w:color="auto" w:fill="auto"/>
            <w:vAlign w:val="center"/>
          </w:tcPr>
          <w:p w:rsidR="00391A81" w:rsidRPr="007F04C4" w:rsidRDefault="00391A81" w:rsidP="00391A81">
            <w:pPr>
              <w:jc w:val="right"/>
              <w:rPr>
                <w:rFonts w:cs="Arial"/>
                <w:b/>
                <w:bCs/>
                <w:color w:val="FF0000"/>
                <w:sz w:val="48"/>
                <w:szCs w:val="48"/>
              </w:rPr>
            </w:pPr>
          </w:p>
        </w:tc>
      </w:tr>
      <w:tr w:rsidR="00391A81" w:rsidRPr="007F04C4" w:rsidTr="00146319">
        <w:trPr>
          <w:cantSplit/>
          <w:trHeight w:val="411"/>
        </w:trPr>
        <w:tc>
          <w:tcPr>
            <w:tcW w:w="0" w:type="auto"/>
            <w:gridSpan w:val="2"/>
            <w:tcBorders>
              <w:top w:val="nil"/>
              <w:left w:val="nil"/>
              <w:bottom w:val="single" w:sz="12" w:space="0" w:color="808080"/>
              <w:right w:val="nil"/>
            </w:tcBorders>
            <w:vAlign w:val="center"/>
          </w:tcPr>
          <w:p w:rsidR="00391A81" w:rsidRPr="007F04C4" w:rsidRDefault="00391A81" w:rsidP="00391A81">
            <w:pPr>
              <w:rPr>
                <w:rFonts w:cs="Arial"/>
                <w:b/>
                <w:bCs/>
                <w:sz w:val="24"/>
                <w:szCs w:val="24"/>
              </w:rPr>
            </w:pPr>
            <w:r w:rsidRPr="007F04C4">
              <w:rPr>
                <w:rFonts w:cs="Arial"/>
                <w:b/>
                <w:bCs/>
                <w:sz w:val="24"/>
                <w:szCs w:val="24"/>
              </w:rPr>
              <w:t xml:space="preserve">Labour Force Survey </w:t>
            </w:r>
          </w:p>
        </w:tc>
        <w:tc>
          <w:tcPr>
            <w:tcW w:w="0" w:type="auto"/>
            <w:tcBorders>
              <w:top w:val="nil"/>
              <w:left w:val="nil"/>
              <w:bottom w:val="single" w:sz="12" w:space="0" w:color="808080"/>
              <w:right w:val="nil"/>
            </w:tcBorders>
            <w:vAlign w:val="center"/>
          </w:tcPr>
          <w:p w:rsidR="00391A81" w:rsidRPr="007F04C4" w:rsidRDefault="00391A81" w:rsidP="00391A81">
            <w:pPr>
              <w:jc w:val="right"/>
              <w:rPr>
                <w:rFonts w:cs="Arial"/>
                <w:b/>
                <w:bCs/>
              </w:rPr>
            </w:pPr>
            <w:r w:rsidRPr="007F04C4">
              <w:rPr>
                <w:rFonts w:cs="Arial"/>
              </w:rPr>
              <w:t>SERB138 RS10 310518</w:t>
            </w:r>
          </w:p>
        </w:tc>
      </w:tr>
    </w:tbl>
    <w:p w:rsidR="000A395C" w:rsidRPr="007F04C4" w:rsidRDefault="000A395C" w:rsidP="008F1FDB">
      <w:pPr>
        <w:spacing w:before="80" w:after="120"/>
        <w:jc w:val="center"/>
        <w:rPr>
          <w:rFonts w:cs="Arial"/>
          <w:b/>
          <w:bCs/>
          <w:sz w:val="24"/>
          <w:szCs w:val="24"/>
        </w:rPr>
      </w:pPr>
    </w:p>
    <w:p w:rsidR="00391A81" w:rsidRPr="007F04C4" w:rsidRDefault="00391A81" w:rsidP="00391A81">
      <w:pPr>
        <w:spacing w:before="80" w:after="120"/>
        <w:jc w:val="center"/>
        <w:rPr>
          <w:rFonts w:cs="Arial"/>
          <w:b/>
          <w:bCs/>
          <w:sz w:val="24"/>
          <w:szCs w:val="24"/>
        </w:rPr>
      </w:pPr>
      <w:r w:rsidRPr="007F04C4">
        <w:rPr>
          <w:rFonts w:cs="Arial"/>
          <w:b/>
          <w:bCs/>
          <w:sz w:val="24"/>
          <w:szCs w:val="24"/>
        </w:rPr>
        <w:t xml:space="preserve">Labour Force Survey, I quarter 2018 </w:t>
      </w:r>
    </w:p>
    <w:p w:rsidR="00391A81" w:rsidRPr="007F04C4" w:rsidRDefault="00391A81" w:rsidP="00391A81">
      <w:pPr>
        <w:spacing w:before="80" w:after="240"/>
        <w:jc w:val="center"/>
        <w:rPr>
          <w:rFonts w:cs="Arial"/>
        </w:rPr>
      </w:pPr>
      <w:r w:rsidRPr="007F04C4">
        <w:rPr>
          <w:rFonts w:cs="Arial"/>
        </w:rPr>
        <w:t>– Preliminary results –</w:t>
      </w:r>
    </w:p>
    <w:p w:rsidR="00391A81" w:rsidRPr="007F04C4" w:rsidRDefault="00391A81" w:rsidP="00391A81">
      <w:pPr>
        <w:pStyle w:val="NormalWeb"/>
        <w:spacing w:beforeLines="0" w:before="120" w:afterLines="0" w:after="120" w:line="300" w:lineRule="auto"/>
        <w:ind w:firstLine="397"/>
        <w:jc w:val="both"/>
        <w:rPr>
          <w:rFonts w:ascii="Arial" w:hAnsi="Arial" w:cs="Arial"/>
          <w:lang w:val="en-GB"/>
        </w:rPr>
      </w:pPr>
      <w:r w:rsidRPr="007F04C4">
        <w:rPr>
          <w:rFonts w:ascii="Arial" w:hAnsi="Arial" w:cs="Arial"/>
          <w:lang w:val="en-GB"/>
        </w:rPr>
        <w:t xml:space="preserve">In the first quarter of 2018, number of the employed amounted to 2 688 300, and number of the unemployed to 468 700. Employment rate of population aged 15 and over amounted to 45.1%, </w:t>
      </w:r>
      <w:r w:rsidR="00B90D92" w:rsidRPr="007F04C4">
        <w:rPr>
          <w:rFonts w:ascii="Arial" w:hAnsi="Arial" w:cs="Arial"/>
          <w:lang w:val="en-GB"/>
        </w:rPr>
        <w:t xml:space="preserve">and </w:t>
      </w:r>
      <w:r w:rsidRPr="007F04C4">
        <w:rPr>
          <w:rFonts w:ascii="Arial" w:hAnsi="Arial" w:cs="Arial"/>
          <w:lang w:val="en-GB"/>
        </w:rPr>
        <w:t>unemployment rate to 14.8%.</w:t>
      </w:r>
    </w:p>
    <w:p w:rsidR="00391A81" w:rsidRPr="007F04C4" w:rsidRDefault="00391A81" w:rsidP="00AB4EA8">
      <w:pPr>
        <w:pStyle w:val="NormalWeb"/>
        <w:spacing w:beforeLines="0" w:before="480" w:after="2"/>
        <w:jc w:val="center"/>
        <w:rPr>
          <w:rFonts w:ascii="Arial" w:hAnsi="Arial" w:cs="Arial"/>
          <w:lang w:val="en-GB"/>
        </w:rPr>
      </w:pPr>
      <w:r w:rsidRPr="007F04C4">
        <w:rPr>
          <w:rFonts w:ascii="Arial" w:hAnsi="Arial" w:cs="Arial"/>
          <w:b/>
          <w:bCs/>
          <w:lang w:val="en-GB"/>
        </w:rPr>
        <w:t>Graph 1</w:t>
      </w:r>
      <w:r w:rsidRPr="007F04C4">
        <w:rPr>
          <w:rFonts w:ascii="Arial" w:hAnsi="Arial" w:cs="Arial"/>
          <w:lang w:val="en-GB"/>
        </w:rPr>
        <w:t xml:space="preserve"> Trend of employment/unemployment rates (in %), population 15+, 2014-2018 </w:t>
      </w:r>
    </w:p>
    <w:p w:rsidR="00E263C3" w:rsidRPr="007F04C4" w:rsidRDefault="00B377AD" w:rsidP="00E263C3">
      <w:pPr>
        <w:spacing w:before="240"/>
        <w:jc w:val="center"/>
        <w:rPr>
          <w:rFonts w:cs="Arial"/>
        </w:rPr>
      </w:pPr>
      <w:r w:rsidRPr="00B377AD">
        <w:rPr>
          <w:rFonts w:cs="Arial"/>
          <w:noProof/>
          <w:lang w:val="en-US"/>
        </w:rPr>
        <w:drawing>
          <wp:inline distT="0" distB="0" distL="0" distR="0">
            <wp:extent cx="6479540" cy="31419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141955"/>
                    </a:xfrm>
                    <a:prstGeom prst="rect">
                      <a:avLst/>
                    </a:prstGeom>
                    <a:noFill/>
                    <a:ln>
                      <a:noFill/>
                    </a:ln>
                  </pic:spPr>
                </pic:pic>
              </a:graphicData>
            </a:graphic>
          </wp:inline>
        </w:drawing>
      </w:r>
    </w:p>
    <w:p w:rsidR="00B05442" w:rsidRPr="007F04C4" w:rsidRDefault="00930544" w:rsidP="00AB4EA8">
      <w:pPr>
        <w:spacing w:before="360" w:after="120" w:line="300" w:lineRule="auto"/>
        <w:ind w:firstLine="403"/>
        <w:jc w:val="both"/>
        <w:rPr>
          <w:rFonts w:cs="Arial"/>
        </w:rPr>
      </w:pPr>
      <w:r w:rsidRPr="007F04C4">
        <w:rPr>
          <w:rFonts w:cs="Arial"/>
          <w:b/>
        </w:rPr>
        <w:t>Activity rate</w:t>
      </w:r>
      <w:r w:rsidRPr="007F04C4">
        <w:rPr>
          <w:rFonts w:cs="Arial"/>
        </w:rPr>
        <w:t xml:space="preserve"> of population aged 15 and over amounted to 52.9%, where the activity rate of males was 61.4%, and of females 45.0%. </w:t>
      </w:r>
      <w:r w:rsidR="00391A81" w:rsidRPr="007F04C4">
        <w:rPr>
          <w:rFonts w:cs="Arial"/>
        </w:rPr>
        <w:t xml:space="preserve">The greatest activity rate was noted in </w:t>
      </w:r>
      <w:proofErr w:type="spellStart"/>
      <w:r w:rsidR="00391A81" w:rsidRPr="007F04C4">
        <w:rPr>
          <w:rFonts w:cs="Arial"/>
        </w:rPr>
        <w:t>Beogradski</w:t>
      </w:r>
      <w:proofErr w:type="spellEnd"/>
      <w:r w:rsidR="00391A81" w:rsidRPr="007F04C4">
        <w:rPr>
          <w:rFonts w:cs="Arial"/>
        </w:rPr>
        <w:t xml:space="preserve"> region </w:t>
      </w:r>
      <w:r w:rsidR="00B05442" w:rsidRPr="007F04C4">
        <w:rPr>
          <w:rFonts w:cs="Arial"/>
        </w:rPr>
        <w:t>(55</w:t>
      </w:r>
      <w:r w:rsidR="00391A81" w:rsidRPr="007F04C4">
        <w:rPr>
          <w:rFonts w:cs="Arial"/>
        </w:rPr>
        <w:t>.</w:t>
      </w:r>
      <w:r w:rsidR="00B05442" w:rsidRPr="007F04C4">
        <w:rPr>
          <w:rFonts w:cs="Arial"/>
        </w:rPr>
        <w:t xml:space="preserve">2%) </w:t>
      </w:r>
      <w:r w:rsidR="00391A81" w:rsidRPr="007F04C4">
        <w:rPr>
          <w:rFonts w:cs="Arial"/>
        </w:rPr>
        <w:t xml:space="preserve">and in Region </w:t>
      </w:r>
      <w:proofErr w:type="spellStart"/>
      <w:r w:rsidR="00391A81" w:rsidRPr="007F04C4">
        <w:rPr>
          <w:rFonts w:cs="Arial"/>
        </w:rPr>
        <w:t>Šumadije</w:t>
      </w:r>
      <w:proofErr w:type="spellEnd"/>
      <w:r w:rsidR="00391A81" w:rsidRPr="007F04C4">
        <w:rPr>
          <w:rFonts w:cs="Arial"/>
        </w:rPr>
        <w:t xml:space="preserve"> </w:t>
      </w:r>
      <w:proofErr w:type="spellStart"/>
      <w:r w:rsidR="00391A81" w:rsidRPr="007F04C4">
        <w:rPr>
          <w:rFonts w:cs="Arial"/>
        </w:rPr>
        <w:t>i</w:t>
      </w:r>
      <w:proofErr w:type="spellEnd"/>
      <w:r w:rsidR="00391A81" w:rsidRPr="007F04C4">
        <w:rPr>
          <w:rFonts w:cs="Arial"/>
        </w:rPr>
        <w:t xml:space="preserve"> </w:t>
      </w:r>
      <w:proofErr w:type="spellStart"/>
      <w:r w:rsidR="00391A81" w:rsidRPr="007F04C4">
        <w:rPr>
          <w:rFonts w:cs="Arial"/>
        </w:rPr>
        <w:t>Zapadne</w:t>
      </w:r>
      <w:proofErr w:type="spellEnd"/>
      <w:r w:rsidR="00391A81" w:rsidRPr="007F04C4">
        <w:rPr>
          <w:rFonts w:cs="Arial"/>
        </w:rPr>
        <w:t xml:space="preserve"> </w:t>
      </w:r>
      <w:proofErr w:type="spellStart"/>
      <w:r w:rsidR="00391A81" w:rsidRPr="007F04C4">
        <w:rPr>
          <w:rFonts w:cs="Arial"/>
        </w:rPr>
        <w:t>Srbije</w:t>
      </w:r>
      <w:proofErr w:type="spellEnd"/>
      <w:r w:rsidR="00391A81" w:rsidRPr="007F04C4">
        <w:rPr>
          <w:rFonts w:cs="Arial"/>
        </w:rPr>
        <w:t xml:space="preserve"> </w:t>
      </w:r>
      <w:r w:rsidR="00B05442" w:rsidRPr="007F04C4">
        <w:rPr>
          <w:rFonts w:cs="Arial"/>
        </w:rPr>
        <w:t>(54</w:t>
      </w:r>
      <w:r w:rsidR="00391A81" w:rsidRPr="007F04C4">
        <w:rPr>
          <w:rFonts w:cs="Arial"/>
        </w:rPr>
        <w:t>.</w:t>
      </w:r>
      <w:r w:rsidR="00B05442" w:rsidRPr="007F04C4">
        <w:rPr>
          <w:rFonts w:cs="Arial"/>
        </w:rPr>
        <w:t xml:space="preserve">1%). </w:t>
      </w:r>
      <w:r w:rsidR="00391A81" w:rsidRPr="007F04C4">
        <w:rPr>
          <w:rFonts w:cs="Arial"/>
        </w:rPr>
        <w:t xml:space="preserve">In Region </w:t>
      </w:r>
      <w:proofErr w:type="spellStart"/>
      <w:r w:rsidR="00391A81" w:rsidRPr="007F04C4">
        <w:rPr>
          <w:rFonts w:cs="Arial"/>
        </w:rPr>
        <w:t>Vojvodine</w:t>
      </w:r>
      <w:proofErr w:type="spellEnd"/>
      <w:r w:rsidR="00B05442" w:rsidRPr="007F04C4">
        <w:rPr>
          <w:rFonts w:cs="Arial"/>
        </w:rPr>
        <w:t xml:space="preserve"> </w:t>
      </w:r>
      <w:r w:rsidR="00391A81" w:rsidRPr="007F04C4">
        <w:rPr>
          <w:rFonts w:cs="Arial"/>
        </w:rPr>
        <w:t>it was</w:t>
      </w:r>
      <w:r w:rsidR="00B05442" w:rsidRPr="007F04C4">
        <w:rPr>
          <w:rFonts w:cs="Arial"/>
        </w:rPr>
        <w:t xml:space="preserve"> 51</w:t>
      </w:r>
      <w:r w:rsidR="00391A81" w:rsidRPr="007F04C4">
        <w:rPr>
          <w:rFonts w:cs="Arial"/>
        </w:rPr>
        <w:t>.</w:t>
      </w:r>
      <w:r w:rsidR="00B05442" w:rsidRPr="007F04C4">
        <w:rPr>
          <w:rFonts w:cs="Arial"/>
        </w:rPr>
        <w:t xml:space="preserve">3%, </w:t>
      </w:r>
      <w:r w:rsidR="00391A81" w:rsidRPr="007F04C4">
        <w:rPr>
          <w:rFonts w:cs="Arial"/>
        </w:rPr>
        <w:t xml:space="preserve">and it was the lowest in Region </w:t>
      </w:r>
      <w:proofErr w:type="spellStart"/>
      <w:r w:rsidR="00391A81" w:rsidRPr="007F04C4">
        <w:rPr>
          <w:rFonts w:cs="Arial"/>
        </w:rPr>
        <w:t>Južne</w:t>
      </w:r>
      <w:proofErr w:type="spellEnd"/>
      <w:r w:rsidR="00391A81" w:rsidRPr="007F04C4">
        <w:rPr>
          <w:rFonts w:cs="Arial"/>
        </w:rPr>
        <w:t xml:space="preserve"> </w:t>
      </w:r>
      <w:proofErr w:type="spellStart"/>
      <w:r w:rsidR="00391A81" w:rsidRPr="007F04C4">
        <w:rPr>
          <w:rFonts w:cs="Arial"/>
        </w:rPr>
        <w:t>i</w:t>
      </w:r>
      <w:proofErr w:type="spellEnd"/>
      <w:r w:rsidR="00391A81" w:rsidRPr="007F04C4">
        <w:rPr>
          <w:rFonts w:cs="Arial"/>
        </w:rPr>
        <w:t xml:space="preserve"> </w:t>
      </w:r>
      <w:proofErr w:type="spellStart"/>
      <w:r w:rsidR="00391A81" w:rsidRPr="007F04C4">
        <w:rPr>
          <w:rFonts w:cs="Arial"/>
        </w:rPr>
        <w:t>Istočne</w:t>
      </w:r>
      <w:proofErr w:type="spellEnd"/>
      <w:r w:rsidR="00391A81" w:rsidRPr="007F04C4">
        <w:rPr>
          <w:rFonts w:cs="Arial"/>
        </w:rPr>
        <w:t xml:space="preserve"> </w:t>
      </w:r>
      <w:proofErr w:type="spellStart"/>
      <w:r w:rsidR="00391A81" w:rsidRPr="007F04C4">
        <w:rPr>
          <w:rFonts w:cs="Arial"/>
        </w:rPr>
        <w:t>Srbije</w:t>
      </w:r>
      <w:proofErr w:type="spellEnd"/>
      <w:r w:rsidR="00B05442" w:rsidRPr="007F04C4">
        <w:rPr>
          <w:rFonts w:cs="Arial"/>
        </w:rPr>
        <w:t xml:space="preserve"> (50</w:t>
      </w:r>
      <w:r w:rsidR="00391A81" w:rsidRPr="007F04C4">
        <w:rPr>
          <w:rFonts w:cs="Arial"/>
        </w:rPr>
        <w:t>.</w:t>
      </w:r>
      <w:r w:rsidR="00B05442" w:rsidRPr="007F04C4">
        <w:rPr>
          <w:rFonts w:cs="Arial"/>
        </w:rPr>
        <w:t>8%).</w:t>
      </w:r>
    </w:p>
    <w:p w:rsidR="00391A81" w:rsidRPr="007F04C4" w:rsidRDefault="00391A81" w:rsidP="00166DB3">
      <w:pPr>
        <w:spacing w:before="120" w:after="120" w:line="300" w:lineRule="auto"/>
        <w:ind w:firstLine="403"/>
        <w:jc w:val="both"/>
        <w:rPr>
          <w:rFonts w:cs="Arial"/>
        </w:rPr>
      </w:pPr>
      <w:r w:rsidRPr="007F04C4">
        <w:rPr>
          <w:rFonts w:cs="Arial"/>
          <w:b/>
        </w:rPr>
        <w:t xml:space="preserve">Employment rate </w:t>
      </w:r>
      <w:r w:rsidRPr="007F04C4">
        <w:rPr>
          <w:rFonts w:cs="Arial"/>
        </w:rPr>
        <w:t>of population aged 15 and over amounted to</w:t>
      </w:r>
      <w:r w:rsidR="00B05442" w:rsidRPr="007F04C4">
        <w:rPr>
          <w:rFonts w:cs="Arial"/>
        </w:rPr>
        <w:t xml:space="preserve"> 45</w:t>
      </w:r>
      <w:r w:rsidRPr="007F04C4">
        <w:rPr>
          <w:rFonts w:cs="Arial"/>
        </w:rPr>
        <w:t>.</w:t>
      </w:r>
      <w:r w:rsidR="00B05442" w:rsidRPr="007F04C4">
        <w:rPr>
          <w:rFonts w:cs="Arial"/>
        </w:rPr>
        <w:t xml:space="preserve">1%, </w:t>
      </w:r>
      <w:r w:rsidRPr="007F04C4">
        <w:rPr>
          <w:rFonts w:cs="Arial"/>
        </w:rPr>
        <w:t xml:space="preserve">i.e. 52.7% regarding males and </w:t>
      </w:r>
      <w:r w:rsidR="00B05442" w:rsidRPr="007F04C4">
        <w:rPr>
          <w:rFonts w:cs="Arial"/>
        </w:rPr>
        <w:t>37</w:t>
      </w:r>
      <w:r w:rsidRPr="007F04C4">
        <w:rPr>
          <w:rFonts w:cs="Arial"/>
        </w:rPr>
        <w:t>.</w:t>
      </w:r>
      <w:r w:rsidR="00B05442" w:rsidRPr="007F04C4">
        <w:rPr>
          <w:rFonts w:cs="Arial"/>
        </w:rPr>
        <w:t>9%</w:t>
      </w:r>
      <w:r w:rsidRPr="007F04C4">
        <w:rPr>
          <w:rFonts w:cs="Arial"/>
        </w:rPr>
        <w:t xml:space="preserve"> regarding females</w:t>
      </w:r>
      <w:r w:rsidR="00B05442" w:rsidRPr="007F04C4">
        <w:rPr>
          <w:rFonts w:cs="Arial"/>
        </w:rPr>
        <w:t xml:space="preserve">. </w:t>
      </w:r>
      <w:r w:rsidRPr="007F04C4">
        <w:rPr>
          <w:rFonts w:cs="Arial"/>
        </w:rPr>
        <w:t xml:space="preserve">The greatest employment rate was noted in </w:t>
      </w:r>
      <w:proofErr w:type="spellStart"/>
      <w:r w:rsidRPr="007F04C4">
        <w:rPr>
          <w:rFonts w:cs="Arial"/>
        </w:rPr>
        <w:t>Beogradski</w:t>
      </w:r>
      <w:proofErr w:type="spellEnd"/>
      <w:r w:rsidRPr="007F04C4">
        <w:rPr>
          <w:rFonts w:cs="Arial"/>
        </w:rPr>
        <w:t xml:space="preserve"> region (47.8%) and in Region </w:t>
      </w:r>
      <w:proofErr w:type="spellStart"/>
      <w:r w:rsidRPr="007F04C4">
        <w:rPr>
          <w:rFonts w:cs="Arial"/>
        </w:rPr>
        <w:t>Šumadije</w:t>
      </w:r>
      <w:proofErr w:type="spellEnd"/>
      <w:r w:rsidRPr="007F04C4">
        <w:rPr>
          <w:rFonts w:cs="Arial"/>
        </w:rPr>
        <w:t xml:space="preserve"> </w:t>
      </w:r>
      <w:proofErr w:type="spellStart"/>
      <w:r w:rsidRPr="007F04C4">
        <w:rPr>
          <w:rFonts w:cs="Arial"/>
        </w:rPr>
        <w:t>i</w:t>
      </w:r>
      <w:proofErr w:type="spellEnd"/>
      <w:r w:rsidRPr="007F04C4">
        <w:rPr>
          <w:rFonts w:cs="Arial"/>
        </w:rPr>
        <w:t xml:space="preserve"> </w:t>
      </w:r>
      <w:proofErr w:type="spellStart"/>
      <w:r w:rsidRPr="007F04C4">
        <w:rPr>
          <w:rFonts w:cs="Arial"/>
        </w:rPr>
        <w:t>Zapadne</w:t>
      </w:r>
      <w:proofErr w:type="spellEnd"/>
      <w:r w:rsidRPr="007F04C4">
        <w:rPr>
          <w:rFonts w:cs="Arial"/>
        </w:rPr>
        <w:t xml:space="preserve"> </w:t>
      </w:r>
      <w:proofErr w:type="spellStart"/>
      <w:r w:rsidRPr="007F04C4">
        <w:rPr>
          <w:rFonts w:cs="Arial"/>
        </w:rPr>
        <w:t>Srbije</w:t>
      </w:r>
      <w:proofErr w:type="spellEnd"/>
      <w:r w:rsidRPr="007F04C4">
        <w:rPr>
          <w:rFonts w:cs="Arial"/>
        </w:rPr>
        <w:t xml:space="preserve"> (45.7%). In Region </w:t>
      </w:r>
      <w:proofErr w:type="spellStart"/>
      <w:r w:rsidRPr="007F04C4">
        <w:rPr>
          <w:rFonts w:cs="Arial"/>
        </w:rPr>
        <w:t>Vojvodine</w:t>
      </w:r>
      <w:proofErr w:type="spellEnd"/>
      <w:r w:rsidRPr="007F04C4">
        <w:rPr>
          <w:rFonts w:cs="Arial"/>
        </w:rPr>
        <w:t xml:space="preserve"> it was 44.7%, and it was the lowest in Region </w:t>
      </w:r>
      <w:proofErr w:type="spellStart"/>
      <w:r w:rsidRPr="007F04C4">
        <w:rPr>
          <w:rFonts w:cs="Arial"/>
        </w:rPr>
        <w:t>Južne</w:t>
      </w:r>
      <w:proofErr w:type="spellEnd"/>
      <w:r w:rsidRPr="007F04C4">
        <w:rPr>
          <w:rFonts w:cs="Arial"/>
        </w:rPr>
        <w:t xml:space="preserve"> </w:t>
      </w:r>
      <w:proofErr w:type="spellStart"/>
      <w:r w:rsidRPr="007F04C4">
        <w:rPr>
          <w:rFonts w:cs="Arial"/>
        </w:rPr>
        <w:t>i</w:t>
      </w:r>
      <w:proofErr w:type="spellEnd"/>
      <w:r w:rsidRPr="007F04C4">
        <w:rPr>
          <w:rFonts w:cs="Arial"/>
        </w:rPr>
        <w:t xml:space="preserve"> </w:t>
      </w:r>
      <w:proofErr w:type="spellStart"/>
      <w:r w:rsidRPr="007F04C4">
        <w:rPr>
          <w:rFonts w:cs="Arial"/>
        </w:rPr>
        <w:t>Istočne</w:t>
      </w:r>
      <w:proofErr w:type="spellEnd"/>
      <w:r w:rsidRPr="007F04C4">
        <w:rPr>
          <w:rFonts w:cs="Arial"/>
        </w:rPr>
        <w:t xml:space="preserve"> </w:t>
      </w:r>
      <w:proofErr w:type="spellStart"/>
      <w:r w:rsidRPr="007F04C4">
        <w:rPr>
          <w:rFonts w:cs="Arial"/>
        </w:rPr>
        <w:t>Srbije</w:t>
      </w:r>
      <w:proofErr w:type="spellEnd"/>
      <w:r w:rsidRPr="007F04C4">
        <w:rPr>
          <w:rFonts w:cs="Arial"/>
        </w:rPr>
        <w:t xml:space="preserve"> (41.5%).</w:t>
      </w:r>
    </w:p>
    <w:p w:rsidR="00B05442" w:rsidRPr="007F04C4" w:rsidRDefault="00391A81" w:rsidP="00166DB3">
      <w:pPr>
        <w:spacing w:before="120" w:after="120" w:line="300" w:lineRule="auto"/>
        <w:ind w:firstLine="403"/>
        <w:jc w:val="both"/>
        <w:rPr>
          <w:rFonts w:cs="Arial"/>
          <w:b/>
        </w:rPr>
      </w:pPr>
      <w:r w:rsidRPr="007F04C4">
        <w:rPr>
          <w:rFonts w:cs="Arial"/>
          <w:b/>
        </w:rPr>
        <w:t xml:space="preserve">Informal employment rate </w:t>
      </w:r>
      <w:r w:rsidRPr="007F04C4">
        <w:rPr>
          <w:rFonts w:cs="Arial"/>
        </w:rPr>
        <w:t xml:space="preserve">on the level of all activities was </w:t>
      </w:r>
      <w:r w:rsidR="00B05442" w:rsidRPr="007F04C4">
        <w:rPr>
          <w:rFonts w:cs="Arial"/>
        </w:rPr>
        <w:t>18</w:t>
      </w:r>
      <w:r w:rsidRPr="007F04C4">
        <w:rPr>
          <w:rFonts w:cs="Arial"/>
        </w:rPr>
        <w:t>.</w:t>
      </w:r>
      <w:r w:rsidR="00B05442" w:rsidRPr="007F04C4">
        <w:rPr>
          <w:rFonts w:cs="Arial"/>
        </w:rPr>
        <w:t xml:space="preserve">6%, </w:t>
      </w:r>
      <w:r w:rsidRPr="007F04C4">
        <w:rPr>
          <w:rFonts w:cs="Arial"/>
        </w:rPr>
        <w:t xml:space="preserve">whereof almost two thirds of informal sector </w:t>
      </w:r>
      <w:r w:rsidR="00B05442" w:rsidRPr="007F04C4">
        <w:rPr>
          <w:rFonts w:cs="Arial"/>
        </w:rPr>
        <w:t>(62</w:t>
      </w:r>
      <w:r w:rsidRPr="007F04C4">
        <w:rPr>
          <w:rFonts w:cs="Arial"/>
        </w:rPr>
        <w:t>.</w:t>
      </w:r>
      <w:r w:rsidR="00B05442" w:rsidRPr="007F04C4">
        <w:rPr>
          <w:rFonts w:cs="Arial"/>
        </w:rPr>
        <w:t xml:space="preserve">7%) </w:t>
      </w:r>
      <w:r w:rsidRPr="007F04C4">
        <w:rPr>
          <w:rFonts w:cs="Arial"/>
        </w:rPr>
        <w:t>related to employment in agricultural activities.</w:t>
      </w:r>
      <w:r w:rsidR="00B05442" w:rsidRPr="007F04C4">
        <w:rPr>
          <w:rFonts w:cs="Arial"/>
        </w:rPr>
        <w:t xml:space="preserve"> </w:t>
      </w:r>
    </w:p>
    <w:p w:rsidR="00391A81" w:rsidRPr="007F04C4" w:rsidRDefault="00391A81" w:rsidP="00166DB3">
      <w:pPr>
        <w:spacing w:before="120" w:after="120" w:line="300" w:lineRule="auto"/>
        <w:ind w:firstLine="403"/>
        <w:jc w:val="both"/>
        <w:rPr>
          <w:rFonts w:cs="Arial"/>
        </w:rPr>
      </w:pPr>
      <w:r w:rsidRPr="007F04C4">
        <w:rPr>
          <w:rFonts w:cs="Arial"/>
          <w:b/>
        </w:rPr>
        <w:t>Unemployment rate</w:t>
      </w:r>
      <w:r w:rsidRPr="007F04C4">
        <w:rPr>
          <w:rFonts w:cs="Arial"/>
        </w:rPr>
        <w:t xml:space="preserve"> of population aged 15 and over amounted to 14.8%, i.e. 14.1% regarding males and 15.8% regarding females. Observed by regions, the highest </w:t>
      </w:r>
      <w:r w:rsidR="004253AF" w:rsidRPr="007F04C4">
        <w:rPr>
          <w:rFonts w:cs="Arial"/>
        </w:rPr>
        <w:t>rate</w:t>
      </w:r>
      <w:r w:rsidRPr="007F04C4">
        <w:rPr>
          <w:rFonts w:cs="Arial"/>
        </w:rPr>
        <w:t xml:space="preserve"> was recorded in Region </w:t>
      </w:r>
      <w:proofErr w:type="spellStart"/>
      <w:r w:rsidRPr="007F04C4">
        <w:rPr>
          <w:rFonts w:cs="Arial"/>
        </w:rPr>
        <w:t>Južne</w:t>
      </w:r>
      <w:proofErr w:type="spellEnd"/>
      <w:r w:rsidRPr="007F04C4">
        <w:rPr>
          <w:rFonts w:cs="Arial"/>
        </w:rPr>
        <w:t xml:space="preserve"> </w:t>
      </w:r>
      <w:proofErr w:type="spellStart"/>
      <w:r w:rsidRPr="007F04C4">
        <w:rPr>
          <w:rFonts w:cs="Arial"/>
        </w:rPr>
        <w:t>i</w:t>
      </w:r>
      <w:proofErr w:type="spellEnd"/>
      <w:r w:rsidRPr="007F04C4">
        <w:rPr>
          <w:rFonts w:cs="Arial"/>
        </w:rPr>
        <w:t xml:space="preserve"> </w:t>
      </w:r>
      <w:proofErr w:type="spellStart"/>
      <w:r w:rsidRPr="007F04C4">
        <w:rPr>
          <w:rFonts w:cs="Arial"/>
        </w:rPr>
        <w:t>Istočne</w:t>
      </w:r>
      <w:proofErr w:type="spellEnd"/>
      <w:r w:rsidRPr="007F04C4">
        <w:rPr>
          <w:rFonts w:cs="Arial"/>
        </w:rPr>
        <w:t xml:space="preserve"> </w:t>
      </w:r>
      <w:proofErr w:type="spellStart"/>
      <w:r w:rsidRPr="007F04C4">
        <w:rPr>
          <w:rFonts w:cs="Arial"/>
        </w:rPr>
        <w:t>Srbije</w:t>
      </w:r>
      <w:proofErr w:type="spellEnd"/>
      <w:r w:rsidRPr="007F04C4">
        <w:rPr>
          <w:rFonts w:cs="Arial"/>
        </w:rPr>
        <w:t xml:space="preserve"> (18.3%), in Region </w:t>
      </w:r>
      <w:proofErr w:type="spellStart"/>
      <w:r w:rsidRPr="007F04C4">
        <w:rPr>
          <w:rFonts w:cs="Arial"/>
        </w:rPr>
        <w:t>Šumadije</w:t>
      </w:r>
      <w:proofErr w:type="spellEnd"/>
      <w:r w:rsidRPr="007F04C4">
        <w:rPr>
          <w:rFonts w:cs="Arial"/>
        </w:rPr>
        <w:t xml:space="preserve"> </w:t>
      </w:r>
      <w:proofErr w:type="spellStart"/>
      <w:r w:rsidRPr="007F04C4">
        <w:rPr>
          <w:rFonts w:cs="Arial"/>
        </w:rPr>
        <w:t>i</w:t>
      </w:r>
      <w:proofErr w:type="spellEnd"/>
      <w:r w:rsidRPr="007F04C4">
        <w:rPr>
          <w:rFonts w:cs="Arial"/>
        </w:rPr>
        <w:t xml:space="preserve"> </w:t>
      </w:r>
      <w:proofErr w:type="spellStart"/>
      <w:r w:rsidRPr="007F04C4">
        <w:rPr>
          <w:rFonts w:cs="Arial"/>
        </w:rPr>
        <w:t>Zapadne</w:t>
      </w:r>
      <w:proofErr w:type="spellEnd"/>
      <w:r w:rsidRPr="007F04C4">
        <w:rPr>
          <w:rFonts w:cs="Arial"/>
        </w:rPr>
        <w:t xml:space="preserve"> </w:t>
      </w:r>
      <w:proofErr w:type="spellStart"/>
      <w:r w:rsidRPr="007F04C4">
        <w:rPr>
          <w:rFonts w:cs="Arial"/>
        </w:rPr>
        <w:t>Srbije</w:t>
      </w:r>
      <w:proofErr w:type="spellEnd"/>
      <w:r w:rsidR="004253AF" w:rsidRPr="007F04C4">
        <w:rPr>
          <w:rFonts w:cs="Arial"/>
        </w:rPr>
        <w:t xml:space="preserve"> it was</w:t>
      </w:r>
      <w:r w:rsidRPr="007F04C4">
        <w:rPr>
          <w:rFonts w:cs="Arial"/>
        </w:rPr>
        <w:t xml:space="preserve"> </w:t>
      </w:r>
      <w:r w:rsidR="004253AF" w:rsidRPr="007F04C4">
        <w:rPr>
          <w:rFonts w:cs="Arial"/>
        </w:rPr>
        <w:t>15.6%</w:t>
      </w:r>
      <w:r w:rsidRPr="007F04C4">
        <w:rPr>
          <w:rFonts w:cs="Arial"/>
        </w:rPr>
        <w:t xml:space="preserve">, </w:t>
      </w:r>
      <w:r w:rsidR="004253AF" w:rsidRPr="007F04C4">
        <w:rPr>
          <w:rFonts w:cs="Arial"/>
        </w:rPr>
        <w:t xml:space="preserve">and </w:t>
      </w:r>
      <w:r w:rsidRPr="007F04C4">
        <w:rPr>
          <w:rFonts w:cs="Arial"/>
        </w:rPr>
        <w:t xml:space="preserve">in </w:t>
      </w:r>
      <w:proofErr w:type="spellStart"/>
      <w:r w:rsidRPr="007F04C4">
        <w:rPr>
          <w:rFonts w:cs="Arial"/>
        </w:rPr>
        <w:t>Beogradski</w:t>
      </w:r>
      <w:proofErr w:type="spellEnd"/>
      <w:r w:rsidRPr="007F04C4">
        <w:rPr>
          <w:rFonts w:cs="Arial"/>
        </w:rPr>
        <w:t xml:space="preserve"> region </w:t>
      </w:r>
      <w:r w:rsidR="004253AF" w:rsidRPr="007F04C4">
        <w:rPr>
          <w:rFonts w:cs="Arial"/>
        </w:rPr>
        <w:t>13.3%. Unemployment rate</w:t>
      </w:r>
      <w:r w:rsidRPr="007F04C4">
        <w:rPr>
          <w:rFonts w:cs="Arial"/>
        </w:rPr>
        <w:t xml:space="preserve"> was the lowest in Region </w:t>
      </w:r>
      <w:proofErr w:type="spellStart"/>
      <w:r w:rsidRPr="007F04C4">
        <w:rPr>
          <w:rFonts w:cs="Arial"/>
        </w:rPr>
        <w:t>Vojvodine</w:t>
      </w:r>
      <w:proofErr w:type="spellEnd"/>
      <w:r w:rsidRPr="007F04C4">
        <w:rPr>
          <w:rFonts w:cs="Arial"/>
        </w:rPr>
        <w:t xml:space="preserve"> (12.9%). </w:t>
      </w:r>
    </w:p>
    <w:p w:rsidR="00E263C3" w:rsidRPr="007F04C4" w:rsidRDefault="00E263C3" w:rsidP="00E263C3">
      <w:pPr>
        <w:spacing w:after="240" w:line="300" w:lineRule="auto"/>
        <w:ind w:firstLine="403"/>
        <w:jc w:val="both"/>
        <w:rPr>
          <w:rStyle w:val="IntenseEmphasis"/>
          <w:rFonts w:cs="Arial"/>
          <w:i w:val="0"/>
          <w:color w:val="2E74B5"/>
          <w:sz w:val="22"/>
          <w:szCs w:val="22"/>
        </w:rPr>
      </w:pPr>
    </w:p>
    <w:p w:rsidR="00B377AD" w:rsidRPr="00166DB3" w:rsidRDefault="00B377AD" w:rsidP="00B377AD">
      <w:pPr>
        <w:spacing w:before="360" w:after="120" w:line="288" w:lineRule="auto"/>
        <w:ind w:firstLine="403"/>
        <w:jc w:val="both"/>
        <w:rPr>
          <w:rStyle w:val="IntenseEmphasis"/>
          <w:rFonts w:cs="Arial"/>
          <w:i w:val="0"/>
          <w:color w:val="5B9BD5" w:themeColor="accent1"/>
          <w:sz w:val="22"/>
          <w:szCs w:val="22"/>
        </w:rPr>
      </w:pPr>
      <w:r w:rsidRPr="00166DB3">
        <w:rPr>
          <w:rStyle w:val="IntenseEmphasis"/>
          <w:rFonts w:cs="Arial"/>
          <w:i w:val="0"/>
          <w:color w:val="5B9BD5" w:themeColor="accent1"/>
          <w:sz w:val="22"/>
          <w:szCs w:val="22"/>
        </w:rPr>
        <w:lastRenderedPageBreak/>
        <w:t xml:space="preserve">Comparison with the same period of the previous year </w:t>
      </w:r>
    </w:p>
    <w:p w:rsidR="00B377AD" w:rsidRPr="00166DB3" w:rsidRDefault="00B377AD" w:rsidP="00166DB3">
      <w:pPr>
        <w:spacing w:before="120" w:after="120" w:line="300" w:lineRule="auto"/>
        <w:ind w:firstLine="403"/>
        <w:jc w:val="both"/>
        <w:rPr>
          <w:rFonts w:cs="Arial"/>
        </w:rPr>
      </w:pPr>
      <w:r w:rsidRPr="00166DB3">
        <w:rPr>
          <w:rFonts w:cs="Arial"/>
        </w:rPr>
        <w:t>Relative to the first quarter of the previous year, number of employed population increased by 36</w:t>
      </w:r>
      <w:r w:rsidR="00166DB3">
        <w:rPr>
          <w:rFonts w:cs="Arial"/>
        </w:rPr>
        <w:t> </w:t>
      </w:r>
      <w:r w:rsidRPr="00166DB3">
        <w:rPr>
          <w:rFonts w:cs="Arial"/>
        </w:rPr>
        <w:t>100, and number of unemployed by 15</w:t>
      </w:r>
      <w:r w:rsidR="00166DB3">
        <w:rPr>
          <w:rFonts w:cs="Arial"/>
        </w:rPr>
        <w:t> </w:t>
      </w:r>
      <w:r w:rsidRPr="00166DB3">
        <w:rPr>
          <w:rFonts w:cs="Arial"/>
        </w:rPr>
        <w:t xml:space="preserve">900. </w:t>
      </w:r>
      <w:r w:rsidR="00166DB3">
        <w:rPr>
          <w:rFonts w:cs="Arial"/>
        </w:rPr>
        <w:t xml:space="preserve">That caused </w:t>
      </w:r>
      <w:r w:rsidR="00166DB3" w:rsidRPr="00166DB3">
        <w:rPr>
          <w:rFonts w:cs="Arial"/>
          <w:b/>
        </w:rPr>
        <w:t>increase of</w:t>
      </w:r>
      <w:r w:rsidR="00DA2A7C">
        <w:rPr>
          <w:rFonts w:cs="Arial"/>
          <w:b/>
        </w:rPr>
        <w:t xml:space="preserve"> </w:t>
      </w:r>
      <w:r w:rsidR="00DA2A7C" w:rsidRPr="00DA2A7C">
        <w:rPr>
          <w:rFonts w:cs="Arial"/>
          <w:b/>
        </w:rPr>
        <w:t>the contingent of labour force</w:t>
      </w:r>
      <w:r w:rsidR="00166DB3" w:rsidRPr="00166DB3">
        <w:rPr>
          <w:rFonts w:cs="Arial"/>
          <w:b/>
        </w:rPr>
        <w:t xml:space="preserve"> by 52 000</w:t>
      </w:r>
      <w:r w:rsidR="00166DB3">
        <w:rPr>
          <w:rFonts w:cs="Arial"/>
        </w:rPr>
        <w:t xml:space="preserve">, and activity rate by 1.1 </w:t>
      </w:r>
      <w:r w:rsidR="00F9046D">
        <w:rPr>
          <w:rFonts w:cs="Arial"/>
          <w:lang w:val="sr-Latn-RS"/>
        </w:rPr>
        <w:t>percentage point (</w:t>
      </w:r>
      <w:r w:rsidR="00166DB3">
        <w:rPr>
          <w:rFonts w:cs="Arial"/>
        </w:rPr>
        <w:t>p.p.</w:t>
      </w:r>
      <w:r w:rsidR="00F9046D">
        <w:rPr>
          <w:rFonts w:cs="Arial"/>
        </w:rPr>
        <w:t>).</w:t>
      </w:r>
      <w:r w:rsidR="00166DB3">
        <w:rPr>
          <w:rFonts w:cs="Arial"/>
        </w:rPr>
        <w:t xml:space="preserve"> </w:t>
      </w:r>
      <w:r w:rsidRPr="00166DB3">
        <w:rPr>
          <w:rFonts w:cs="Arial"/>
        </w:rPr>
        <w:t>Employment rate and unemployment rate were increased by 0.8 p.p. and 0.3 p.p., respectively.</w:t>
      </w:r>
    </w:p>
    <w:p w:rsidR="00B377AD" w:rsidRPr="00166DB3" w:rsidRDefault="00B377AD" w:rsidP="00166DB3">
      <w:pPr>
        <w:spacing w:before="120" w:after="120" w:line="300" w:lineRule="auto"/>
        <w:ind w:firstLine="403"/>
        <w:jc w:val="both"/>
        <w:rPr>
          <w:rFonts w:cs="Arial"/>
        </w:rPr>
      </w:pPr>
      <w:r w:rsidRPr="00166DB3">
        <w:rPr>
          <w:rFonts w:cs="Arial"/>
        </w:rPr>
        <w:t>Within total employ</w:t>
      </w:r>
      <w:r w:rsidR="00166DB3">
        <w:rPr>
          <w:rFonts w:cs="Arial"/>
        </w:rPr>
        <w:t>ment, which was increased by 36 </w:t>
      </w:r>
      <w:r w:rsidRPr="00166DB3">
        <w:rPr>
          <w:rFonts w:cs="Arial"/>
        </w:rPr>
        <w:t>100, employment in agriculture was decreased by 43</w:t>
      </w:r>
      <w:r w:rsidR="00166DB3">
        <w:rPr>
          <w:rFonts w:cs="Arial"/>
        </w:rPr>
        <w:t> </w:t>
      </w:r>
      <w:r w:rsidRPr="00166DB3">
        <w:rPr>
          <w:rFonts w:cs="Arial"/>
        </w:rPr>
        <w:t xml:space="preserve">000, while </w:t>
      </w:r>
      <w:r w:rsidRPr="00166DB3">
        <w:rPr>
          <w:rFonts w:cs="Arial"/>
          <w:b/>
        </w:rPr>
        <w:t>in non-agricultural activities, the employment increased by 79</w:t>
      </w:r>
      <w:r w:rsidR="00166DB3">
        <w:rPr>
          <w:rFonts w:cs="Arial"/>
          <w:b/>
        </w:rPr>
        <w:t> </w:t>
      </w:r>
      <w:r w:rsidRPr="00166DB3">
        <w:rPr>
          <w:rFonts w:cs="Arial"/>
          <w:b/>
        </w:rPr>
        <w:t>000, pr</w:t>
      </w:r>
      <w:r w:rsidR="00166DB3">
        <w:rPr>
          <w:rFonts w:cs="Arial"/>
          <w:b/>
        </w:rPr>
        <w:t>imarily in formal sector (by 71 </w:t>
      </w:r>
      <w:r w:rsidRPr="00166DB3">
        <w:rPr>
          <w:rFonts w:cs="Arial"/>
          <w:b/>
        </w:rPr>
        <w:t>400)</w:t>
      </w:r>
      <w:r w:rsidRPr="00166DB3">
        <w:rPr>
          <w:rFonts w:cs="Arial"/>
        </w:rPr>
        <w:t>. Increase of formal employment was almost identical to increase of registered employment (according to the records of Central Registry of Compulsory Social Insurance) which amounted to 74</w:t>
      </w:r>
      <w:r w:rsidR="00166DB3">
        <w:rPr>
          <w:rFonts w:cs="Arial"/>
        </w:rPr>
        <w:t> </w:t>
      </w:r>
      <w:r w:rsidRPr="00166DB3">
        <w:rPr>
          <w:rFonts w:cs="Arial"/>
        </w:rPr>
        <w:t>500 (excluding agriculture).</w:t>
      </w:r>
    </w:p>
    <w:p w:rsidR="00B377AD" w:rsidRPr="00166DB3" w:rsidRDefault="00B377AD" w:rsidP="00166DB3">
      <w:pPr>
        <w:spacing w:before="120" w:after="120" w:line="300" w:lineRule="auto"/>
        <w:ind w:firstLine="403"/>
        <w:jc w:val="both"/>
        <w:rPr>
          <w:rFonts w:cs="Arial"/>
        </w:rPr>
      </w:pPr>
      <w:r w:rsidRPr="00166DB3">
        <w:rPr>
          <w:rFonts w:cs="Arial"/>
        </w:rPr>
        <w:t xml:space="preserve">Relative to the first quarter 2017, employed were mostly persons aged 25-44 from </w:t>
      </w:r>
      <w:proofErr w:type="spellStart"/>
      <w:r w:rsidRPr="00166DB3">
        <w:rPr>
          <w:rFonts w:cs="Arial"/>
        </w:rPr>
        <w:t>Beogradski</w:t>
      </w:r>
      <w:proofErr w:type="spellEnd"/>
      <w:r w:rsidRPr="00166DB3">
        <w:rPr>
          <w:rFonts w:cs="Arial"/>
        </w:rPr>
        <w:t xml:space="preserve"> region and Region </w:t>
      </w:r>
      <w:proofErr w:type="spellStart"/>
      <w:r w:rsidRPr="00166DB3">
        <w:rPr>
          <w:rFonts w:cs="Arial"/>
        </w:rPr>
        <w:t>Vojvodine</w:t>
      </w:r>
      <w:proofErr w:type="spellEnd"/>
      <w:r w:rsidRPr="00166DB3">
        <w:rPr>
          <w:rFonts w:cs="Arial"/>
        </w:rPr>
        <w:t>, in the sections of Manufacturing, Construction, Professional, scientific and technical activities, Administrative and support service activities, Information and communication.</w:t>
      </w:r>
    </w:p>
    <w:p w:rsidR="00B377AD" w:rsidRDefault="00B377AD" w:rsidP="00166DB3">
      <w:pPr>
        <w:pStyle w:val="FootnoteText"/>
        <w:spacing w:before="120" w:after="120" w:line="300" w:lineRule="auto"/>
        <w:ind w:firstLine="403"/>
        <w:jc w:val="both"/>
        <w:rPr>
          <w:rStyle w:val="IntenseEmphasis"/>
          <w:rFonts w:ascii="Arial" w:hAnsi="Arial" w:cs="Arial"/>
          <w:b/>
          <w:i w:val="0"/>
          <w:color w:val="5B9BD5" w:themeColor="accent1"/>
          <w:sz w:val="22"/>
          <w:szCs w:val="22"/>
        </w:rPr>
      </w:pPr>
      <w:r w:rsidRPr="00166DB3">
        <w:rPr>
          <w:rFonts w:ascii="Arial" w:hAnsi="Arial" w:cs="Arial"/>
        </w:rPr>
        <w:t xml:space="preserve">Results on labour market </w:t>
      </w:r>
      <w:proofErr w:type="gramStart"/>
      <w:r w:rsidRPr="00166DB3">
        <w:rPr>
          <w:rFonts w:ascii="Arial" w:hAnsi="Arial" w:cs="Arial"/>
        </w:rPr>
        <w:t>are not influenced</w:t>
      </w:r>
      <w:proofErr w:type="gramEnd"/>
      <w:r w:rsidRPr="00166DB3">
        <w:rPr>
          <w:rFonts w:ascii="Arial" w:hAnsi="Arial" w:cs="Arial"/>
        </w:rPr>
        <w:t xml:space="preserve"> only by trends of employment and unemployment, but also by demographic trends, which are particularly unfavourable regarding the population aged 15-24. Namely, number of young people, relative to the same period of the previous year, has decreased by 14 000, presenting a half of total decrease of overall population. Additionally, there was an insignificant decrease in the number of employed (5</w:t>
      </w:r>
      <w:r w:rsidR="00166DB3">
        <w:rPr>
          <w:rFonts w:ascii="Arial" w:hAnsi="Arial" w:cs="Arial"/>
        </w:rPr>
        <w:t> </w:t>
      </w:r>
      <w:r w:rsidRPr="00166DB3">
        <w:rPr>
          <w:rFonts w:ascii="Arial" w:hAnsi="Arial" w:cs="Arial"/>
        </w:rPr>
        <w:t>900), in favour of employment (4</w:t>
      </w:r>
      <w:r w:rsidR="00166DB3">
        <w:rPr>
          <w:rFonts w:ascii="Arial" w:hAnsi="Arial" w:cs="Arial"/>
        </w:rPr>
        <w:t> </w:t>
      </w:r>
      <w:r w:rsidRPr="00166DB3">
        <w:rPr>
          <w:rFonts w:ascii="Arial" w:hAnsi="Arial" w:cs="Arial"/>
        </w:rPr>
        <w:t xml:space="preserve">200). Such trends resulted in decreased unemployment rate by 2.6 p. p and increased employment rate by 0.9 </w:t>
      </w:r>
      <w:proofErr w:type="spellStart"/>
      <w:r w:rsidRPr="00166DB3">
        <w:rPr>
          <w:rFonts w:ascii="Arial" w:hAnsi="Arial" w:cs="Arial"/>
        </w:rPr>
        <w:t>p.p</w:t>
      </w:r>
      <w:proofErr w:type="spellEnd"/>
      <w:r w:rsidRPr="00166DB3">
        <w:rPr>
          <w:rFonts w:ascii="Arial" w:hAnsi="Arial" w:cs="Arial"/>
        </w:rPr>
        <w:t xml:space="preserve">, meaning that employment rate of young population amounted to 18.5% and unemployment rate to 34.6%. </w:t>
      </w:r>
      <w:r w:rsidRPr="007F04C4">
        <w:rPr>
          <w:rFonts w:cs="Arial"/>
        </w:rPr>
        <w:t xml:space="preserve"> </w:t>
      </w:r>
    </w:p>
    <w:p w:rsidR="00E62C2D" w:rsidRPr="00166DB3" w:rsidRDefault="00E62C2D" w:rsidP="00B377AD">
      <w:pPr>
        <w:pStyle w:val="FootnoteText"/>
        <w:spacing w:before="360" w:after="120" w:line="300" w:lineRule="auto"/>
        <w:ind w:firstLine="403"/>
        <w:jc w:val="both"/>
        <w:rPr>
          <w:rStyle w:val="IntenseEmphasis"/>
          <w:i w:val="0"/>
          <w:iCs w:val="0"/>
          <w:color w:val="5B9BD5" w:themeColor="accent1"/>
          <w:sz w:val="22"/>
          <w:szCs w:val="22"/>
        </w:rPr>
      </w:pPr>
      <w:r w:rsidRPr="00166DB3">
        <w:rPr>
          <w:rStyle w:val="IntenseEmphasis"/>
          <w:rFonts w:ascii="Arial" w:hAnsi="Arial" w:cs="Arial"/>
          <w:i w:val="0"/>
          <w:color w:val="5B9BD5" w:themeColor="accent1"/>
          <w:sz w:val="22"/>
          <w:szCs w:val="22"/>
        </w:rPr>
        <w:t>Compar</w:t>
      </w:r>
      <w:r w:rsidR="00B377AD" w:rsidRPr="00166DB3">
        <w:rPr>
          <w:rStyle w:val="IntenseEmphasis"/>
          <w:rFonts w:ascii="Arial" w:hAnsi="Arial" w:cs="Arial"/>
          <w:i w:val="0"/>
          <w:color w:val="5B9BD5" w:themeColor="accent1"/>
          <w:sz w:val="22"/>
          <w:szCs w:val="22"/>
        </w:rPr>
        <w:t>ison with the previous quarter</w:t>
      </w:r>
    </w:p>
    <w:p w:rsidR="008C52F9" w:rsidRPr="007F04C4" w:rsidRDefault="00E62C2D" w:rsidP="00166DB3">
      <w:pPr>
        <w:pStyle w:val="NormalWeb"/>
        <w:spacing w:beforeLines="0" w:before="120" w:afterLines="0" w:after="120" w:line="300" w:lineRule="auto"/>
        <w:ind w:firstLine="403"/>
        <w:jc w:val="both"/>
        <w:rPr>
          <w:rFonts w:cs="Arial"/>
          <w:lang w:val="en-GB"/>
        </w:rPr>
      </w:pPr>
      <w:r w:rsidRPr="007F04C4">
        <w:rPr>
          <w:rFonts w:ascii="Arial" w:hAnsi="Arial" w:cs="Arial"/>
          <w:lang w:val="en-GB"/>
        </w:rPr>
        <w:t>Relative to the fourth quarter 2017, employment decreased by 75 300, out of which 71% related to the activity of Agriculture, forestry and fishery</w:t>
      </w:r>
      <w:r w:rsidR="002230F8">
        <w:rPr>
          <w:rStyle w:val="FootnoteReference"/>
          <w:rFonts w:ascii="Arial" w:hAnsi="Arial" w:cs="Arial"/>
          <w:lang w:val="en-GB"/>
        </w:rPr>
        <w:footnoteReference w:id="1"/>
      </w:r>
      <w:r w:rsidRPr="007F04C4">
        <w:rPr>
          <w:rFonts w:ascii="Arial" w:hAnsi="Arial" w:cs="Arial"/>
          <w:vertAlign w:val="superscript"/>
          <w:lang w:val="en-GB"/>
        </w:rPr>
        <w:t xml:space="preserve"> </w:t>
      </w:r>
      <w:r w:rsidRPr="007F04C4">
        <w:rPr>
          <w:rFonts w:ascii="Arial" w:hAnsi="Arial" w:cs="Arial"/>
          <w:lang w:val="en-GB"/>
        </w:rPr>
        <w:t>(</w:t>
      </w:r>
      <w:r w:rsidR="004253AF" w:rsidRPr="007F04C4">
        <w:rPr>
          <w:rFonts w:ascii="Arial" w:hAnsi="Arial" w:cs="Arial"/>
          <w:lang w:val="en-GB"/>
        </w:rPr>
        <w:t xml:space="preserve">due to </w:t>
      </w:r>
      <w:r w:rsidRPr="007F04C4">
        <w:rPr>
          <w:rFonts w:ascii="Arial" w:hAnsi="Arial" w:cs="Arial"/>
          <w:lang w:val="en-GB"/>
        </w:rPr>
        <w:t xml:space="preserve">seasonal decrease of works in agriculture in winter months). Decreased employment reflected to decreased employment rate, which </w:t>
      </w:r>
      <w:proofErr w:type="gramStart"/>
      <w:r w:rsidRPr="007F04C4">
        <w:rPr>
          <w:rFonts w:ascii="Arial" w:hAnsi="Arial" w:cs="Arial"/>
          <w:lang w:val="en-GB"/>
        </w:rPr>
        <w:t>was by 1.2 p.p. decreased</w:t>
      </w:r>
      <w:proofErr w:type="gramEnd"/>
      <w:r w:rsidRPr="007F04C4">
        <w:rPr>
          <w:rFonts w:ascii="Arial" w:hAnsi="Arial" w:cs="Arial"/>
          <w:lang w:val="en-GB"/>
        </w:rPr>
        <w:t xml:space="preserve"> relative to the previous quarter.</w:t>
      </w:r>
      <w:r w:rsidR="008C52F9" w:rsidRPr="007F04C4">
        <w:rPr>
          <w:rFonts w:cs="Arial"/>
          <w:lang w:val="en-GB"/>
        </w:rPr>
        <w:t xml:space="preserve"> </w:t>
      </w:r>
    </w:p>
    <w:p w:rsidR="00E62C2D" w:rsidRPr="007F04C4" w:rsidRDefault="00E62C2D" w:rsidP="00166DB3">
      <w:pPr>
        <w:pStyle w:val="NormalWeb"/>
        <w:spacing w:beforeLines="0" w:before="120" w:afterLines="0" w:after="120" w:line="300" w:lineRule="auto"/>
        <w:ind w:firstLine="403"/>
        <w:jc w:val="both"/>
        <w:rPr>
          <w:rFonts w:ascii="Arial" w:hAnsi="Arial" w:cs="Arial"/>
          <w:lang w:val="en-GB"/>
        </w:rPr>
      </w:pPr>
      <w:r w:rsidRPr="007F04C4">
        <w:rPr>
          <w:rFonts w:ascii="Arial" w:hAnsi="Arial" w:cs="Arial"/>
          <w:lang w:val="en-GB"/>
        </w:rPr>
        <w:t xml:space="preserve">Compared with other regions, </w:t>
      </w:r>
      <w:proofErr w:type="spellStart"/>
      <w:r w:rsidRPr="007F04C4">
        <w:rPr>
          <w:rFonts w:ascii="Arial" w:hAnsi="Arial" w:cs="Arial"/>
          <w:lang w:val="en-GB"/>
        </w:rPr>
        <w:t>Beogradski</w:t>
      </w:r>
      <w:proofErr w:type="spellEnd"/>
      <w:r w:rsidRPr="007F04C4">
        <w:rPr>
          <w:rFonts w:ascii="Arial" w:hAnsi="Arial" w:cs="Arial"/>
          <w:lang w:val="en-GB"/>
        </w:rPr>
        <w:t xml:space="preserve"> region “suffered” the lowest loss of jobs, and it is not surprising, knowing that seasonal jobs that terminated during the winter months were the least present in this region. The greatest decrease of employment was registered in Region</w:t>
      </w:r>
      <w:r w:rsidR="00880A8B" w:rsidRPr="007F04C4">
        <w:rPr>
          <w:rFonts w:ascii="Arial" w:hAnsi="Arial" w:cs="Arial"/>
          <w:lang w:val="en-GB"/>
        </w:rPr>
        <w:t xml:space="preserve"> </w:t>
      </w:r>
      <w:proofErr w:type="spellStart"/>
      <w:r w:rsidR="00880A8B" w:rsidRPr="007F04C4">
        <w:rPr>
          <w:rFonts w:ascii="Arial" w:hAnsi="Arial" w:cs="Arial"/>
          <w:lang w:val="en-GB"/>
        </w:rPr>
        <w:t>Šumadije</w:t>
      </w:r>
      <w:proofErr w:type="spellEnd"/>
      <w:r w:rsidR="00880A8B" w:rsidRPr="007F04C4">
        <w:rPr>
          <w:rFonts w:ascii="Arial" w:hAnsi="Arial" w:cs="Arial"/>
          <w:lang w:val="en-GB"/>
        </w:rPr>
        <w:t xml:space="preserve"> </w:t>
      </w:r>
      <w:proofErr w:type="spellStart"/>
      <w:r w:rsidR="00880A8B" w:rsidRPr="007F04C4">
        <w:rPr>
          <w:rFonts w:ascii="Arial" w:hAnsi="Arial" w:cs="Arial"/>
          <w:lang w:val="en-GB"/>
        </w:rPr>
        <w:t>i</w:t>
      </w:r>
      <w:proofErr w:type="spellEnd"/>
      <w:r w:rsidR="00880A8B" w:rsidRPr="007F04C4">
        <w:rPr>
          <w:rFonts w:ascii="Arial" w:hAnsi="Arial" w:cs="Arial"/>
          <w:lang w:val="en-GB"/>
        </w:rPr>
        <w:t xml:space="preserve"> </w:t>
      </w:r>
      <w:proofErr w:type="spellStart"/>
      <w:r w:rsidR="00880A8B" w:rsidRPr="007F04C4">
        <w:rPr>
          <w:rFonts w:ascii="Arial" w:hAnsi="Arial" w:cs="Arial"/>
          <w:lang w:val="en-GB"/>
        </w:rPr>
        <w:t>Zapadne</w:t>
      </w:r>
      <w:proofErr w:type="spellEnd"/>
      <w:r w:rsidR="00880A8B" w:rsidRPr="007F04C4">
        <w:rPr>
          <w:rFonts w:ascii="Arial" w:hAnsi="Arial" w:cs="Arial"/>
          <w:lang w:val="en-GB"/>
        </w:rPr>
        <w:t xml:space="preserve"> </w:t>
      </w:r>
      <w:proofErr w:type="spellStart"/>
      <w:r w:rsidR="00880A8B" w:rsidRPr="007F04C4">
        <w:rPr>
          <w:rFonts w:ascii="Arial" w:hAnsi="Arial" w:cs="Arial"/>
          <w:lang w:val="en-GB"/>
        </w:rPr>
        <w:t>Srbije</w:t>
      </w:r>
      <w:proofErr w:type="spellEnd"/>
      <w:r w:rsidRPr="007F04C4">
        <w:rPr>
          <w:rFonts w:ascii="Arial" w:hAnsi="Arial" w:cs="Arial"/>
          <w:lang w:val="en-GB"/>
        </w:rPr>
        <w:t xml:space="preserve">. </w:t>
      </w:r>
    </w:p>
    <w:p w:rsidR="00880A8B" w:rsidRPr="007F04C4" w:rsidRDefault="00880A8B" w:rsidP="00166DB3">
      <w:pPr>
        <w:spacing w:before="120" w:after="120" w:line="300" w:lineRule="auto"/>
        <w:ind w:firstLine="403"/>
        <w:jc w:val="both"/>
        <w:rPr>
          <w:rFonts w:cs="Arial"/>
        </w:rPr>
      </w:pPr>
      <w:r w:rsidRPr="007F04C4">
        <w:rPr>
          <w:rFonts w:cs="Arial"/>
        </w:rPr>
        <w:t xml:space="preserve">Employment was terminated </w:t>
      </w:r>
      <w:r w:rsidR="004253AF" w:rsidRPr="007F04C4">
        <w:rPr>
          <w:rFonts w:cs="Arial"/>
        </w:rPr>
        <w:t xml:space="preserve">referring to </w:t>
      </w:r>
      <w:r w:rsidRPr="007F04C4">
        <w:rPr>
          <w:rFonts w:cs="Arial"/>
        </w:rPr>
        <w:t>persons with primary and secondary education completed, while in category of persons with tertiary education, employment was increased (by 32</w:t>
      </w:r>
      <w:r w:rsidR="002230F8">
        <w:rPr>
          <w:rFonts w:cs="Arial"/>
        </w:rPr>
        <w:t> </w:t>
      </w:r>
      <w:r w:rsidRPr="007F04C4">
        <w:rPr>
          <w:rFonts w:cs="Arial"/>
        </w:rPr>
        <w:t xml:space="preserve">100).   </w:t>
      </w:r>
    </w:p>
    <w:p w:rsidR="00D925E2" w:rsidRPr="007F04C4" w:rsidRDefault="00880A8B" w:rsidP="00166DB3">
      <w:pPr>
        <w:spacing w:before="120" w:after="120" w:line="300" w:lineRule="auto"/>
        <w:ind w:firstLine="403"/>
        <w:jc w:val="both"/>
        <w:rPr>
          <w:rFonts w:cs="Arial"/>
        </w:rPr>
      </w:pPr>
      <w:r w:rsidRPr="002230F8">
        <w:rPr>
          <w:rFonts w:cs="Arial"/>
          <w:b/>
        </w:rPr>
        <w:t xml:space="preserve">In the first quarter </w:t>
      </w:r>
      <w:r w:rsidR="00D925E2" w:rsidRPr="002230F8">
        <w:rPr>
          <w:rFonts w:cs="Arial"/>
          <w:b/>
        </w:rPr>
        <w:t>2018</w:t>
      </w:r>
      <w:r w:rsidRPr="002230F8">
        <w:rPr>
          <w:rFonts w:cs="Arial"/>
          <w:b/>
        </w:rPr>
        <w:t>,</w:t>
      </w:r>
      <w:r w:rsidR="00DA2A7C" w:rsidRPr="002230F8">
        <w:rPr>
          <w:rFonts w:cs="Arial"/>
          <w:b/>
        </w:rPr>
        <w:t xml:space="preserve"> two positive trends </w:t>
      </w:r>
      <w:r w:rsidR="002230F8" w:rsidRPr="002230F8">
        <w:rPr>
          <w:rFonts w:cs="Arial"/>
          <w:b/>
        </w:rPr>
        <w:t xml:space="preserve">related to non-agricultural activities </w:t>
      </w:r>
      <w:r w:rsidR="00DA2A7C" w:rsidRPr="002230F8">
        <w:rPr>
          <w:rFonts w:cs="Arial"/>
          <w:b/>
        </w:rPr>
        <w:t>were noted</w:t>
      </w:r>
      <w:r w:rsidR="002230F8">
        <w:rPr>
          <w:rFonts w:cs="Arial"/>
          <w:b/>
        </w:rPr>
        <w:t xml:space="preserve"> -</w:t>
      </w:r>
      <w:r w:rsidR="002230F8" w:rsidRPr="002230F8">
        <w:rPr>
          <w:rFonts w:cs="Arial"/>
          <w:b/>
        </w:rPr>
        <w:t xml:space="preserve"> </w:t>
      </w:r>
      <w:r w:rsidRPr="002230F8">
        <w:rPr>
          <w:rFonts w:cs="Arial"/>
          <w:b/>
        </w:rPr>
        <w:t xml:space="preserve">formal employment increased </w:t>
      </w:r>
      <w:r w:rsidR="00D925E2" w:rsidRPr="002230F8">
        <w:rPr>
          <w:rFonts w:cs="Arial"/>
          <w:b/>
        </w:rPr>
        <w:t>(</w:t>
      </w:r>
      <w:r w:rsidRPr="002230F8">
        <w:rPr>
          <w:rFonts w:cs="Arial"/>
          <w:b/>
        </w:rPr>
        <w:t>by</w:t>
      </w:r>
      <w:r w:rsidR="00D925E2" w:rsidRPr="002230F8">
        <w:rPr>
          <w:rFonts w:cs="Arial"/>
          <w:b/>
        </w:rPr>
        <w:t xml:space="preserve"> 6</w:t>
      </w:r>
      <w:r w:rsidR="002230F8">
        <w:rPr>
          <w:rFonts w:cs="Arial"/>
          <w:b/>
        </w:rPr>
        <w:t> </w:t>
      </w:r>
      <w:r w:rsidR="00D925E2" w:rsidRPr="002230F8">
        <w:rPr>
          <w:rFonts w:cs="Arial"/>
          <w:b/>
        </w:rPr>
        <w:t>900)</w:t>
      </w:r>
      <w:r w:rsidR="002230F8" w:rsidRPr="002230F8">
        <w:rPr>
          <w:rFonts w:cs="Arial"/>
          <w:b/>
        </w:rPr>
        <w:t>, primarily to manufacturing</w:t>
      </w:r>
      <w:r w:rsidR="002230F8">
        <w:rPr>
          <w:rFonts w:cs="Arial"/>
          <w:b/>
        </w:rPr>
        <w:t>,</w:t>
      </w:r>
      <w:r w:rsidR="00D925E2" w:rsidRPr="002230F8">
        <w:rPr>
          <w:rFonts w:cs="Arial"/>
          <w:b/>
        </w:rPr>
        <w:t xml:space="preserve"> </w:t>
      </w:r>
      <w:r w:rsidRPr="002230F8">
        <w:rPr>
          <w:rFonts w:cs="Arial"/>
          <w:b/>
        </w:rPr>
        <w:t xml:space="preserve">and informal employment decreased </w:t>
      </w:r>
      <w:r w:rsidR="00D925E2" w:rsidRPr="002230F8">
        <w:rPr>
          <w:rFonts w:cs="Arial"/>
          <w:b/>
        </w:rPr>
        <w:t>(</w:t>
      </w:r>
      <w:r w:rsidRPr="002230F8">
        <w:rPr>
          <w:rFonts w:cs="Arial"/>
          <w:b/>
        </w:rPr>
        <w:t>by</w:t>
      </w:r>
      <w:r w:rsidR="00D925E2" w:rsidRPr="002230F8">
        <w:rPr>
          <w:rFonts w:cs="Arial"/>
          <w:b/>
        </w:rPr>
        <w:t xml:space="preserve"> 28</w:t>
      </w:r>
      <w:r w:rsidR="002230F8">
        <w:rPr>
          <w:rFonts w:cs="Arial"/>
          <w:b/>
        </w:rPr>
        <w:t> </w:t>
      </w:r>
      <w:r w:rsidR="00D925E2" w:rsidRPr="002230F8">
        <w:rPr>
          <w:rFonts w:cs="Arial"/>
          <w:b/>
        </w:rPr>
        <w:t>500)</w:t>
      </w:r>
      <w:r w:rsidRPr="002230F8">
        <w:rPr>
          <w:rFonts w:cs="Arial"/>
          <w:b/>
        </w:rPr>
        <w:t>.</w:t>
      </w:r>
      <w:r w:rsidR="00D925E2" w:rsidRPr="007F04C4">
        <w:rPr>
          <w:rFonts w:cs="Arial"/>
        </w:rPr>
        <w:t xml:space="preserve"> </w:t>
      </w:r>
      <w:r w:rsidRPr="007F04C4">
        <w:rPr>
          <w:rFonts w:cs="Arial"/>
        </w:rPr>
        <w:t>In the same period, registered employment excluding agriculture was</w:t>
      </w:r>
      <w:r w:rsidR="00D925E2" w:rsidRPr="007F04C4">
        <w:rPr>
          <w:rFonts w:cs="Arial"/>
        </w:rPr>
        <w:t xml:space="preserve">, </w:t>
      </w:r>
      <w:r w:rsidRPr="007F04C4">
        <w:rPr>
          <w:rFonts w:cs="Arial"/>
        </w:rPr>
        <w:t xml:space="preserve">according to the evidence of Central </w:t>
      </w:r>
      <w:r w:rsidR="00275560" w:rsidRPr="007F04C4">
        <w:rPr>
          <w:rFonts w:cs="Arial"/>
        </w:rPr>
        <w:t>R</w:t>
      </w:r>
      <w:r w:rsidRPr="007F04C4">
        <w:rPr>
          <w:rFonts w:cs="Arial"/>
        </w:rPr>
        <w:t>egistr</w:t>
      </w:r>
      <w:r w:rsidR="00275560" w:rsidRPr="007F04C4">
        <w:rPr>
          <w:rFonts w:cs="Arial"/>
        </w:rPr>
        <w:t>y</w:t>
      </w:r>
      <w:r w:rsidRPr="007F04C4">
        <w:rPr>
          <w:rFonts w:cs="Arial"/>
        </w:rPr>
        <w:t xml:space="preserve"> </w:t>
      </w:r>
      <w:r w:rsidR="00275560" w:rsidRPr="007F04C4">
        <w:rPr>
          <w:rFonts w:cs="Arial"/>
        </w:rPr>
        <w:t>o</w:t>
      </w:r>
      <w:r w:rsidRPr="007F04C4">
        <w:rPr>
          <w:rFonts w:cs="Arial"/>
        </w:rPr>
        <w:t xml:space="preserve">f </w:t>
      </w:r>
      <w:r w:rsidR="00275560" w:rsidRPr="007F04C4">
        <w:rPr>
          <w:rFonts w:cs="Arial"/>
        </w:rPr>
        <w:t>C</w:t>
      </w:r>
      <w:r w:rsidRPr="007F04C4">
        <w:rPr>
          <w:rFonts w:cs="Arial"/>
        </w:rPr>
        <w:t xml:space="preserve">ompulsory </w:t>
      </w:r>
      <w:r w:rsidR="00275560" w:rsidRPr="007F04C4">
        <w:rPr>
          <w:rFonts w:cs="Arial"/>
        </w:rPr>
        <w:t>S</w:t>
      </w:r>
      <w:r w:rsidRPr="007F04C4">
        <w:rPr>
          <w:rFonts w:cs="Arial"/>
        </w:rPr>
        <w:t xml:space="preserve">ocial </w:t>
      </w:r>
      <w:r w:rsidR="00275560" w:rsidRPr="007F04C4">
        <w:rPr>
          <w:rFonts w:cs="Arial"/>
        </w:rPr>
        <w:t>I</w:t>
      </w:r>
      <w:r w:rsidRPr="007F04C4">
        <w:rPr>
          <w:rFonts w:cs="Arial"/>
        </w:rPr>
        <w:t>nsurance, increased by 7</w:t>
      </w:r>
      <w:r w:rsidR="002230F8">
        <w:rPr>
          <w:rFonts w:cs="Arial"/>
        </w:rPr>
        <w:t> </w:t>
      </w:r>
      <w:r w:rsidRPr="007F04C4">
        <w:rPr>
          <w:rFonts w:cs="Arial"/>
        </w:rPr>
        <w:t>800</w:t>
      </w:r>
      <w:r w:rsidR="00E711A9">
        <w:rPr>
          <w:rFonts w:cs="Arial"/>
        </w:rPr>
        <w:t>, also primarily to manufacturing</w:t>
      </w:r>
      <w:r w:rsidRPr="007F04C4">
        <w:rPr>
          <w:rFonts w:cs="Arial"/>
        </w:rPr>
        <w:t>.</w:t>
      </w:r>
    </w:p>
    <w:p w:rsidR="00D925E2" w:rsidRPr="007F04C4" w:rsidRDefault="00880A8B" w:rsidP="00166DB3">
      <w:pPr>
        <w:spacing w:before="120" w:after="120" w:line="300" w:lineRule="auto"/>
        <w:ind w:firstLine="403"/>
        <w:jc w:val="both"/>
        <w:rPr>
          <w:rFonts w:cs="Arial"/>
        </w:rPr>
      </w:pPr>
      <w:r w:rsidRPr="007F04C4">
        <w:rPr>
          <w:rFonts w:cs="Arial"/>
        </w:rPr>
        <w:t xml:space="preserve">Besides decrease of total employment, unemployment was also decreased </w:t>
      </w:r>
      <w:r w:rsidR="00D925E2" w:rsidRPr="007F04C4">
        <w:rPr>
          <w:rFonts w:cs="Arial"/>
        </w:rPr>
        <w:t>(</w:t>
      </w:r>
      <w:r w:rsidRPr="007F04C4">
        <w:rPr>
          <w:rFonts w:cs="Arial"/>
        </w:rPr>
        <w:t>by</w:t>
      </w:r>
      <w:r w:rsidR="00D925E2" w:rsidRPr="007F04C4">
        <w:rPr>
          <w:rFonts w:cs="Arial"/>
        </w:rPr>
        <w:t xml:space="preserve"> 6</w:t>
      </w:r>
      <w:r w:rsidR="002230F8">
        <w:rPr>
          <w:rFonts w:cs="Arial"/>
        </w:rPr>
        <w:t> </w:t>
      </w:r>
      <w:r w:rsidR="00D925E2" w:rsidRPr="007F04C4">
        <w:rPr>
          <w:rFonts w:cs="Arial"/>
        </w:rPr>
        <w:t xml:space="preserve">800), </w:t>
      </w:r>
      <w:r w:rsidRPr="007F04C4">
        <w:rPr>
          <w:rFonts w:cs="Arial"/>
        </w:rPr>
        <w:t>so that the conti</w:t>
      </w:r>
      <w:r w:rsidR="00275560" w:rsidRPr="007F04C4">
        <w:rPr>
          <w:rFonts w:cs="Arial"/>
        </w:rPr>
        <w:t>n</w:t>
      </w:r>
      <w:r w:rsidRPr="007F04C4">
        <w:rPr>
          <w:rFonts w:cs="Arial"/>
        </w:rPr>
        <w:t xml:space="preserve">gent of </w:t>
      </w:r>
      <w:r w:rsidR="00930544" w:rsidRPr="007F04C4">
        <w:rPr>
          <w:rFonts w:cs="Arial"/>
        </w:rPr>
        <w:t>labour</w:t>
      </w:r>
      <w:r w:rsidRPr="007F04C4">
        <w:rPr>
          <w:rFonts w:cs="Arial"/>
        </w:rPr>
        <w:t xml:space="preserve"> force</w:t>
      </w:r>
      <w:r w:rsidR="00DA2A7C">
        <w:rPr>
          <w:rFonts w:cs="Arial"/>
        </w:rPr>
        <w:t xml:space="preserve"> (influenced by season)</w:t>
      </w:r>
      <w:r w:rsidRPr="007F04C4">
        <w:rPr>
          <w:rFonts w:cs="Arial"/>
        </w:rPr>
        <w:t xml:space="preserve"> in the first quarter was s</w:t>
      </w:r>
      <w:r w:rsidR="00275560" w:rsidRPr="007F04C4">
        <w:rPr>
          <w:rFonts w:cs="Arial"/>
        </w:rPr>
        <w:t>m</w:t>
      </w:r>
      <w:r w:rsidRPr="007F04C4">
        <w:rPr>
          <w:rFonts w:cs="Arial"/>
        </w:rPr>
        <w:t>aller by 82</w:t>
      </w:r>
      <w:r w:rsidR="002230F8">
        <w:rPr>
          <w:rFonts w:cs="Arial"/>
        </w:rPr>
        <w:t> </w:t>
      </w:r>
      <w:r w:rsidRPr="007F04C4">
        <w:rPr>
          <w:rFonts w:cs="Arial"/>
        </w:rPr>
        <w:t xml:space="preserve">200, and activity rate </w:t>
      </w:r>
      <w:r w:rsidR="00275560" w:rsidRPr="007F04C4">
        <w:rPr>
          <w:rFonts w:cs="Arial"/>
        </w:rPr>
        <w:t>by 1.3 p.p.</w:t>
      </w:r>
    </w:p>
    <w:p w:rsidR="008C52F9" w:rsidRPr="007F04C4" w:rsidRDefault="00275560" w:rsidP="00166DB3">
      <w:pPr>
        <w:spacing w:before="120" w:after="120" w:line="300" w:lineRule="auto"/>
        <w:ind w:firstLine="403"/>
        <w:jc w:val="both"/>
        <w:rPr>
          <w:rFonts w:cs="Arial"/>
        </w:rPr>
      </w:pPr>
      <w:r w:rsidRPr="007F04C4">
        <w:rPr>
          <w:rFonts w:cs="Arial"/>
        </w:rPr>
        <w:t>Similar trend of decreased employment and unemployment, with increase of inactivity (noted on the level of total population) encompassed the young population, aged 15-24. Number of employed and unemployed young was decreased by 22 000 and 7 100, respectively</w:t>
      </w:r>
      <w:r w:rsidR="008C52F9" w:rsidRPr="007F04C4">
        <w:rPr>
          <w:rFonts w:cs="Arial"/>
        </w:rPr>
        <w:t xml:space="preserve">, </w:t>
      </w:r>
      <w:r w:rsidRPr="007F04C4">
        <w:rPr>
          <w:rFonts w:cs="Arial"/>
        </w:rPr>
        <w:t xml:space="preserve">thus influencing the increased contingent of inactive population by </w:t>
      </w:r>
      <w:r w:rsidR="008C52F9" w:rsidRPr="007F04C4">
        <w:rPr>
          <w:rFonts w:cs="Arial"/>
        </w:rPr>
        <w:t xml:space="preserve">25 600 </w:t>
      </w:r>
      <w:r w:rsidRPr="007F04C4">
        <w:rPr>
          <w:rFonts w:cs="Arial"/>
        </w:rPr>
        <w:t>in this age group</w:t>
      </w:r>
      <w:r w:rsidR="008C52F9" w:rsidRPr="007F04C4">
        <w:rPr>
          <w:rFonts w:cs="Arial"/>
        </w:rPr>
        <w:t xml:space="preserve">. </w:t>
      </w:r>
      <w:r w:rsidRPr="007F04C4">
        <w:rPr>
          <w:rFonts w:cs="Arial"/>
        </w:rPr>
        <w:t xml:space="preserve">Unemployment rate of young is still on high level, amounting to </w:t>
      </w:r>
      <w:r w:rsidR="008C52F9" w:rsidRPr="007F04C4">
        <w:rPr>
          <w:rFonts w:cs="Arial"/>
        </w:rPr>
        <w:t>34</w:t>
      </w:r>
      <w:r w:rsidRPr="007F04C4">
        <w:rPr>
          <w:rFonts w:cs="Arial"/>
        </w:rPr>
        <w:t>.</w:t>
      </w:r>
      <w:r w:rsidR="008C52F9" w:rsidRPr="007F04C4">
        <w:rPr>
          <w:rFonts w:cs="Arial"/>
        </w:rPr>
        <w:t>6%.</w:t>
      </w:r>
    </w:p>
    <w:p w:rsidR="008C52F9" w:rsidRPr="007F04C4" w:rsidRDefault="00275560" w:rsidP="00166DB3">
      <w:pPr>
        <w:spacing w:before="120" w:after="120" w:line="300" w:lineRule="auto"/>
        <w:ind w:firstLine="403"/>
        <w:jc w:val="both"/>
        <w:rPr>
          <w:rFonts w:cs="Arial"/>
        </w:rPr>
      </w:pPr>
      <w:r w:rsidRPr="007F04C4">
        <w:rPr>
          <w:rFonts w:cs="Arial"/>
        </w:rPr>
        <w:t xml:space="preserve">The share of young who neither work nor attend school (in formal and non-formal education) in total population of young aged 15-24 (so called NEET rate) was insignificantly changed relative to the previous quarter </w:t>
      </w:r>
      <w:r w:rsidR="008C52F9" w:rsidRPr="007F04C4">
        <w:rPr>
          <w:rFonts w:cs="Arial"/>
        </w:rPr>
        <w:t>(</w:t>
      </w:r>
      <w:r w:rsidRPr="007F04C4">
        <w:rPr>
          <w:rFonts w:cs="Arial"/>
        </w:rPr>
        <w:t>by</w:t>
      </w:r>
      <w:r w:rsidR="008C52F9" w:rsidRPr="007F04C4">
        <w:rPr>
          <w:rFonts w:cs="Arial"/>
        </w:rPr>
        <w:t xml:space="preserve"> 0</w:t>
      </w:r>
      <w:r w:rsidRPr="007F04C4">
        <w:rPr>
          <w:rFonts w:cs="Arial"/>
        </w:rPr>
        <w:t>.</w:t>
      </w:r>
      <w:r w:rsidR="008C52F9" w:rsidRPr="007F04C4">
        <w:rPr>
          <w:rFonts w:cs="Arial"/>
        </w:rPr>
        <w:t xml:space="preserve">3 </w:t>
      </w:r>
      <w:r w:rsidRPr="007F04C4">
        <w:rPr>
          <w:rFonts w:cs="Arial"/>
        </w:rPr>
        <w:t>p</w:t>
      </w:r>
      <w:r w:rsidR="008C52F9" w:rsidRPr="007F04C4">
        <w:rPr>
          <w:rFonts w:cs="Arial"/>
        </w:rPr>
        <w:t xml:space="preserve">. </w:t>
      </w:r>
      <w:r w:rsidRPr="007F04C4">
        <w:rPr>
          <w:rFonts w:cs="Arial"/>
        </w:rPr>
        <w:t>p</w:t>
      </w:r>
      <w:r w:rsidR="008C52F9" w:rsidRPr="007F04C4">
        <w:rPr>
          <w:rFonts w:cs="Arial"/>
        </w:rPr>
        <w:t xml:space="preserve">.) </w:t>
      </w:r>
      <w:r w:rsidRPr="007F04C4">
        <w:rPr>
          <w:rFonts w:cs="Arial"/>
        </w:rPr>
        <w:t>and now amounted to 17.</w:t>
      </w:r>
      <w:r w:rsidR="008C52F9" w:rsidRPr="007F04C4">
        <w:rPr>
          <w:rFonts w:cs="Arial"/>
        </w:rPr>
        <w:t xml:space="preserve">3%. </w:t>
      </w:r>
      <w:r w:rsidRPr="007F04C4">
        <w:rPr>
          <w:rFonts w:cs="Arial"/>
        </w:rPr>
        <w:t xml:space="preserve">NEET rate of population aged </w:t>
      </w:r>
      <w:r w:rsidR="00DA2A7C">
        <w:rPr>
          <w:rFonts w:cs="Arial"/>
        </w:rPr>
        <w:t>15</w:t>
      </w:r>
      <w:r w:rsidRPr="007F04C4">
        <w:rPr>
          <w:rFonts w:cs="Arial"/>
        </w:rPr>
        <w:t>-</w:t>
      </w:r>
      <w:r w:rsidR="008C52F9" w:rsidRPr="007F04C4">
        <w:rPr>
          <w:rFonts w:cs="Arial"/>
        </w:rPr>
        <w:t xml:space="preserve">29 </w:t>
      </w:r>
      <w:r w:rsidRPr="007F04C4">
        <w:rPr>
          <w:rFonts w:cs="Arial"/>
        </w:rPr>
        <w:t>amounted to</w:t>
      </w:r>
      <w:r w:rsidR="008C52F9" w:rsidRPr="007F04C4">
        <w:rPr>
          <w:rFonts w:cs="Arial"/>
        </w:rPr>
        <w:t xml:space="preserve"> 21</w:t>
      </w:r>
      <w:r w:rsidRPr="007F04C4">
        <w:rPr>
          <w:rFonts w:cs="Arial"/>
        </w:rPr>
        <w:t>.</w:t>
      </w:r>
      <w:r w:rsidR="008C52F9" w:rsidRPr="007F04C4">
        <w:rPr>
          <w:rFonts w:cs="Arial"/>
        </w:rPr>
        <w:t>9%.</w:t>
      </w:r>
    </w:p>
    <w:p w:rsidR="00B001B9" w:rsidRPr="007F04C4" w:rsidRDefault="00B001B9" w:rsidP="004439E5">
      <w:pPr>
        <w:spacing w:before="120" w:after="120" w:line="288" w:lineRule="auto"/>
        <w:ind w:firstLine="403"/>
        <w:jc w:val="center"/>
        <w:rPr>
          <w:rFonts w:cs="Arial"/>
          <w:bCs/>
        </w:rPr>
      </w:pPr>
      <w:r w:rsidRPr="007F04C4">
        <w:rPr>
          <w:rFonts w:cs="Arial"/>
          <w:b/>
          <w:bCs/>
        </w:rPr>
        <w:lastRenderedPageBreak/>
        <w:t xml:space="preserve">Table </w:t>
      </w:r>
      <w:proofErr w:type="gramStart"/>
      <w:r w:rsidRPr="007F04C4">
        <w:rPr>
          <w:rFonts w:cs="Arial"/>
          <w:b/>
          <w:bCs/>
        </w:rPr>
        <w:t>1</w:t>
      </w:r>
      <w:proofErr w:type="gramEnd"/>
      <w:r w:rsidRPr="007F04C4">
        <w:rPr>
          <w:rFonts w:cs="Arial"/>
          <w:b/>
          <w:bCs/>
        </w:rPr>
        <w:t xml:space="preserve"> </w:t>
      </w:r>
      <w:r w:rsidRPr="007F04C4">
        <w:rPr>
          <w:rFonts w:cs="Arial"/>
          <w:bCs/>
        </w:rPr>
        <w:t xml:space="preserve">Main </w:t>
      </w:r>
      <w:r w:rsidR="007F04C4" w:rsidRPr="007F04C4">
        <w:rPr>
          <w:rFonts w:cs="Arial"/>
          <w:bCs/>
        </w:rPr>
        <w:t>indicator</w:t>
      </w:r>
      <w:r w:rsidRPr="007F04C4">
        <w:rPr>
          <w:rFonts w:cs="Arial"/>
          <w:bCs/>
        </w:rPr>
        <w:t xml:space="preserve">s of labour </w:t>
      </w:r>
      <w:r w:rsidR="007F04C4" w:rsidRPr="007F04C4">
        <w:rPr>
          <w:rFonts w:cs="Arial"/>
          <w:bCs/>
        </w:rPr>
        <w:t>market</w:t>
      </w:r>
      <w:r w:rsidRPr="007F04C4">
        <w:rPr>
          <w:rFonts w:cs="Arial"/>
          <w:bCs/>
        </w:rPr>
        <w:t xml:space="preserve"> trend, Q1 2018</w:t>
      </w:r>
    </w:p>
    <w:tbl>
      <w:tblPr>
        <w:tblW w:w="8699" w:type="dxa"/>
        <w:jc w:val="center"/>
        <w:tblLayout w:type="fixed"/>
        <w:tblLook w:val="04A0" w:firstRow="1" w:lastRow="0" w:firstColumn="1" w:lastColumn="0" w:noHBand="0" w:noVBand="1"/>
      </w:tblPr>
      <w:tblGrid>
        <w:gridCol w:w="3617"/>
        <w:gridCol w:w="973"/>
        <w:gridCol w:w="1059"/>
        <w:gridCol w:w="1011"/>
        <w:gridCol w:w="1022"/>
        <w:gridCol w:w="1017"/>
      </w:tblGrid>
      <w:tr w:rsidR="00E263C3" w:rsidRPr="007F04C4" w:rsidTr="002230F8">
        <w:trPr>
          <w:trHeight w:val="587"/>
          <w:jc w:val="center"/>
        </w:trPr>
        <w:tc>
          <w:tcPr>
            <w:tcW w:w="3617" w:type="dxa"/>
            <w:vMerge w:val="restart"/>
            <w:tcBorders>
              <w:top w:val="single" w:sz="8" w:space="0" w:color="0C5498"/>
              <w:bottom w:val="single" w:sz="8" w:space="0" w:color="0C5498"/>
              <w:right w:val="single" w:sz="8" w:space="0" w:color="0C5498"/>
            </w:tcBorders>
            <w:shd w:val="clear" w:color="auto" w:fill="auto"/>
            <w:noWrap/>
            <w:vAlign w:val="center"/>
            <w:hideMark/>
          </w:tcPr>
          <w:p w:rsidR="00E263C3" w:rsidRPr="007F04C4" w:rsidRDefault="00E263C3" w:rsidP="00D51705">
            <w:pPr>
              <w:rPr>
                <w:rFonts w:cs="Arial"/>
                <w:color w:val="000000"/>
                <w:sz w:val="18"/>
                <w:szCs w:val="18"/>
              </w:rPr>
            </w:pPr>
            <w:r w:rsidRPr="007F04C4">
              <w:rPr>
                <w:rFonts w:cs="Arial"/>
                <w:color w:val="000000"/>
                <w:sz w:val="18"/>
                <w:szCs w:val="18"/>
              </w:rPr>
              <w:t> </w:t>
            </w:r>
          </w:p>
        </w:tc>
        <w:tc>
          <w:tcPr>
            <w:tcW w:w="973" w:type="dxa"/>
            <w:tcBorders>
              <w:top w:val="single" w:sz="8" w:space="0" w:color="0C5498"/>
              <w:left w:val="nil"/>
              <w:bottom w:val="single" w:sz="8" w:space="0" w:color="0C5498"/>
              <w:right w:val="single" w:sz="8" w:space="0" w:color="0C5498"/>
            </w:tcBorders>
            <w:shd w:val="clear" w:color="auto" w:fill="auto"/>
            <w:vAlign w:val="center"/>
            <w:hideMark/>
          </w:tcPr>
          <w:p w:rsidR="00E263C3" w:rsidRPr="007F04C4" w:rsidRDefault="00B001B9" w:rsidP="00B001B9">
            <w:pPr>
              <w:jc w:val="center"/>
              <w:rPr>
                <w:rFonts w:cs="Arial"/>
                <w:color w:val="000000"/>
                <w:sz w:val="18"/>
                <w:szCs w:val="18"/>
              </w:rPr>
            </w:pPr>
            <w:r w:rsidRPr="007F04C4">
              <w:rPr>
                <w:rFonts w:cs="Arial"/>
                <w:sz w:val="16"/>
                <w:szCs w:val="16"/>
              </w:rPr>
              <w:t>Q1 2018</w:t>
            </w:r>
          </w:p>
        </w:tc>
        <w:tc>
          <w:tcPr>
            <w:tcW w:w="2070" w:type="dxa"/>
            <w:gridSpan w:val="2"/>
            <w:tcBorders>
              <w:top w:val="single" w:sz="8" w:space="0" w:color="0C5498"/>
              <w:left w:val="nil"/>
              <w:bottom w:val="single" w:sz="8" w:space="0" w:color="0C5498"/>
              <w:right w:val="single" w:sz="8" w:space="0" w:color="0C5498"/>
            </w:tcBorders>
            <w:shd w:val="clear" w:color="auto" w:fill="auto"/>
            <w:vAlign w:val="center"/>
            <w:hideMark/>
          </w:tcPr>
          <w:p w:rsidR="00E263C3" w:rsidRPr="007F04C4" w:rsidRDefault="00B001B9" w:rsidP="00D51705">
            <w:pPr>
              <w:jc w:val="center"/>
              <w:rPr>
                <w:rFonts w:cs="Arial"/>
                <w:color w:val="000000"/>
                <w:sz w:val="18"/>
                <w:szCs w:val="18"/>
              </w:rPr>
            </w:pPr>
            <w:r w:rsidRPr="007F04C4">
              <w:rPr>
                <w:rFonts w:cs="Arial"/>
                <w:sz w:val="16"/>
                <w:szCs w:val="16"/>
              </w:rPr>
              <w:t>Changes relative to previous quarter</w:t>
            </w:r>
          </w:p>
        </w:tc>
        <w:tc>
          <w:tcPr>
            <w:tcW w:w="2039" w:type="dxa"/>
            <w:gridSpan w:val="2"/>
            <w:tcBorders>
              <w:top w:val="single" w:sz="8" w:space="0" w:color="0C5498"/>
              <w:left w:val="nil"/>
              <w:bottom w:val="single" w:sz="8" w:space="0" w:color="0C5498"/>
            </w:tcBorders>
            <w:shd w:val="clear" w:color="auto" w:fill="auto"/>
            <w:vAlign w:val="center"/>
            <w:hideMark/>
          </w:tcPr>
          <w:p w:rsidR="00E263C3" w:rsidRPr="007F04C4" w:rsidRDefault="00B001B9" w:rsidP="00B001B9">
            <w:pPr>
              <w:jc w:val="center"/>
              <w:rPr>
                <w:rFonts w:cs="Arial"/>
                <w:color w:val="000000"/>
                <w:sz w:val="18"/>
                <w:szCs w:val="18"/>
              </w:rPr>
            </w:pPr>
            <w:r w:rsidRPr="007F04C4">
              <w:rPr>
                <w:rFonts w:cs="Arial"/>
                <w:sz w:val="16"/>
                <w:szCs w:val="16"/>
              </w:rPr>
              <w:t>Changes relative to same quarter of 2017</w:t>
            </w:r>
          </w:p>
        </w:tc>
      </w:tr>
      <w:tr w:rsidR="00E263C3" w:rsidRPr="007F04C4" w:rsidTr="002230F8">
        <w:trPr>
          <w:trHeight w:val="273"/>
          <w:jc w:val="center"/>
        </w:trPr>
        <w:tc>
          <w:tcPr>
            <w:tcW w:w="3617" w:type="dxa"/>
            <w:vMerge/>
            <w:tcBorders>
              <w:top w:val="single" w:sz="8" w:space="0" w:color="0C5498"/>
              <w:bottom w:val="single" w:sz="8" w:space="0" w:color="0C5498"/>
              <w:right w:val="single" w:sz="8" w:space="0" w:color="0C5498"/>
            </w:tcBorders>
            <w:vAlign w:val="center"/>
            <w:hideMark/>
          </w:tcPr>
          <w:p w:rsidR="00E263C3" w:rsidRPr="007F04C4" w:rsidRDefault="00E263C3" w:rsidP="00D51705">
            <w:pPr>
              <w:rPr>
                <w:rFonts w:cs="Arial"/>
                <w:color w:val="000000"/>
                <w:sz w:val="18"/>
                <w:szCs w:val="18"/>
              </w:rPr>
            </w:pPr>
          </w:p>
        </w:tc>
        <w:tc>
          <w:tcPr>
            <w:tcW w:w="973" w:type="dxa"/>
            <w:tcBorders>
              <w:top w:val="nil"/>
              <w:left w:val="nil"/>
              <w:bottom w:val="single" w:sz="8" w:space="0" w:color="0C5498"/>
              <w:right w:val="single" w:sz="8" w:space="0" w:color="0C5498"/>
            </w:tcBorders>
            <w:shd w:val="clear" w:color="auto" w:fill="auto"/>
            <w:vAlign w:val="center"/>
            <w:hideMark/>
          </w:tcPr>
          <w:p w:rsidR="00E263C3" w:rsidRPr="007F04C4" w:rsidRDefault="00B001B9" w:rsidP="00D51705">
            <w:pPr>
              <w:jc w:val="center"/>
              <w:rPr>
                <w:rFonts w:cs="Arial"/>
                <w:color w:val="000000"/>
                <w:sz w:val="18"/>
                <w:szCs w:val="18"/>
              </w:rPr>
            </w:pPr>
            <w:r w:rsidRPr="007F04C4">
              <w:rPr>
                <w:rFonts w:cs="Arial"/>
                <w:sz w:val="16"/>
                <w:szCs w:val="16"/>
              </w:rPr>
              <w:t>(in thousand)</w:t>
            </w:r>
          </w:p>
        </w:tc>
        <w:tc>
          <w:tcPr>
            <w:tcW w:w="1059" w:type="dxa"/>
            <w:tcBorders>
              <w:top w:val="nil"/>
              <w:left w:val="nil"/>
              <w:bottom w:val="single" w:sz="8" w:space="0" w:color="0C5498"/>
              <w:right w:val="single" w:sz="8" w:space="0" w:color="0C5498"/>
            </w:tcBorders>
            <w:shd w:val="clear" w:color="auto" w:fill="auto"/>
            <w:vAlign w:val="center"/>
            <w:hideMark/>
          </w:tcPr>
          <w:p w:rsidR="00E263C3" w:rsidRPr="007F04C4" w:rsidRDefault="00B001B9" w:rsidP="00D51705">
            <w:pPr>
              <w:jc w:val="center"/>
              <w:rPr>
                <w:rFonts w:cs="Arial"/>
                <w:color w:val="000000"/>
                <w:sz w:val="18"/>
                <w:szCs w:val="18"/>
              </w:rPr>
            </w:pPr>
            <w:r w:rsidRPr="007F04C4">
              <w:rPr>
                <w:rFonts w:cs="Arial"/>
                <w:sz w:val="16"/>
                <w:szCs w:val="16"/>
              </w:rPr>
              <w:t>(in thousand)</w:t>
            </w:r>
          </w:p>
        </w:tc>
        <w:tc>
          <w:tcPr>
            <w:tcW w:w="1011" w:type="dxa"/>
            <w:tcBorders>
              <w:top w:val="nil"/>
              <w:left w:val="nil"/>
              <w:bottom w:val="single" w:sz="8" w:space="0" w:color="0C5498"/>
              <w:right w:val="single" w:sz="8" w:space="0" w:color="0C5498"/>
            </w:tcBorders>
            <w:shd w:val="clear" w:color="auto" w:fill="auto"/>
            <w:vAlign w:val="center"/>
            <w:hideMark/>
          </w:tcPr>
          <w:p w:rsidR="00E263C3" w:rsidRPr="007F04C4" w:rsidRDefault="00E263C3" w:rsidP="00D51705">
            <w:pPr>
              <w:jc w:val="center"/>
              <w:rPr>
                <w:rFonts w:cs="Arial"/>
                <w:color w:val="000000"/>
                <w:sz w:val="18"/>
                <w:szCs w:val="18"/>
              </w:rPr>
            </w:pPr>
            <w:r w:rsidRPr="007F04C4">
              <w:rPr>
                <w:rFonts w:cs="Arial"/>
                <w:color w:val="000000"/>
                <w:sz w:val="18"/>
                <w:szCs w:val="18"/>
              </w:rPr>
              <w:t>%</w:t>
            </w:r>
          </w:p>
        </w:tc>
        <w:tc>
          <w:tcPr>
            <w:tcW w:w="1022" w:type="dxa"/>
            <w:tcBorders>
              <w:top w:val="nil"/>
              <w:left w:val="nil"/>
              <w:bottom w:val="single" w:sz="8" w:space="0" w:color="0C5498"/>
              <w:right w:val="single" w:sz="8" w:space="0" w:color="0C5498"/>
            </w:tcBorders>
            <w:shd w:val="clear" w:color="auto" w:fill="auto"/>
            <w:vAlign w:val="center"/>
            <w:hideMark/>
          </w:tcPr>
          <w:p w:rsidR="00E263C3" w:rsidRPr="007F04C4" w:rsidRDefault="00B001B9" w:rsidP="00D51705">
            <w:pPr>
              <w:jc w:val="center"/>
              <w:rPr>
                <w:rFonts w:cs="Arial"/>
                <w:color w:val="000000"/>
                <w:sz w:val="18"/>
                <w:szCs w:val="18"/>
              </w:rPr>
            </w:pPr>
            <w:r w:rsidRPr="007F04C4">
              <w:rPr>
                <w:rFonts w:cs="Arial"/>
                <w:sz w:val="16"/>
                <w:szCs w:val="16"/>
              </w:rPr>
              <w:t>(in thousand)</w:t>
            </w:r>
          </w:p>
        </w:tc>
        <w:tc>
          <w:tcPr>
            <w:tcW w:w="1017" w:type="dxa"/>
            <w:tcBorders>
              <w:top w:val="nil"/>
              <w:left w:val="nil"/>
              <w:bottom w:val="single" w:sz="8" w:space="0" w:color="0C5498"/>
            </w:tcBorders>
            <w:shd w:val="clear" w:color="auto" w:fill="auto"/>
            <w:vAlign w:val="center"/>
            <w:hideMark/>
          </w:tcPr>
          <w:p w:rsidR="00E263C3" w:rsidRPr="007F04C4" w:rsidRDefault="00E263C3" w:rsidP="00D51705">
            <w:pPr>
              <w:jc w:val="center"/>
              <w:rPr>
                <w:rFonts w:cs="Arial"/>
                <w:color w:val="000000"/>
                <w:sz w:val="18"/>
                <w:szCs w:val="18"/>
              </w:rPr>
            </w:pPr>
            <w:r w:rsidRPr="007F04C4">
              <w:rPr>
                <w:rFonts w:cs="Arial"/>
                <w:color w:val="000000"/>
                <w:sz w:val="18"/>
                <w:szCs w:val="18"/>
              </w:rPr>
              <w:t>%</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E263C3" w:rsidP="00D51705">
            <w:pPr>
              <w:rPr>
                <w:rFonts w:cs="Arial"/>
                <w:b/>
                <w:bCs/>
                <w:color w:val="000000"/>
                <w:sz w:val="18"/>
                <w:szCs w:val="18"/>
              </w:rPr>
            </w:pPr>
            <w:r w:rsidRPr="007F04C4">
              <w:rPr>
                <w:rFonts w:cs="Arial"/>
                <w:b/>
                <w:bCs/>
                <w:color w:val="000000"/>
                <w:sz w:val="18"/>
                <w:szCs w:val="18"/>
              </w:rPr>
              <w:t> </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color w:val="000000"/>
                <w:sz w:val="18"/>
                <w:szCs w:val="18"/>
              </w:rPr>
            </w:pPr>
            <w:r w:rsidRPr="007F04C4">
              <w:rPr>
                <w:rFonts w:cs="Arial"/>
                <w:color w:val="000000"/>
                <w:sz w:val="18"/>
                <w:szCs w:val="18"/>
              </w:rPr>
              <w:t> </w:t>
            </w:r>
          </w:p>
        </w:tc>
        <w:tc>
          <w:tcPr>
            <w:tcW w:w="1059" w:type="dxa"/>
            <w:tcBorders>
              <w:top w:val="nil"/>
              <w:left w:val="nil"/>
              <w:bottom w:val="nil"/>
              <w:right w:val="nil"/>
            </w:tcBorders>
            <w:shd w:val="clear" w:color="auto" w:fill="auto"/>
            <w:vAlign w:val="center"/>
            <w:hideMark/>
          </w:tcPr>
          <w:p w:rsidR="00E263C3" w:rsidRPr="007F04C4" w:rsidRDefault="00E263C3" w:rsidP="00D51705">
            <w:pPr>
              <w:jc w:val="right"/>
              <w:rPr>
                <w:rFonts w:cs="Arial"/>
                <w:color w:val="000000"/>
                <w:sz w:val="18"/>
                <w:szCs w:val="18"/>
              </w:rPr>
            </w:pPr>
          </w:p>
        </w:tc>
        <w:tc>
          <w:tcPr>
            <w:tcW w:w="1011"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color w:val="000000"/>
                <w:sz w:val="18"/>
                <w:szCs w:val="18"/>
              </w:rPr>
            </w:pPr>
            <w:r w:rsidRPr="007F04C4">
              <w:rPr>
                <w:rFonts w:cs="Arial"/>
                <w:color w:val="000000"/>
                <w:sz w:val="18"/>
                <w:szCs w:val="18"/>
              </w:rPr>
              <w:t> </w:t>
            </w:r>
          </w:p>
        </w:tc>
        <w:tc>
          <w:tcPr>
            <w:tcW w:w="1022" w:type="dxa"/>
            <w:tcBorders>
              <w:top w:val="nil"/>
              <w:left w:val="nil"/>
              <w:bottom w:val="nil"/>
              <w:right w:val="nil"/>
            </w:tcBorders>
            <w:shd w:val="clear" w:color="auto" w:fill="auto"/>
            <w:vAlign w:val="center"/>
            <w:hideMark/>
          </w:tcPr>
          <w:p w:rsidR="00E263C3" w:rsidRPr="007F04C4" w:rsidRDefault="00E263C3" w:rsidP="00D51705">
            <w:pPr>
              <w:jc w:val="right"/>
              <w:rPr>
                <w:rFonts w:cs="Arial"/>
                <w:color w:val="000000"/>
                <w:sz w:val="18"/>
                <w:szCs w:val="18"/>
              </w:rPr>
            </w:pPr>
          </w:p>
        </w:tc>
        <w:tc>
          <w:tcPr>
            <w:tcW w:w="1017" w:type="dxa"/>
            <w:tcBorders>
              <w:top w:val="nil"/>
              <w:left w:val="nil"/>
              <w:bottom w:val="nil"/>
            </w:tcBorders>
            <w:shd w:val="clear" w:color="auto" w:fill="auto"/>
            <w:vAlign w:val="center"/>
            <w:hideMark/>
          </w:tcPr>
          <w:p w:rsidR="00E263C3" w:rsidRPr="007F04C4" w:rsidRDefault="00E263C3" w:rsidP="00D51705">
            <w:pPr>
              <w:jc w:val="right"/>
              <w:rPr>
                <w:rFonts w:cs="Arial"/>
                <w:color w:val="000000"/>
                <w:sz w:val="18"/>
                <w:szCs w:val="18"/>
              </w:rPr>
            </w:pPr>
            <w:r w:rsidRPr="007F04C4">
              <w:rPr>
                <w:rFonts w:cs="Arial"/>
                <w:color w:val="000000"/>
                <w:sz w:val="18"/>
                <w:szCs w:val="18"/>
              </w:rPr>
              <w:t> </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B377AD" w:rsidP="00B001B9">
            <w:pPr>
              <w:rPr>
                <w:rFonts w:cs="Arial"/>
                <w:b/>
                <w:bCs/>
                <w:color w:val="000000"/>
                <w:sz w:val="18"/>
                <w:szCs w:val="18"/>
              </w:rPr>
            </w:pPr>
            <w:r>
              <w:rPr>
                <w:rFonts w:cs="Arial"/>
                <w:b/>
                <w:bCs/>
                <w:color w:val="000000"/>
                <w:sz w:val="18"/>
                <w:szCs w:val="18"/>
              </w:rPr>
              <w:t>P</w:t>
            </w:r>
            <w:r w:rsidRPr="00B377AD">
              <w:rPr>
                <w:rFonts w:cs="Arial"/>
                <w:b/>
                <w:bCs/>
                <w:color w:val="000000"/>
                <w:sz w:val="18"/>
                <w:szCs w:val="18"/>
              </w:rPr>
              <w:t>opulation 15+</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b/>
                <w:sz w:val="18"/>
                <w:szCs w:val="18"/>
              </w:rPr>
            </w:pPr>
            <w:r w:rsidRPr="007F04C4">
              <w:rPr>
                <w:rFonts w:cs="Arial"/>
                <w:b/>
                <w:sz w:val="18"/>
                <w:szCs w:val="18"/>
              </w:rPr>
              <w:t>5</w:t>
            </w:r>
            <w:r w:rsidR="002230F8">
              <w:rPr>
                <w:rFonts w:cs="Arial"/>
                <w:b/>
                <w:sz w:val="18"/>
                <w:szCs w:val="18"/>
              </w:rPr>
              <w:t> </w:t>
            </w:r>
            <w:r w:rsidRPr="007F04C4">
              <w:rPr>
                <w:rFonts w:cs="Arial"/>
                <w:b/>
                <w:sz w:val="18"/>
                <w:szCs w:val="18"/>
              </w:rPr>
              <w:t>967</w:t>
            </w:r>
            <w:r w:rsidR="00B377AD">
              <w:rPr>
                <w:rFonts w:cs="Arial"/>
                <w:b/>
                <w:sz w:val="18"/>
                <w:szCs w:val="18"/>
              </w:rPr>
              <w:t>.</w:t>
            </w:r>
            <w:r w:rsidRPr="007F04C4">
              <w:rPr>
                <w:rFonts w:cs="Arial"/>
                <w:b/>
                <w:sz w:val="18"/>
                <w:szCs w:val="18"/>
              </w:rPr>
              <w:t>1</w:t>
            </w:r>
          </w:p>
        </w:tc>
        <w:tc>
          <w:tcPr>
            <w:tcW w:w="1059" w:type="dxa"/>
            <w:tcBorders>
              <w:top w:val="nil"/>
              <w:left w:val="nil"/>
              <w:bottom w:val="nil"/>
              <w:right w:val="nil"/>
            </w:tcBorders>
            <w:shd w:val="clear" w:color="auto" w:fill="auto"/>
            <w:vAlign w:val="center"/>
            <w:hideMark/>
          </w:tcPr>
          <w:p w:rsidR="00E263C3" w:rsidRPr="007F04C4" w:rsidRDefault="00E263C3" w:rsidP="00D51705">
            <w:pPr>
              <w:jc w:val="right"/>
              <w:rPr>
                <w:rFonts w:cs="Arial"/>
                <w:b/>
                <w:sz w:val="18"/>
                <w:szCs w:val="18"/>
              </w:rPr>
            </w:pPr>
            <w:r w:rsidRPr="007F04C4">
              <w:rPr>
                <w:rFonts w:cs="Arial"/>
                <w:b/>
                <w:sz w:val="18"/>
                <w:szCs w:val="18"/>
              </w:rPr>
              <w:t>-7</w:t>
            </w:r>
            <w:r w:rsidR="00B377AD">
              <w:rPr>
                <w:rFonts w:cs="Arial"/>
                <w:b/>
                <w:sz w:val="18"/>
                <w:szCs w:val="18"/>
              </w:rPr>
              <w:t>.</w:t>
            </w:r>
            <w:r w:rsidRPr="007F04C4">
              <w:rPr>
                <w:rFonts w:cs="Arial"/>
                <w:b/>
                <w:sz w:val="18"/>
                <w:szCs w:val="18"/>
              </w:rPr>
              <w:t>0</w:t>
            </w:r>
          </w:p>
        </w:tc>
        <w:tc>
          <w:tcPr>
            <w:tcW w:w="1011"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b/>
                <w:sz w:val="18"/>
                <w:szCs w:val="18"/>
              </w:rPr>
            </w:pPr>
            <w:r w:rsidRPr="007F04C4">
              <w:rPr>
                <w:rFonts w:cs="Arial"/>
                <w:b/>
                <w:sz w:val="18"/>
                <w:szCs w:val="18"/>
              </w:rPr>
              <w:t>-0</w:t>
            </w:r>
            <w:r w:rsidR="00B377AD">
              <w:rPr>
                <w:rFonts w:cs="Arial"/>
                <w:b/>
                <w:sz w:val="18"/>
                <w:szCs w:val="18"/>
              </w:rPr>
              <w:t>.</w:t>
            </w:r>
            <w:r w:rsidRPr="007F04C4">
              <w:rPr>
                <w:rFonts w:cs="Arial"/>
                <w:b/>
                <w:sz w:val="18"/>
                <w:szCs w:val="18"/>
              </w:rPr>
              <w:t>1</w:t>
            </w:r>
          </w:p>
        </w:tc>
        <w:tc>
          <w:tcPr>
            <w:tcW w:w="1022" w:type="dxa"/>
            <w:tcBorders>
              <w:top w:val="nil"/>
              <w:left w:val="nil"/>
              <w:bottom w:val="nil"/>
              <w:right w:val="nil"/>
            </w:tcBorders>
            <w:shd w:val="clear" w:color="auto" w:fill="auto"/>
            <w:vAlign w:val="center"/>
            <w:hideMark/>
          </w:tcPr>
          <w:p w:rsidR="00E263C3" w:rsidRPr="007F04C4" w:rsidRDefault="00E263C3" w:rsidP="00D51705">
            <w:pPr>
              <w:jc w:val="right"/>
              <w:rPr>
                <w:rFonts w:cs="Arial"/>
                <w:b/>
                <w:sz w:val="18"/>
                <w:szCs w:val="18"/>
              </w:rPr>
            </w:pPr>
            <w:r w:rsidRPr="007F04C4">
              <w:rPr>
                <w:rFonts w:cs="Arial"/>
                <w:b/>
                <w:sz w:val="18"/>
                <w:szCs w:val="18"/>
              </w:rPr>
              <w:t>-28</w:t>
            </w:r>
            <w:r w:rsidR="00B377AD">
              <w:rPr>
                <w:rFonts w:cs="Arial"/>
                <w:b/>
                <w:sz w:val="18"/>
                <w:szCs w:val="18"/>
              </w:rPr>
              <w:t>.</w:t>
            </w:r>
            <w:r w:rsidRPr="007F04C4">
              <w:rPr>
                <w:rFonts w:cs="Arial"/>
                <w:b/>
                <w:sz w:val="18"/>
                <w:szCs w:val="18"/>
              </w:rPr>
              <w:t>1</w:t>
            </w:r>
          </w:p>
        </w:tc>
        <w:tc>
          <w:tcPr>
            <w:tcW w:w="1017" w:type="dxa"/>
            <w:tcBorders>
              <w:top w:val="nil"/>
              <w:left w:val="nil"/>
              <w:bottom w:val="nil"/>
            </w:tcBorders>
            <w:shd w:val="clear" w:color="auto" w:fill="auto"/>
            <w:vAlign w:val="center"/>
            <w:hideMark/>
          </w:tcPr>
          <w:p w:rsidR="00E263C3" w:rsidRPr="007F04C4" w:rsidRDefault="00E263C3" w:rsidP="00D51705">
            <w:pPr>
              <w:jc w:val="right"/>
              <w:rPr>
                <w:rFonts w:cs="Arial"/>
                <w:b/>
                <w:sz w:val="18"/>
                <w:szCs w:val="18"/>
              </w:rPr>
            </w:pPr>
            <w:r w:rsidRPr="007F04C4">
              <w:rPr>
                <w:rFonts w:cs="Arial"/>
                <w:b/>
                <w:sz w:val="18"/>
                <w:szCs w:val="18"/>
              </w:rPr>
              <w:t>-0</w:t>
            </w:r>
            <w:r w:rsidR="00B377AD">
              <w:rPr>
                <w:rFonts w:cs="Arial"/>
                <w:b/>
                <w:sz w:val="18"/>
                <w:szCs w:val="18"/>
              </w:rPr>
              <w:t>.</w:t>
            </w:r>
            <w:r w:rsidRPr="007F04C4">
              <w:rPr>
                <w:rFonts w:cs="Arial"/>
                <w:b/>
                <w:sz w:val="18"/>
                <w:szCs w:val="18"/>
              </w:rPr>
              <w:t>5</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4439E5" w:rsidP="00D51705">
            <w:pPr>
              <w:rPr>
                <w:rFonts w:cs="Arial"/>
                <w:color w:val="000000"/>
                <w:sz w:val="18"/>
                <w:szCs w:val="18"/>
              </w:rPr>
            </w:pPr>
            <w:r>
              <w:rPr>
                <w:rFonts w:cs="Arial"/>
                <w:color w:val="000000"/>
                <w:sz w:val="18"/>
                <w:szCs w:val="18"/>
              </w:rPr>
              <w:t xml:space="preserve">    </w:t>
            </w:r>
            <w:r w:rsidR="00B001B9" w:rsidRPr="007F04C4">
              <w:rPr>
                <w:rFonts w:cs="Arial"/>
                <w:color w:val="000000"/>
                <w:sz w:val="18"/>
                <w:szCs w:val="18"/>
              </w:rPr>
              <w:t>Active</w:t>
            </w:r>
            <w:r w:rsidR="00B377AD">
              <w:rPr>
                <w:rFonts w:cs="Arial"/>
                <w:color w:val="000000"/>
                <w:sz w:val="18"/>
                <w:szCs w:val="18"/>
              </w:rPr>
              <w:t xml:space="preserve"> population </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3</w:t>
            </w:r>
            <w:r w:rsidR="002230F8">
              <w:rPr>
                <w:rFonts w:cs="Arial"/>
                <w:sz w:val="18"/>
                <w:szCs w:val="18"/>
              </w:rPr>
              <w:t> </w:t>
            </w:r>
            <w:r w:rsidRPr="007F04C4">
              <w:rPr>
                <w:rFonts w:cs="Arial"/>
                <w:sz w:val="18"/>
                <w:szCs w:val="18"/>
              </w:rPr>
              <w:t>157</w:t>
            </w:r>
            <w:r w:rsidR="00B377AD">
              <w:rPr>
                <w:rFonts w:cs="Arial"/>
                <w:sz w:val="18"/>
                <w:szCs w:val="18"/>
              </w:rPr>
              <w:t>.</w:t>
            </w:r>
            <w:r w:rsidRPr="007F04C4">
              <w:rPr>
                <w:rFonts w:cs="Arial"/>
                <w:sz w:val="18"/>
                <w:szCs w:val="18"/>
              </w:rPr>
              <w:t>0</w:t>
            </w:r>
          </w:p>
        </w:tc>
        <w:tc>
          <w:tcPr>
            <w:tcW w:w="1059"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-82</w:t>
            </w:r>
            <w:r w:rsidR="00B377AD">
              <w:rPr>
                <w:rFonts w:cs="Arial"/>
                <w:sz w:val="18"/>
                <w:szCs w:val="18"/>
              </w:rPr>
              <w:t>.</w:t>
            </w:r>
            <w:r w:rsidRPr="007F04C4">
              <w:rPr>
                <w:rFonts w:cs="Arial"/>
                <w:sz w:val="18"/>
                <w:szCs w:val="18"/>
              </w:rPr>
              <w:t>2</w:t>
            </w:r>
          </w:p>
        </w:tc>
        <w:tc>
          <w:tcPr>
            <w:tcW w:w="1011"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-2</w:t>
            </w:r>
            <w:r w:rsidR="00B377AD">
              <w:rPr>
                <w:rFonts w:cs="Arial"/>
                <w:sz w:val="18"/>
                <w:szCs w:val="18"/>
              </w:rPr>
              <w:t>.</w:t>
            </w:r>
            <w:r w:rsidRPr="007F04C4">
              <w:rPr>
                <w:rFonts w:cs="Arial"/>
                <w:sz w:val="18"/>
                <w:szCs w:val="18"/>
              </w:rPr>
              <w:t>5</w:t>
            </w:r>
          </w:p>
        </w:tc>
        <w:tc>
          <w:tcPr>
            <w:tcW w:w="1022"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52</w:t>
            </w:r>
            <w:r w:rsidR="00B377AD">
              <w:rPr>
                <w:rFonts w:cs="Arial"/>
                <w:sz w:val="18"/>
                <w:szCs w:val="18"/>
              </w:rPr>
              <w:t>.</w:t>
            </w:r>
            <w:r w:rsidRPr="007F04C4">
              <w:rPr>
                <w:rFonts w:cs="Arial"/>
                <w:sz w:val="18"/>
                <w:szCs w:val="18"/>
              </w:rPr>
              <w:t>0</w:t>
            </w:r>
          </w:p>
        </w:tc>
        <w:tc>
          <w:tcPr>
            <w:tcW w:w="1017" w:type="dxa"/>
            <w:tcBorders>
              <w:top w:val="nil"/>
              <w:left w:val="nil"/>
              <w:bottom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7</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4439E5" w:rsidP="00D51705">
            <w:pPr>
              <w:rPr>
                <w:rFonts w:cs="Arial"/>
                <w:color w:val="000000"/>
                <w:sz w:val="18"/>
                <w:szCs w:val="18"/>
              </w:rPr>
            </w:pPr>
            <w:r>
              <w:rPr>
                <w:rFonts w:cs="Arial"/>
                <w:color w:val="000000"/>
                <w:sz w:val="18"/>
                <w:szCs w:val="18"/>
              </w:rPr>
              <w:t xml:space="preserve">        </w:t>
            </w:r>
            <w:r w:rsidR="00B001B9" w:rsidRPr="007F04C4">
              <w:rPr>
                <w:rFonts w:cs="Arial"/>
                <w:color w:val="000000"/>
                <w:sz w:val="18"/>
                <w:szCs w:val="18"/>
              </w:rPr>
              <w:t>Employed</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2</w:t>
            </w:r>
            <w:r w:rsidR="002230F8">
              <w:rPr>
                <w:rFonts w:cs="Arial"/>
                <w:sz w:val="18"/>
                <w:szCs w:val="18"/>
              </w:rPr>
              <w:t> </w:t>
            </w:r>
            <w:r w:rsidRPr="007F04C4">
              <w:rPr>
                <w:rFonts w:cs="Arial"/>
                <w:sz w:val="18"/>
                <w:szCs w:val="18"/>
              </w:rPr>
              <w:t>688</w:t>
            </w:r>
            <w:r w:rsidR="00B377AD">
              <w:rPr>
                <w:rFonts w:cs="Arial"/>
                <w:sz w:val="18"/>
                <w:szCs w:val="18"/>
              </w:rPr>
              <w:t>.</w:t>
            </w:r>
            <w:r w:rsidRPr="007F04C4">
              <w:rPr>
                <w:rFonts w:cs="Arial"/>
                <w:sz w:val="18"/>
                <w:szCs w:val="18"/>
              </w:rPr>
              <w:t>3</w:t>
            </w:r>
          </w:p>
        </w:tc>
        <w:tc>
          <w:tcPr>
            <w:tcW w:w="1059"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-75</w:t>
            </w:r>
            <w:r w:rsidR="00B377AD">
              <w:rPr>
                <w:rFonts w:cs="Arial"/>
                <w:sz w:val="18"/>
                <w:szCs w:val="18"/>
              </w:rPr>
              <w:t>.</w:t>
            </w:r>
            <w:r w:rsidRPr="007F04C4">
              <w:rPr>
                <w:rFonts w:cs="Arial"/>
                <w:sz w:val="18"/>
                <w:szCs w:val="18"/>
              </w:rPr>
              <w:t>4</w:t>
            </w:r>
          </w:p>
        </w:tc>
        <w:tc>
          <w:tcPr>
            <w:tcW w:w="1011"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-2</w:t>
            </w:r>
            <w:r w:rsidR="00B377AD">
              <w:rPr>
                <w:rFonts w:cs="Arial"/>
                <w:sz w:val="18"/>
                <w:szCs w:val="18"/>
              </w:rPr>
              <w:t>.</w:t>
            </w:r>
            <w:r w:rsidRPr="007F04C4">
              <w:rPr>
                <w:rFonts w:cs="Arial"/>
                <w:sz w:val="18"/>
                <w:szCs w:val="18"/>
              </w:rPr>
              <w:t>7</w:t>
            </w:r>
          </w:p>
        </w:tc>
        <w:tc>
          <w:tcPr>
            <w:tcW w:w="1022"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36</w:t>
            </w:r>
            <w:r w:rsidR="00B377AD">
              <w:rPr>
                <w:rFonts w:cs="Arial"/>
                <w:sz w:val="18"/>
                <w:szCs w:val="18"/>
              </w:rPr>
              <w:t>.</w:t>
            </w:r>
            <w:r w:rsidRPr="007F04C4">
              <w:rPr>
                <w:rFonts w:cs="Arial"/>
                <w:sz w:val="18"/>
                <w:szCs w:val="18"/>
              </w:rPr>
              <w:t>1</w:t>
            </w:r>
          </w:p>
        </w:tc>
        <w:tc>
          <w:tcPr>
            <w:tcW w:w="1017" w:type="dxa"/>
            <w:tcBorders>
              <w:top w:val="nil"/>
              <w:left w:val="nil"/>
              <w:bottom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4</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E263C3" w:rsidP="00B001B9">
            <w:pPr>
              <w:rPr>
                <w:rFonts w:cs="Arial"/>
                <w:color w:val="000000"/>
                <w:sz w:val="18"/>
                <w:szCs w:val="18"/>
              </w:rPr>
            </w:pPr>
            <w:r w:rsidRPr="007F04C4">
              <w:rPr>
                <w:rFonts w:cs="Arial"/>
                <w:color w:val="000000"/>
                <w:sz w:val="18"/>
                <w:szCs w:val="18"/>
              </w:rPr>
              <w:t xml:space="preserve">    </w:t>
            </w:r>
            <w:r w:rsidR="004439E5">
              <w:rPr>
                <w:rFonts w:cs="Arial"/>
                <w:color w:val="000000"/>
                <w:sz w:val="18"/>
                <w:szCs w:val="18"/>
              </w:rPr>
              <w:t xml:space="preserve">        </w:t>
            </w:r>
            <w:r w:rsidR="00B001B9" w:rsidRPr="007F04C4">
              <w:rPr>
                <w:rFonts w:cs="Arial"/>
                <w:color w:val="000000"/>
                <w:sz w:val="18"/>
                <w:szCs w:val="18"/>
              </w:rPr>
              <w:t>Formally employed</w:t>
            </w:r>
          </w:p>
        </w:tc>
        <w:tc>
          <w:tcPr>
            <w:tcW w:w="973"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2</w:t>
            </w:r>
            <w:r w:rsidR="002230F8">
              <w:rPr>
                <w:rFonts w:cs="Arial"/>
                <w:sz w:val="18"/>
                <w:szCs w:val="18"/>
              </w:rPr>
              <w:t> </w:t>
            </w:r>
            <w:r w:rsidRPr="007F04C4">
              <w:rPr>
                <w:rFonts w:cs="Arial"/>
                <w:sz w:val="18"/>
                <w:szCs w:val="18"/>
              </w:rPr>
              <w:t>188</w:t>
            </w:r>
            <w:r w:rsidR="00B377AD">
              <w:rPr>
                <w:rFonts w:cs="Arial"/>
                <w:sz w:val="18"/>
                <w:szCs w:val="18"/>
              </w:rPr>
              <w:t>.</w:t>
            </w:r>
            <w:r w:rsidRPr="007F04C4">
              <w:rPr>
                <w:rFonts w:cs="Arial"/>
                <w:sz w:val="18"/>
                <w:szCs w:val="18"/>
              </w:rPr>
              <w:t>2</w:t>
            </w:r>
          </w:p>
        </w:tc>
        <w:tc>
          <w:tcPr>
            <w:tcW w:w="1059" w:type="dxa"/>
            <w:tcBorders>
              <w:top w:val="nil"/>
              <w:left w:val="nil"/>
              <w:bottom w:val="nil"/>
              <w:right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-29</w:t>
            </w:r>
            <w:r w:rsidR="00B377AD">
              <w:rPr>
                <w:rFonts w:cs="Arial"/>
                <w:sz w:val="18"/>
                <w:szCs w:val="18"/>
              </w:rPr>
              <w:t>.</w:t>
            </w:r>
            <w:r w:rsidR="000F2A19" w:rsidRPr="007F04C4">
              <w:rPr>
                <w:rFonts w:cs="Arial"/>
                <w:sz w:val="18"/>
                <w:szCs w:val="18"/>
              </w:rPr>
              <w:t>0</w:t>
            </w:r>
          </w:p>
        </w:tc>
        <w:tc>
          <w:tcPr>
            <w:tcW w:w="1011"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3</w:t>
            </w:r>
          </w:p>
        </w:tc>
        <w:tc>
          <w:tcPr>
            <w:tcW w:w="1022" w:type="dxa"/>
            <w:tcBorders>
              <w:top w:val="nil"/>
              <w:left w:val="nil"/>
              <w:bottom w:val="nil"/>
              <w:right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40</w:t>
            </w:r>
            <w:r w:rsidR="00B377AD">
              <w:rPr>
                <w:rFonts w:cs="Arial"/>
                <w:sz w:val="18"/>
                <w:szCs w:val="18"/>
              </w:rPr>
              <w:t>.</w:t>
            </w:r>
            <w:r w:rsidRPr="007F04C4">
              <w:rPr>
                <w:rFonts w:cs="Arial"/>
                <w:sz w:val="18"/>
                <w:szCs w:val="18"/>
              </w:rPr>
              <w:t>1</w:t>
            </w:r>
          </w:p>
        </w:tc>
        <w:tc>
          <w:tcPr>
            <w:tcW w:w="1017" w:type="dxa"/>
            <w:tcBorders>
              <w:top w:val="nil"/>
              <w:left w:val="nil"/>
              <w:bottom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9</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E263C3" w:rsidP="00B001B9">
            <w:pPr>
              <w:rPr>
                <w:rFonts w:cs="Arial"/>
                <w:color w:val="000000"/>
                <w:sz w:val="18"/>
                <w:szCs w:val="18"/>
              </w:rPr>
            </w:pPr>
            <w:r w:rsidRPr="007F04C4">
              <w:rPr>
                <w:rFonts w:cs="Arial"/>
                <w:color w:val="000000"/>
                <w:sz w:val="18"/>
                <w:szCs w:val="18"/>
              </w:rPr>
              <w:t xml:space="preserve">    </w:t>
            </w:r>
            <w:r w:rsidR="004439E5">
              <w:rPr>
                <w:rFonts w:cs="Arial"/>
                <w:color w:val="000000"/>
                <w:sz w:val="18"/>
                <w:szCs w:val="18"/>
              </w:rPr>
              <w:t xml:space="preserve">        </w:t>
            </w:r>
            <w:r w:rsidR="00B001B9" w:rsidRPr="007F04C4">
              <w:rPr>
                <w:rFonts w:cs="Arial"/>
                <w:color w:val="000000"/>
                <w:sz w:val="18"/>
                <w:szCs w:val="18"/>
              </w:rPr>
              <w:t>Informally employed</w:t>
            </w:r>
          </w:p>
        </w:tc>
        <w:tc>
          <w:tcPr>
            <w:tcW w:w="973"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500</w:t>
            </w:r>
            <w:r w:rsidR="00B377AD">
              <w:rPr>
                <w:rFonts w:cs="Arial"/>
                <w:sz w:val="18"/>
                <w:szCs w:val="18"/>
              </w:rPr>
              <w:t>.</w:t>
            </w:r>
            <w:r w:rsidRPr="007F04C4">
              <w:rPr>
                <w:rFonts w:cs="Arial"/>
                <w:sz w:val="18"/>
                <w:szCs w:val="18"/>
              </w:rPr>
              <w:t>1</w:t>
            </w:r>
          </w:p>
        </w:tc>
        <w:tc>
          <w:tcPr>
            <w:tcW w:w="1059" w:type="dxa"/>
            <w:tcBorders>
              <w:top w:val="nil"/>
              <w:left w:val="nil"/>
              <w:bottom w:val="nil"/>
              <w:right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-46</w:t>
            </w:r>
            <w:r w:rsidR="00B377AD">
              <w:rPr>
                <w:rFonts w:cs="Arial"/>
                <w:sz w:val="18"/>
                <w:szCs w:val="18"/>
              </w:rPr>
              <w:t>.</w:t>
            </w:r>
            <w:r w:rsidRPr="007F04C4">
              <w:rPr>
                <w:rFonts w:cs="Arial"/>
                <w:sz w:val="18"/>
                <w:szCs w:val="18"/>
              </w:rPr>
              <w:t>4</w:t>
            </w:r>
          </w:p>
        </w:tc>
        <w:tc>
          <w:tcPr>
            <w:tcW w:w="1011"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-8</w:t>
            </w:r>
            <w:r w:rsidR="00B377AD">
              <w:rPr>
                <w:rFonts w:cs="Arial"/>
                <w:sz w:val="18"/>
                <w:szCs w:val="18"/>
              </w:rPr>
              <w:t>.</w:t>
            </w:r>
            <w:r w:rsidRPr="007F04C4">
              <w:rPr>
                <w:rFonts w:cs="Arial"/>
                <w:sz w:val="18"/>
                <w:szCs w:val="18"/>
              </w:rPr>
              <w:t>5</w:t>
            </w:r>
          </w:p>
        </w:tc>
        <w:tc>
          <w:tcPr>
            <w:tcW w:w="1022" w:type="dxa"/>
            <w:tcBorders>
              <w:top w:val="nil"/>
              <w:left w:val="nil"/>
              <w:bottom w:val="nil"/>
              <w:right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-4</w:t>
            </w:r>
            <w:r w:rsidR="00B377AD">
              <w:rPr>
                <w:rFonts w:cs="Arial"/>
                <w:sz w:val="18"/>
                <w:szCs w:val="18"/>
              </w:rPr>
              <w:t>.</w:t>
            </w:r>
            <w:r w:rsidRPr="007F04C4">
              <w:rPr>
                <w:rFonts w:cs="Arial"/>
                <w:sz w:val="18"/>
                <w:szCs w:val="18"/>
              </w:rPr>
              <w:t>1</w:t>
            </w:r>
          </w:p>
        </w:tc>
        <w:tc>
          <w:tcPr>
            <w:tcW w:w="1017" w:type="dxa"/>
            <w:tcBorders>
              <w:top w:val="nil"/>
              <w:left w:val="nil"/>
              <w:bottom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-0</w:t>
            </w:r>
            <w:r w:rsidR="00B377AD">
              <w:rPr>
                <w:rFonts w:cs="Arial"/>
                <w:sz w:val="18"/>
                <w:szCs w:val="18"/>
              </w:rPr>
              <w:t>.</w:t>
            </w:r>
            <w:r w:rsidRPr="007F04C4">
              <w:rPr>
                <w:rFonts w:cs="Arial"/>
                <w:sz w:val="18"/>
                <w:szCs w:val="18"/>
              </w:rPr>
              <w:t>8</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4439E5" w:rsidP="00D51705">
            <w:pPr>
              <w:rPr>
                <w:rFonts w:cs="Arial"/>
                <w:color w:val="000000"/>
                <w:sz w:val="18"/>
                <w:szCs w:val="18"/>
              </w:rPr>
            </w:pPr>
            <w:r>
              <w:rPr>
                <w:rFonts w:cs="Arial"/>
                <w:color w:val="000000"/>
                <w:sz w:val="18"/>
                <w:szCs w:val="18"/>
              </w:rPr>
              <w:t xml:space="preserve">        </w:t>
            </w:r>
            <w:r w:rsidR="00B001B9" w:rsidRPr="007F04C4">
              <w:rPr>
                <w:rFonts w:cs="Arial"/>
                <w:color w:val="000000"/>
                <w:sz w:val="18"/>
                <w:szCs w:val="18"/>
              </w:rPr>
              <w:t>Unemployed</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468</w:t>
            </w:r>
            <w:r w:rsidR="00B377AD">
              <w:rPr>
                <w:rFonts w:cs="Arial"/>
                <w:sz w:val="18"/>
                <w:szCs w:val="18"/>
              </w:rPr>
              <w:t>.</w:t>
            </w:r>
            <w:r w:rsidRPr="007F04C4">
              <w:rPr>
                <w:rFonts w:cs="Arial"/>
                <w:sz w:val="18"/>
                <w:szCs w:val="18"/>
              </w:rPr>
              <w:t>7</w:t>
            </w:r>
          </w:p>
        </w:tc>
        <w:tc>
          <w:tcPr>
            <w:tcW w:w="1059"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-6</w:t>
            </w:r>
            <w:r w:rsidR="00B377AD">
              <w:rPr>
                <w:rFonts w:cs="Arial"/>
                <w:sz w:val="18"/>
                <w:szCs w:val="18"/>
              </w:rPr>
              <w:t>.</w:t>
            </w:r>
            <w:r w:rsidRPr="007F04C4">
              <w:rPr>
                <w:rFonts w:cs="Arial"/>
                <w:sz w:val="18"/>
                <w:szCs w:val="18"/>
              </w:rPr>
              <w:t>8</w:t>
            </w:r>
          </w:p>
        </w:tc>
        <w:tc>
          <w:tcPr>
            <w:tcW w:w="1011"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4</w:t>
            </w:r>
          </w:p>
        </w:tc>
        <w:tc>
          <w:tcPr>
            <w:tcW w:w="1022"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15</w:t>
            </w:r>
            <w:r w:rsidR="00B377AD">
              <w:rPr>
                <w:rFonts w:cs="Arial"/>
                <w:sz w:val="18"/>
                <w:szCs w:val="18"/>
              </w:rPr>
              <w:t>.</w:t>
            </w:r>
            <w:r w:rsidRPr="007F04C4">
              <w:rPr>
                <w:rFonts w:cs="Arial"/>
                <w:sz w:val="18"/>
                <w:szCs w:val="18"/>
              </w:rPr>
              <w:t>9</w:t>
            </w:r>
          </w:p>
        </w:tc>
        <w:tc>
          <w:tcPr>
            <w:tcW w:w="1017" w:type="dxa"/>
            <w:tcBorders>
              <w:top w:val="nil"/>
              <w:left w:val="nil"/>
              <w:bottom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3</w:t>
            </w:r>
            <w:r w:rsidR="00B377AD">
              <w:rPr>
                <w:rFonts w:cs="Arial"/>
                <w:sz w:val="18"/>
                <w:szCs w:val="18"/>
              </w:rPr>
              <w:t>.</w:t>
            </w:r>
            <w:r w:rsidRPr="007F04C4">
              <w:rPr>
                <w:rFonts w:cs="Arial"/>
                <w:sz w:val="18"/>
                <w:szCs w:val="18"/>
              </w:rPr>
              <w:t>5</w:t>
            </w:r>
          </w:p>
        </w:tc>
      </w:tr>
      <w:tr w:rsidR="00E263C3" w:rsidRPr="007F04C4" w:rsidTr="002230F8">
        <w:trPr>
          <w:trHeight w:val="273"/>
          <w:jc w:val="center"/>
        </w:trPr>
        <w:tc>
          <w:tcPr>
            <w:tcW w:w="3617" w:type="dxa"/>
            <w:tcBorders>
              <w:top w:val="nil"/>
              <w:bottom w:val="nil"/>
              <w:right w:val="single" w:sz="8" w:space="0" w:color="0C5498"/>
            </w:tcBorders>
            <w:shd w:val="clear" w:color="auto" w:fill="auto"/>
            <w:vAlign w:val="center"/>
            <w:hideMark/>
          </w:tcPr>
          <w:p w:rsidR="00E263C3" w:rsidRPr="007F04C4" w:rsidRDefault="004439E5" w:rsidP="00D51705">
            <w:pPr>
              <w:rPr>
                <w:rFonts w:cs="Arial"/>
                <w:color w:val="000000"/>
                <w:sz w:val="18"/>
                <w:szCs w:val="18"/>
              </w:rPr>
            </w:pPr>
            <w:r>
              <w:rPr>
                <w:rFonts w:cs="Arial"/>
                <w:color w:val="000000"/>
                <w:sz w:val="18"/>
                <w:szCs w:val="18"/>
              </w:rPr>
              <w:t xml:space="preserve">    </w:t>
            </w:r>
            <w:r w:rsidR="00B001B9" w:rsidRPr="007F04C4">
              <w:rPr>
                <w:rFonts w:cs="Arial"/>
                <w:color w:val="000000"/>
                <w:sz w:val="18"/>
                <w:szCs w:val="18"/>
              </w:rPr>
              <w:t>Inactive</w:t>
            </w:r>
            <w:r w:rsidR="00B377AD">
              <w:rPr>
                <w:rFonts w:cs="Arial"/>
                <w:color w:val="000000"/>
                <w:sz w:val="18"/>
                <w:szCs w:val="18"/>
              </w:rPr>
              <w:t xml:space="preserve"> </w:t>
            </w:r>
            <w:r w:rsidR="00B377AD" w:rsidRPr="00B377AD">
              <w:rPr>
                <w:rFonts w:cs="Arial"/>
                <w:color w:val="000000"/>
                <w:sz w:val="18"/>
                <w:szCs w:val="18"/>
              </w:rPr>
              <w:t>population</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2</w:t>
            </w:r>
            <w:r w:rsidR="002230F8">
              <w:rPr>
                <w:rFonts w:cs="Arial"/>
                <w:sz w:val="18"/>
                <w:szCs w:val="18"/>
              </w:rPr>
              <w:t> </w:t>
            </w:r>
            <w:r w:rsidRPr="007F04C4">
              <w:rPr>
                <w:rFonts w:cs="Arial"/>
                <w:sz w:val="18"/>
                <w:szCs w:val="18"/>
              </w:rPr>
              <w:t>810</w:t>
            </w:r>
            <w:r w:rsidR="00B377AD">
              <w:rPr>
                <w:rFonts w:cs="Arial"/>
                <w:sz w:val="18"/>
                <w:szCs w:val="18"/>
              </w:rPr>
              <w:t>.</w:t>
            </w:r>
            <w:r w:rsidRPr="007F04C4">
              <w:rPr>
                <w:rFonts w:cs="Arial"/>
                <w:sz w:val="18"/>
                <w:szCs w:val="18"/>
              </w:rPr>
              <w:t>2</w:t>
            </w:r>
          </w:p>
        </w:tc>
        <w:tc>
          <w:tcPr>
            <w:tcW w:w="1059"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75</w:t>
            </w:r>
            <w:r w:rsidR="00B377AD">
              <w:rPr>
                <w:rFonts w:cs="Arial"/>
                <w:sz w:val="18"/>
                <w:szCs w:val="18"/>
              </w:rPr>
              <w:t>.</w:t>
            </w:r>
            <w:r w:rsidRPr="007F04C4">
              <w:rPr>
                <w:rFonts w:cs="Arial"/>
                <w:sz w:val="18"/>
                <w:szCs w:val="18"/>
              </w:rPr>
              <w:t>2</w:t>
            </w:r>
          </w:p>
        </w:tc>
        <w:tc>
          <w:tcPr>
            <w:tcW w:w="1011"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2</w:t>
            </w:r>
            <w:r w:rsidR="00B377AD">
              <w:rPr>
                <w:rFonts w:cs="Arial"/>
                <w:sz w:val="18"/>
                <w:szCs w:val="18"/>
              </w:rPr>
              <w:t>.</w:t>
            </w:r>
            <w:r w:rsidRPr="007F04C4">
              <w:rPr>
                <w:rFonts w:cs="Arial"/>
                <w:sz w:val="18"/>
                <w:szCs w:val="18"/>
              </w:rPr>
              <w:t>7</w:t>
            </w:r>
          </w:p>
        </w:tc>
        <w:tc>
          <w:tcPr>
            <w:tcW w:w="1022" w:type="dxa"/>
            <w:tcBorders>
              <w:top w:val="nil"/>
              <w:left w:val="nil"/>
              <w:bottom w:val="nil"/>
              <w:righ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-80</w:t>
            </w:r>
            <w:r w:rsidR="00B377AD">
              <w:rPr>
                <w:rFonts w:cs="Arial"/>
                <w:sz w:val="18"/>
                <w:szCs w:val="18"/>
              </w:rPr>
              <w:t>.</w:t>
            </w:r>
            <w:r w:rsidRPr="007F04C4">
              <w:rPr>
                <w:rFonts w:cs="Arial"/>
                <w:sz w:val="18"/>
                <w:szCs w:val="18"/>
              </w:rPr>
              <w:t>1</w:t>
            </w:r>
          </w:p>
        </w:tc>
        <w:tc>
          <w:tcPr>
            <w:tcW w:w="1017" w:type="dxa"/>
            <w:tcBorders>
              <w:top w:val="nil"/>
              <w:left w:val="nil"/>
              <w:bottom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-2</w:t>
            </w:r>
            <w:r w:rsidR="00B377AD">
              <w:rPr>
                <w:rFonts w:cs="Arial"/>
                <w:sz w:val="18"/>
                <w:szCs w:val="18"/>
              </w:rPr>
              <w:t>.</w:t>
            </w:r>
            <w:r w:rsidRPr="007F04C4">
              <w:rPr>
                <w:rFonts w:cs="Arial"/>
                <w:sz w:val="18"/>
                <w:szCs w:val="18"/>
              </w:rPr>
              <w:t>8</w:t>
            </w:r>
          </w:p>
        </w:tc>
      </w:tr>
      <w:tr w:rsidR="00E263C3" w:rsidRPr="007F04C4" w:rsidTr="002230F8">
        <w:trPr>
          <w:trHeight w:val="273"/>
          <w:jc w:val="center"/>
        </w:trPr>
        <w:tc>
          <w:tcPr>
            <w:tcW w:w="3617" w:type="dxa"/>
            <w:tcBorders>
              <w:top w:val="single" w:sz="8" w:space="0" w:color="0C5498"/>
              <w:bottom w:val="single" w:sz="8" w:space="0" w:color="0C5498"/>
              <w:right w:val="single" w:sz="8" w:space="0" w:color="0C5498"/>
            </w:tcBorders>
            <w:shd w:val="clear" w:color="auto" w:fill="auto"/>
            <w:vAlign w:val="center"/>
            <w:hideMark/>
          </w:tcPr>
          <w:p w:rsidR="00E263C3" w:rsidRPr="007F04C4" w:rsidRDefault="00E263C3" w:rsidP="00D51705">
            <w:pPr>
              <w:rPr>
                <w:rFonts w:cs="Arial"/>
                <w:color w:val="000000"/>
                <w:sz w:val="18"/>
                <w:szCs w:val="18"/>
              </w:rPr>
            </w:pPr>
            <w:r w:rsidRPr="007F04C4">
              <w:rPr>
                <w:rFonts w:cs="Arial"/>
                <w:color w:val="000000"/>
                <w:sz w:val="18"/>
                <w:szCs w:val="18"/>
              </w:rPr>
              <w:t> </w:t>
            </w:r>
          </w:p>
        </w:tc>
        <w:tc>
          <w:tcPr>
            <w:tcW w:w="3043" w:type="dxa"/>
            <w:gridSpan w:val="3"/>
            <w:tcBorders>
              <w:top w:val="single" w:sz="8" w:space="0" w:color="0C5498"/>
              <w:left w:val="nil"/>
              <w:bottom w:val="single" w:sz="8" w:space="0" w:color="0C5498"/>
              <w:right w:val="single" w:sz="8" w:space="0" w:color="0C5498"/>
            </w:tcBorders>
            <w:shd w:val="clear" w:color="auto" w:fill="auto"/>
            <w:noWrap/>
            <w:vAlign w:val="center"/>
            <w:hideMark/>
          </w:tcPr>
          <w:p w:rsidR="00E263C3" w:rsidRPr="007F04C4" w:rsidRDefault="00E263C3" w:rsidP="00D51705">
            <w:pPr>
              <w:jc w:val="center"/>
              <w:rPr>
                <w:rFonts w:cs="Arial"/>
                <w:b/>
                <w:bCs/>
                <w:color w:val="000000"/>
                <w:sz w:val="18"/>
                <w:szCs w:val="18"/>
              </w:rPr>
            </w:pPr>
            <w:r w:rsidRPr="007F04C4">
              <w:rPr>
                <w:rFonts w:cs="Arial"/>
                <w:b/>
                <w:bCs/>
                <w:color w:val="000000"/>
                <w:sz w:val="18"/>
                <w:szCs w:val="18"/>
              </w:rPr>
              <w:t>%</w:t>
            </w:r>
          </w:p>
        </w:tc>
        <w:tc>
          <w:tcPr>
            <w:tcW w:w="2039" w:type="dxa"/>
            <w:gridSpan w:val="2"/>
            <w:tcBorders>
              <w:top w:val="single" w:sz="8" w:space="0" w:color="0C5498"/>
              <w:left w:val="nil"/>
              <w:bottom w:val="single" w:sz="8" w:space="0" w:color="0C5498"/>
            </w:tcBorders>
            <w:shd w:val="clear" w:color="auto" w:fill="auto"/>
            <w:noWrap/>
            <w:vAlign w:val="center"/>
            <w:hideMark/>
          </w:tcPr>
          <w:p w:rsidR="00E263C3" w:rsidRPr="007F04C4" w:rsidRDefault="00E263C3" w:rsidP="00930544">
            <w:pPr>
              <w:jc w:val="center"/>
              <w:rPr>
                <w:rFonts w:cs="Arial"/>
                <w:color w:val="000000"/>
                <w:sz w:val="18"/>
                <w:szCs w:val="18"/>
              </w:rPr>
            </w:pPr>
            <w:r w:rsidRPr="007F04C4">
              <w:rPr>
                <w:rFonts w:cs="Arial"/>
                <w:color w:val="000000"/>
                <w:sz w:val="18"/>
                <w:szCs w:val="18"/>
              </w:rPr>
              <w:t>(</w:t>
            </w:r>
            <w:r w:rsidR="00930544" w:rsidRPr="007F04C4">
              <w:rPr>
                <w:rFonts w:cs="Arial"/>
                <w:color w:val="000000"/>
                <w:sz w:val="18"/>
                <w:szCs w:val="18"/>
              </w:rPr>
              <w:t>p</w:t>
            </w:r>
            <w:r w:rsidRPr="007F04C4">
              <w:rPr>
                <w:rFonts w:cs="Arial"/>
                <w:color w:val="000000"/>
                <w:sz w:val="18"/>
                <w:szCs w:val="18"/>
              </w:rPr>
              <w:t>.</w:t>
            </w:r>
            <w:r w:rsidR="00930544" w:rsidRPr="007F04C4">
              <w:rPr>
                <w:rFonts w:cs="Arial"/>
                <w:color w:val="000000"/>
                <w:sz w:val="18"/>
                <w:szCs w:val="18"/>
              </w:rPr>
              <w:t>p</w:t>
            </w:r>
            <w:r w:rsidRPr="007F04C4">
              <w:rPr>
                <w:rFonts w:cs="Arial"/>
                <w:color w:val="000000"/>
                <w:sz w:val="18"/>
                <w:szCs w:val="18"/>
              </w:rPr>
              <w:t>.)</w:t>
            </w:r>
          </w:p>
        </w:tc>
      </w:tr>
      <w:tr w:rsidR="00B001B9"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B001B9" w:rsidRPr="007F04C4" w:rsidRDefault="00B001B9" w:rsidP="009A1EF2">
            <w:pPr>
              <w:rPr>
                <w:rFonts w:cs="Arial"/>
                <w:sz w:val="18"/>
                <w:szCs w:val="18"/>
              </w:rPr>
            </w:pPr>
            <w:r w:rsidRPr="007F04C4">
              <w:rPr>
                <w:rFonts w:cs="Arial"/>
                <w:sz w:val="18"/>
                <w:szCs w:val="18"/>
              </w:rPr>
              <w:t>Activity rate</w:t>
            </w:r>
          </w:p>
        </w:tc>
        <w:tc>
          <w:tcPr>
            <w:tcW w:w="973" w:type="dxa"/>
            <w:tcBorders>
              <w:top w:val="nil"/>
              <w:left w:val="nil"/>
              <w:bottom w:val="nil"/>
              <w:right w:val="single" w:sz="8" w:space="0" w:color="0C5498"/>
            </w:tcBorders>
            <w:shd w:val="clear" w:color="auto" w:fill="auto"/>
            <w:vAlign w:val="center"/>
            <w:hideMark/>
          </w:tcPr>
          <w:p w:rsidR="00B001B9" w:rsidRPr="007F04C4" w:rsidRDefault="00B001B9" w:rsidP="00D51705">
            <w:pPr>
              <w:jc w:val="right"/>
              <w:rPr>
                <w:rFonts w:cs="Arial"/>
                <w:sz w:val="18"/>
                <w:szCs w:val="18"/>
              </w:rPr>
            </w:pPr>
            <w:r w:rsidRPr="007F04C4">
              <w:rPr>
                <w:rFonts w:cs="Arial"/>
                <w:sz w:val="18"/>
                <w:szCs w:val="18"/>
              </w:rPr>
              <w:t>52</w:t>
            </w:r>
            <w:r w:rsidR="00B377AD">
              <w:rPr>
                <w:rFonts w:cs="Arial"/>
                <w:sz w:val="18"/>
                <w:szCs w:val="18"/>
              </w:rPr>
              <w:t>.</w:t>
            </w:r>
            <w:r w:rsidRPr="007F04C4">
              <w:rPr>
                <w:rFonts w:cs="Arial"/>
                <w:sz w:val="18"/>
                <w:szCs w:val="18"/>
              </w:rPr>
              <w:t>9</w:t>
            </w:r>
          </w:p>
        </w:tc>
        <w:tc>
          <w:tcPr>
            <w:tcW w:w="1059" w:type="dxa"/>
            <w:tcBorders>
              <w:top w:val="nil"/>
              <w:left w:val="nil"/>
              <w:bottom w:val="nil"/>
              <w:right w:val="nil"/>
            </w:tcBorders>
            <w:shd w:val="clear" w:color="auto" w:fill="auto"/>
            <w:noWrap/>
            <w:vAlign w:val="bottom"/>
            <w:hideMark/>
          </w:tcPr>
          <w:p w:rsidR="00B001B9" w:rsidRPr="007F04C4" w:rsidRDefault="00B001B9" w:rsidP="00D51705">
            <w:pPr>
              <w:jc w:val="right"/>
              <w:rPr>
                <w:rFonts w:cs="Arial"/>
                <w:sz w:val="18"/>
                <w:szCs w:val="18"/>
              </w:rPr>
            </w:pPr>
          </w:p>
        </w:tc>
        <w:tc>
          <w:tcPr>
            <w:tcW w:w="1011" w:type="dxa"/>
            <w:tcBorders>
              <w:top w:val="nil"/>
              <w:left w:val="nil"/>
              <w:bottom w:val="nil"/>
              <w:right w:val="single" w:sz="8" w:space="0" w:color="0C5498"/>
            </w:tcBorders>
            <w:shd w:val="clear" w:color="auto" w:fill="auto"/>
            <w:vAlign w:val="center"/>
            <w:hideMark/>
          </w:tcPr>
          <w:p w:rsidR="00B001B9" w:rsidRPr="007F04C4" w:rsidRDefault="00B001B9"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3</w:t>
            </w:r>
          </w:p>
        </w:tc>
        <w:tc>
          <w:tcPr>
            <w:tcW w:w="1022" w:type="dxa"/>
            <w:tcBorders>
              <w:top w:val="nil"/>
              <w:left w:val="nil"/>
              <w:bottom w:val="nil"/>
              <w:right w:val="nil"/>
            </w:tcBorders>
            <w:shd w:val="clear" w:color="auto" w:fill="auto"/>
            <w:noWrap/>
            <w:vAlign w:val="bottom"/>
            <w:hideMark/>
          </w:tcPr>
          <w:p w:rsidR="00B001B9" w:rsidRPr="007F04C4" w:rsidRDefault="00B001B9" w:rsidP="00D51705">
            <w:pPr>
              <w:jc w:val="right"/>
              <w:rPr>
                <w:rFonts w:cs="Arial"/>
                <w:sz w:val="18"/>
                <w:szCs w:val="18"/>
              </w:rPr>
            </w:pPr>
          </w:p>
        </w:tc>
        <w:tc>
          <w:tcPr>
            <w:tcW w:w="1017" w:type="dxa"/>
            <w:tcBorders>
              <w:top w:val="nil"/>
              <w:left w:val="nil"/>
              <w:bottom w:val="nil"/>
            </w:tcBorders>
            <w:shd w:val="clear" w:color="auto" w:fill="auto"/>
            <w:vAlign w:val="center"/>
            <w:hideMark/>
          </w:tcPr>
          <w:p w:rsidR="00B001B9" w:rsidRPr="007F04C4" w:rsidRDefault="00B001B9"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1</w:t>
            </w:r>
          </w:p>
        </w:tc>
      </w:tr>
      <w:tr w:rsidR="00B001B9"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B001B9" w:rsidRPr="007F04C4" w:rsidRDefault="00B001B9" w:rsidP="009A1EF2">
            <w:pPr>
              <w:rPr>
                <w:rFonts w:cs="Arial"/>
                <w:sz w:val="18"/>
                <w:szCs w:val="18"/>
              </w:rPr>
            </w:pPr>
            <w:r w:rsidRPr="007F04C4">
              <w:rPr>
                <w:rFonts w:cs="Arial"/>
                <w:sz w:val="18"/>
                <w:szCs w:val="18"/>
              </w:rPr>
              <w:t>Employment rate</w:t>
            </w:r>
          </w:p>
        </w:tc>
        <w:tc>
          <w:tcPr>
            <w:tcW w:w="973" w:type="dxa"/>
            <w:tcBorders>
              <w:top w:val="nil"/>
              <w:left w:val="nil"/>
              <w:bottom w:val="nil"/>
              <w:right w:val="single" w:sz="8" w:space="0" w:color="0C5498"/>
            </w:tcBorders>
            <w:shd w:val="clear" w:color="auto" w:fill="auto"/>
            <w:vAlign w:val="center"/>
            <w:hideMark/>
          </w:tcPr>
          <w:p w:rsidR="00B001B9" w:rsidRPr="007F04C4" w:rsidRDefault="00B001B9" w:rsidP="00D51705">
            <w:pPr>
              <w:jc w:val="right"/>
              <w:rPr>
                <w:rFonts w:cs="Arial"/>
                <w:sz w:val="18"/>
                <w:szCs w:val="18"/>
              </w:rPr>
            </w:pPr>
            <w:r w:rsidRPr="007F04C4">
              <w:rPr>
                <w:rFonts w:cs="Arial"/>
                <w:sz w:val="18"/>
                <w:szCs w:val="18"/>
              </w:rPr>
              <w:t>45</w:t>
            </w:r>
            <w:r w:rsidR="00B377AD">
              <w:rPr>
                <w:rFonts w:cs="Arial"/>
                <w:sz w:val="18"/>
                <w:szCs w:val="18"/>
              </w:rPr>
              <w:t>.</w:t>
            </w:r>
            <w:r w:rsidRPr="007F04C4">
              <w:rPr>
                <w:rFonts w:cs="Arial"/>
                <w:sz w:val="18"/>
                <w:szCs w:val="18"/>
              </w:rPr>
              <w:t>1</w:t>
            </w:r>
          </w:p>
        </w:tc>
        <w:tc>
          <w:tcPr>
            <w:tcW w:w="1059" w:type="dxa"/>
            <w:tcBorders>
              <w:top w:val="nil"/>
              <w:left w:val="nil"/>
              <w:bottom w:val="nil"/>
              <w:right w:val="nil"/>
            </w:tcBorders>
            <w:shd w:val="clear" w:color="auto" w:fill="auto"/>
            <w:noWrap/>
            <w:vAlign w:val="bottom"/>
            <w:hideMark/>
          </w:tcPr>
          <w:p w:rsidR="00B001B9" w:rsidRPr="007F04C4" w:rsidRDefault="00B001B9" w:rsidP="00D51705">
            <w:pPr>
              <w:jc w:val="right"/>
              <w:rPr>
                <w:rFonts w:cs="Arial"/>
                <w:sz w:val="18"/>
                <w:szCs w:val="18"/>
              </w:rPr>
            </w:pPr>
          </w:p>
        </w:tc>
        <w:tc>
          <w:tcPr>
            <w:tcW w:w="1011" w:type="dxa"/>
            <w:tcBorders>
              <w:top w:val="nil"/>
              <w:left w:val="nil"/>
              <w:bottom w:val="nil"/>
              <w:right w:val="single" w:sz="8" w:space="0" w:color="0C5498"/>
            </w:tcBorders>
            <w:shd w:val="clear" w:color="auto" w:fill="auto"/>
            <w:noWrap/>
            <w:vAlign w:val="center"/>
            <w:hideMark/>
          </w:tcPr>
          <w:p w:rsidR="00B001B9" w:rsidRPr="007F04C4" w:rsidRDefault="00B001B9"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2</w:t>
            </w:r>
          </w:p>
        </w:tc>
        <w:tc>
          <w:tcPr>
            <w:tcW w:w="1022" w:type="dxa"/>
            <w:tcBorders>
              <w:top w:val="nil"/>
              <w:left w:val="nil"/>
              <w:bottom w:val="nil"/>
              <w:right w:val="nil"/>
            </w:tcBorders>
            <w:shd w:val="clear" w:color="auto" w:fill="auto"/>
            <w:noWrap/>
            <w:vAlign w:val="bottom"/>
            <w:hideMark/>
          </w:tcPr>
          <w:p w:rsidR="00B001B9" w:rsidRPr="007F04C4" w:rsidRDefault="00B001B9" w:rsidP="00D51705">
            <w:pPr>
              <w:jc w:val="right"/>
              <w:rPr>
                <w:rFonts w:cs="Arial"/>
                <w:sz w:val="18"/>
                <w:szCs w:val="18"/>
              </w:rPr>
            </w:pPr>
          </w:p>
        </w:tc>
        <w:tc>
          <w:tcPr>
            <w:tcW w:w="1017" w:type="dxa"/>
            <w:tcBorders>
              <w:top w:val="nil"/>
              <w:left w:val="nil"/>
              <w:bottom w:val="nil"/>
            </w:tcBorders>
            <w:shd w:val="clear" w:color="auto" w:fill="auto"/>
            <w:noWrap/>
            <w:vAlign w:val="center"/>
            <w:hideMark/>
          </w:tcPr>
          <w:p w:rsidR="00B001B9" w:rsidRPr="007F04C4" w:rsidRDefault="00B001B9" w:rsidP="00D51705">
            <w:pPr>
              <w:jc w:val="right"/>
              <w:rPr>
                <w:rFonts w:cs="Arial"/>
                <w:sz w:val="18"/>
                <w:szCs w:val="18"/>
              </w:rPr>
            </w:pPr>
            <w:r w:rsidRPr="007F04C4">
              <w:rPr>
                <w:rFonts w:cs="Arial"/>
                <w:sz w:val="18"/>
                <w:szCs w:val="18"/>
              </w:rPr>
              <w:t>0</w:t>
            </w:r>
            <w:r w:rsidR="00B377AD">
              <w:rPr>
                <w:rFonts w:cs="Arial"/>
                <w:sz w:val="18"/>
                <w:szCs w:val="18"/>
              </w:rPr>
              <w:t>.</w:t>
            </w:r>
            <w:r w:rsidRPr="007F04C4">
              <w:rPr>
                <w:rFonts w:cs="Arial"/>
                <w:sz w:val="18"/>
                <w:szCs w:val="18"/>
              </w:rPr>
              <w:t>8</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E263C3" w:rsidP="00B001B9">
            <w:pPr>
              <w:rPr>
                <w:rFonts w:cs="Arial"/>
                <w:color w:val="000000"/>
                <w:sz w:val="18"/>
                <w:szCs w:val="18"/>
              </w:rPr>
            </w:pPr>
            <w:r w:rsidRPr="007F04C4">
              <w:rPr>
                <w:rFonts w:cs="Arial"/>
                <w:color w:val="000000"/>
                <w:sz w:val="18"/>
                <w:szCs w:val="18"/>
              </w:rPr>
              <w:t xml:space="preserve">    </w:t>
            </w:r>
            <w:r w:rsidR="00B001B9" w:rsidRPr="007F04C4">
              <w:rPr>
                <w:rFonts w:cs="Arial"/>
                <w:color w:val="000000"/>
                <w:sz w:val="18"/>
                <w:szCs w:val="18"/>
              </w:rPr>
              <w:t>Informal employment rate</w:t>
            </w:r>
          </w:p>
        </w:tc>
        <w:tc>
          <w:tcPr>
            <w:tcW w:w="973"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18</w:t>
            </w:r>
            <w:r w:rsidR="00B377AD">
              <w:rPr>
                <w:rFonts w:cs="Arial"/>
                <w:sz w:val="18"/>
                <w:szCs w:val="18"/>
              </w:rPr>
              <w:t>.</w:t>
            </w:r>
            <w:r w:rsidRPr="007F04C4">
              <w:rPr>
                <w:rFonts w:cs="Arial"/>
                <w:sz w:val="18"/>
                <w:szCs w:val="18"/>
              </w:rPr>
              <w:t>6</w:t>
            </w:r>
          </w:p>
        </w:tc>
        <w:tc>
          <w:tcPr>
            <w:tcW w:w="1059" w:type="dxa"/>
            <w:tcBorders>
              <w:top w:val="nil"/>
              <w:left w:val="nil"/>
              <w:bottom w:val="nil"/>
              <w:right w:val="nil"/>
            </w:tcBorders>
            <w:shd w:val="clear" w:color="auto" w:fill="auto"/>
            <w:noWrap/>
            <w:vAlign w:val="center"/>
            <w:hideMark/>
          </w:tcPr>
          <w:p w:rsidR="00E263C3" w:rsidRPr="007F04C4" w:rsidRDefault="00E263C3" w:rsidP="00D51705">
            <w:pPr>
              <w:rPr>
                <w:rFonts w:cs="Arial"/>
                <w:sz w:val="18"/>
                <w:szCs w:val="18"/>
              </w:rPr>
            </w:pPr>
          </w:p>
        </w:tc>
        <w:tc>
          <w:tcPr>
            <w:tcW w:w="1011"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2</w:t>
            </w:r>
          </w:p>
        </w:tc>
        <w:tc>
          <w:tcPr>
            <w:tcW w:w="1022" w:type="dxa"/>
            <w:tcBorders>
              <w:top w:val="nil"/>
              <w:left w:val="nil"/>
              <w:bottom w:val="nil"/>
              <w:right w:val="nil"/>
            </w:tcBorders>
            <w:shd w:val="clear" w:color="auto" w:fill="auto"/>
            <w:noWrap/>
            <w:vAlign w:val="center"/>
            <w:hideMark/>
          </w:tcPr>
          <w:p w:rsidR="00E263C3" w:rsidRPr="007F04C4" w:rsidRDefault="00E263C3" w:rsidP="00D51705">
            <w:pPr>
              <w:rPr>
                <w:rFonts w:cs="Arial"/>
                <w:sz w:val="18"/>
                <w:szCs w:val="18"/>
              </w:rPr>
            </w:pPr>
          </w:p>
        </w:tc>
        <w:tc>
          <w:tcPr>
            <w:tcW w:w="1017" w:type="dxa"/>
            <w:tcBorders>
              <w:top w:val="nil"/>
              <w:left w:val="nil"/>
              <w:bottom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-0</w:t>
            </w:r>
            <w:r w:rsidR="00B377AD">
              <w:rPr>
                <w:rFonts w:cs="Arial"/>
                <w:sz w:val="18"/>
                <w:szCs w:val="18"/>
              </w:rPr>
              <w:t>.</w:t>
            </w:r>
            <w:r w:rsidRPr="007F04C4">
              <w:rPr>
                <w:rFonts w:cs="Arial"/>
                <w:sz w:val="18"/>
                <w:szCs w:val="18"/>
              </w:rPr>
              <w:t>4</w:t>
            </w:r>
          </w:p>
        </w:tc>
      </w:tr>
      <w:tr w:rsidR="00E263C3" w:rsidRPr="007F04C4" w:rsidTr="002230F8">
        <w:trPr>
          <w:trHeight w:val="260"/>
          <w:jc w:val="center"/>
        </w:trPr>
        <w:tc>
          <w:tcPr>
            <w:tcW w:w="3617" w:type="dxa"/>
            <w:tcBorders>
              <w:top w:val="nil"/>
              <w:bottom w:val="nil"/>
              <w:right w:val="single" w:sz="8" w:space="0" w:color="0C5498"/>
            </w:tcBorders>
            <w:shd w:val="clear" w:color="auto" w:fill="auto"/>
            <w:vAlign w:val="center"/>
            <w:hideMark/>
          </w:tcPr>
          <w:p w:rsidR="00E263C3" w:rsidRPr="007F04C4" w:rsidRDefault="00B001B9" w:rsidP="00B001B9">
            <w:pPr>
              <w:rPr>
                <w:rFonts w:cs="Arial"/>
                <w:color w:val="000000"/>
                <w:sz w:val="18"/>
                <w:szCs w:val="18"/>
              </w:rPr>
            </w:pPr>
            <w:r w:rsidRPr="007F04C4">
              <w:rPr>
                <w:rFonts w:cs="Arial"/>
                <w:color w:val="000000"/>
                <w:sz w:val="18"/>
                <w:szCs w:val="18"/>
              </w:rPr>
              <w:t>Unemployment rate</w:t>
            </w:r>
          </w:p>
        </w:tc>
        <w:tc>
          <w:tcPr>
            <w:tcW w:w="973" w:type="dxa"/>
            <w:tcBorders>
              <w:top w:val="nil"/>
              <w:left w:val="nil"/>
              <w:bottom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14</w:t>
            </w:r>
            <w:r w:rsidR="00B377AD">
              <w:rPr>
                <w:rFonts w:cs="Arial"/>
                <w:sz w:val="18"/>
                <w:szCs w:val="18"/>
              </w:rPr>
              <w:t>.</w:t>
            </w:r>
            <w:r w:rsidRPr="007F04C4">
              <w:rPr>
                <w:rFonts w:cs="Arial"/>
                <w:sz w:val="18"/>
                <w:szCs w:val="18"/>
              </w:rPr>
              <w:t>8</w:t>
            </w:r>
          </w:p>
        </w:tc>
        <w:tc>
          <w:tcPr>
            <w:tcW w:w="1059" w:type="dxa"/>
            <w:tcBorders>
              <w:top w:val="nil"/>
              <w:left w:val="nil"/>
              <w:bottom w:val="nil"/>
              <w:right w:val="nil"/>
            </w:tcBorders>
            <w:shd w:val="clear" w:color="auto" w:fill="auto"/>
            <w:noWrap/>
            <w:vAlign w:val="bottom"/>
            <w:hideMark/>
          </w:tcPr>
          <w:p w:rsidR="00E263C3" w:rsidRPr="007F04C4" w:rsidRDefault="00E263C3" w:rsidP="00D51705">
            <w:pPr>
              <w:jc w:val="right"/>
              <w:rPr>
                <w:rFonts w:cs="Arial"/>
                <w:sz w:val="18"/>
                <w:szCs w:val="18"/>
              </w:rPr>
            </w:pPr>
          </w:p>
        </w:tc>
        <w:tc>
          <w:tcPr>
            <w:tcW w:w="1011" w:type="dxa"/>
            <w:tcBorders>
              <w:top w:val="nil"/>
              <w:left w:val="nil"/>
              <w:bottom w:val="nil"/>
              <w:right w:val="single" w:sz="8" w:space="0" w:color="0C5498"/>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0</w:t>
            </w:r>
            <w:r w:rsidR="00B377AD">
              <w:rPr>
                <w:rFonts w:cs="Arial"/>
                <w:sz w:val="18"/>
                <w:szCs w:val="18"/>
              </w:rPr>
              <w:t>.</w:t>
            </w:r>
            <w:r w:rsidRPr="007F04C4">
              <w:rPr>
                <w:rFonts w:cs="Arial"/>
                <w:sz w:val="18"/>
                <w:szCs w:val="18"/>
              </w:rPr>
              <w:t>2</w:t>
            </w:r>
          </w:p>
        </w:tc>
        <w:tc>
          <w:tcPr>
            <w:tcW w:w="1022" w:type="dxa"/>
            <w:tcBorders>
              <w:top w:val="nil"/>
              <w:left w:val="nil"/>
              <w:bottom w:val="nil"/>
              <w:right w:val="nil"/>
            </w:tcBorders>
            <w:shd w:val="clear" w:color="auto" w:fill="auto"/>
            <w:noWrap/>
            <w:vAlign w:val="bottom"/>
            <w:hideMark/>
          </w:tcPr>
          <w:p w:rsidR="00E263C3" w:rsidRPr="007F04C4" w:rsidRDefault="00E263C3" w:rsidP="00D51705">
            <w:pPr>
              <w:jc w:val="right"/>
              <w:rPr>
                <w:rFonts w:cs="Arial"/>
                <w:sz w:val="18"/>
                <w:szCs w:val="18"/>
              </w:rPr>
            </w:pPr>
          </w:p>
        </w:tc>
        <w:tc>
          <w:tcPr>
            <w:tcW w:w="1017" w:type="dxa"/>
            <w:tcBorders>
              <w:top w:val="nil"/>
              <w:left w:val="nil"/>
              <w:bottom w:val="nil"/>
            </w:tcBorders>
            <w:shd w:val="clear" w:color="auto" w:fill="auto"/>
            <w:noWrap/>
            <w:vAlign w:val="center"/>
            <w:hideMark/>
          </w:tcPr>
          <w:p w:rsidR="00E263C3" w:rsidRPr="007F04C4" w:rsidRDefault="00E263C3" w:rsidP="00D51705">
            <w:pPr>
              <w:jc w:val="right"/>
              <w:rPr>
                <w:rFonts w:cs="Arial"/>
                <w:sz w:val="18"/>
                <w:szCs w:val="18"/>
              </w:rPr>
            </w:pPr>
            <w:r w:rsidRPr="007F04C4">
              <w:rPr>
                <w:rFonts w:cs="Arial"/>
                <w:sz w:val="18"/>
                <w:szCs w:val="18"/>
              </w:rPr>
              <w:t>0</w:t>
            </w:r>
            <w:r w:rsidR="00B377AD">
              <w:rPr>
                <w:rFonts w:cs="Arial"/>
                <w:sz w:val="18"/>
                <w:szCs w:val="18"/>
              </w:rPr>
              <w:t>.</w:t>
            </w:r>
            <w:r w:rsidRPr="007F04C4">
              <w:rPr>
                <w:rFonts w:cs="Arial"/>
                <w:sz w:val="18"/>
                <w:szCs w:val="18"/>
              </w:rPr>
              <w:t>3</w:t>
            </w:r>
          </w:p>
        </w:tc>
      </w:tr>
      <w:tr w:rsidR="00E263C3" w:rsidRPr="007F04C4" w:rsidTr="002230F8">
        <w:trPr>
          <w:trHeight w:val="273"/>
          <w:jc w:val="center"/>
        </w:trPr>
        <w:tc>
          <w:tcPr>
            <w:tcW w:w="3617" w:type="dxa"/>
            <w:tcBorders>
              <w:top w:val="nil"/>
              <w:right w:val="single" w:sz="8" w:space="0" w:color="0C5498"/>
            </w:tcBorders>
            <w:shd w:val="clear" w:color="auto" w:fill="auto"/>
            <w:vAlign w:val="center"/>
            <w:hideMark/>
          </w:tcPr>
          <w:p w:rsidR="00E263C3" w:rsidRPr="007F04C4" w:rsidRDefault="00B001B9" w:rsidP="00B001B9">
            <w:pPr>
              <w:rPr>
                <w:rFonts w:cs="Arial"/>
                <w:color w:val="000000"/>
                <w:sz w:val="18"/>
                <w:szCs w:val="18"/>
              </w:rPr>
            </w:pPr>
            <w:r w:rsidRPr="007F04C4">
              <w:rPr>
                <w:rFonts w:cs="Arial"/>
                <w:color w:val="000000"/>
                <w:sz w:val="18"/>
                <w:szCs w:val="18"/>
              </w:rPr>
              <w:t>Inactivity rate</w:t>
            </w:r>
          </w:p>
        </w:tc>
        <w:tc>
          <w:tcPr>
            <w:tcW w:w="973" w:type="dxa"/>
            <w:tcBorders>
              <w:top w:val="nil"/>
              <w:left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47</w:t>
            </w:r>
            <w:r w:rsidR="00B377AD">
              <w:rPr>
                <w:rFonts w:cs="Arial"/>
                <w:sz w:val="18"/>
                <w:szCs w:val="18"/>
              </w:rPr>
              <w:t>.</w:t>
            </w:r>
            <w:r w:rsidRPr="007F04C4">
              <w:rPr>
                <w:rFonts w:cs="Arial"/>
                <w:sz w:val="18"/>
                <w:szCs w:val="18"/>
              </w:rPr>
              <w:t>1</w:t>
            </w:r>
          </w:p>
        </w:tc>
        <w:tc>
          <w:tcPr>
            <w:tcW w:w="1059" w:type="dxa"/>
            <w:tcBorders>
              <w:top w:val="nil"/>
              <w:left w:val="nil"/>
              <w:right w:val="nil"/>
            </w:tcBorders>
            <w:shd w:val="clear" w:color="auto" w:fill="auto"/>
            <w:noWrap/>
            <w:vAlign w:val="bottom"/>
            <w:hideMark/>
          </w:tcPr>
          <w:p w:rsidR="00E263C3" w:rsidRPr="007F04C4" w:rsidRDefault="00E263C3" w:rsidP="00D51705">
            <w:pPr>
              <w:jc w:val="right"/>
              <w:rPr>
                <w:rFonts w:cs="Arial"/>
                <w:sz w:val="18"/>
                <w:szCs w:val="18"/>
              </w:rPr>
            </w:pPr>
            <w:r w:rsidRPr="007F04C4">
              <w:rPr>
                <w:rFonts w:cs="Arial"/>
                <w:sz w:val="18"/>
                <w:szCs w:val="18"/>
              </w:rPr>
              <w:t> </w:t>
            </w:r>
          </w:p>
        </w:tc>
        <w:tc>
          <w:tcPr>
            <w:tcW w:w="1011" w:type="dxa"/>
            <w:tcBorders>
              <w:top w:val="nil"/>
              <w:left w:val="nil"/>
              <w:right w:val="single" w:sz="8" w:space="0" w:color="0C5498"/>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3</w:t>
            </w:r>
          </w:p>
        </w:tc>
        <w:tc>
          <w:tcPr>
            <w:tcW w:w="1022" w:type="dxa"/>
            <w:tcBorders>
              <w:top w:val="nil"/>
              <w:left w:val="nil"/>
              <w:right w:val="nil"/>
            </w:tcBorders>
            <w:shd w:val="clear" w:color="auto" w:fill="auto"/>
            <w:noWrap/>
            <w:vAlign w:val="bottom"/>
            <w:hideMark/>
          </w:tcPr>
          <w:p w:rsidR="00E263C3" w:rsidRPr="007F04C4" w:rsidRDefault="00E263C3" w:rsidP="00D51705">
            <w:pPr>
              <w:jc w:val="right"/>
              <w:rPr>
                <w:rFonts w:cs="Arial"/>
                <w:sz w:val="18"/>
                <w:szCs w:val="18"/>
              </w:rPr>
            </w:pPr>
            <w:r w:rsidRPr="007F04C4">
              <w:rPr>
                <w:rFonts w:cs="Arial"/>
                <w:sz w:val="18"/>
                <w:szCs w:val="18"/>
              </w:rPr>
              <w:t> </w:t>
            </w:r>
          </w:p>
        </w:tc>
        <w:tc>
          <w:tcPr>
            <w:tcW w:w="1017" w:type="dxa"/>
            <w:tcBorders>
              <w:top w:val="nil"/>
              <w:left w:val="nil"/>
            </w:tcBorders>
            <w:shd w:val="clear" w:color="auto" w:fill="auto"/>
            <w:vAlign w:val="center"/>
            <w:hideMark/>
          </w:tcPr>
          <w:p w:rsidR="00E263C3" w:rsidRPr="007F04C4" w:rsidRDefault="00E263C3" w:rsidP="00D51705">
            <w:pPr>
              <w:jc w:val="right"/>
              <w:rPr>
                <w:rFonts w:cs="Arial"/>
                <w:sz w:val="18"/>
                <w:szCs w:val="18"/>
              </w:rPr>
            </w:pPr>
            <w:r w:rsidRPr="007F04C4">
              <w:rPr>
                <w:rFonts w:cs="Arial"/>
                <w:sz w:val="18"/>
                <w:szCs w:val="18"/>
              </w:rPr>
              <w:t>-1</w:t>
            </w:r>
            <w:r w:rsidR="00B377AD">
              <w:rPr>
                <w:rFonts w:cs="Arial"/>
                <w:sz w:val="18"/>
                <w:szCs w:val="18"/>
              </w:rPr>
              <w:t>.</w:t>
            </w:r>
            <w:r w:rsidRPr="007F04C4">
              <w:rPr>
                <w:rFonts w:cs="Arial"/>
                <w:sz w:val="18"/>
                <w:szCs w:val="18"/>
              </w:rPr>
              <w:t>1</w:t>
            </w:r>
          </w:p>
        </w:tc>
      </w:tr>
    </w:tbl>
    <w:p w:rsidR="00B05442" w:rsidRPr="007F04C4" w:rsidRDefault="00B05442" w:rsidP="00B05442">
      <w:pPr>
        <w:spacing w:before="100" w:after="100" w:line="288" w:lineRule="auto"/>
        <w:ind w:firstLine="403"/>
        <w:jc w:val="both"/>
        <w:rPr>
          <w:rFonts w:cs="Arial"/>
        </w:rPr>
      </w:pPr>
    </w:p>
    <w:p w:rsidR="00B05442" w:rsidRPr="007F04C4" w:rsidRDefault="00964EA6" w:rsidP="00166DB3">
      <w:pPr>
        <w:spacing w:before="120" w:after="120" w:line="300" w:lineRule="auto"/>
        <w:ind w:firstLine="403"/>
        <w:jc w:val="both"/>
        <w:rPr>
          <w:rFonts w:cs="Arial"/>
        </w:rPr>
      </w:pPr>
      <w:r w:rsidRPr="007F04C4">
        <w:rPr>
          <w:rFonts w:cs="Arial"/>
        </w:rPr>
        <w:t>In the first quarter 2018, the Survey was conducted on the sample of 15</w:t>
      </w:r>
      <w:r w:rsidR="002230F8">
        <w:rPr>
          <w:rFonts w:cs="Arial"/>
        </w:rPr>
        <w:t> </w:t>
      </w:r>
      <w:r w:rsidRPr="007F04C4">
        <w:rPr>
          <w:rFonts w:cs="Arial"/>
        </w:rPr>
        <w:t>429 households, out of which 12</w:t>
      </w:r>
      <w:r w:rsidR="002230F8">
        <w:rPr>
          <w:rFonts w:cs="Arial"/>
        </w:rPr>
        <w:t> </w:t>
      </w:r>
      <w:r w:rsidRPr="007F04C4">
        <w:rPr>
          <w:rFonts w:cs="Arial"/>
        </w:rPr>
        <w:t>354 households, i.e. 29</w:t>
      </w:r>
      <w:r w:rsidR="002230F8">
        <w:rPr>
          <w:rFonts w:cs="Arial"/>
        </w:rPr>
        <w:t> </w:t>
      </w:r>
      <w:r w:rsidRPr="007F04C4">
        <w:rPr>
          <w:rFonts w:cs="Arial"/>
        </w:rPr>
        <w:t>329 persons</w:t>
      </w:r>
      <w:r w:rsidR="00A73B1F" w:rsidRPr="007F04C4">
        <w:rPr>
          <w:rFonts w:cs="Arial"/>
        </w:rPr>
        <w:t xml:space="preserve"> aged 15 and over</w:t>
      </w:r>
      <w:r w:rsidRPr="007F04C4">
        <w:rPr>
          <w:rFonts w:cs="Arial"/>
        </w:rPr>
        <w:t xml:space="preserve"> were interviewed.</w:t>
      </w:r>
    </w:p>
    <w:p w:rsidR="00523F0F" w:rsidRPr="007F04C4" w:rsidRDefault="00A73B1F" w:rsidP="00166DB3">
      <w:pPr>
        <w:spacing w:before="120" w:after="120" w:line="300" w:lineRule="auto"/>
        <w:ind w:firstLine="403"/>
        <w:jc w:val="both"/>
        <w:rPr>
          <w:rFonts w:cs="Arial"/>
          <w:b/>
        </w:rPr>
      </w:pPr>
      <w:proofErr w:type="gramStart"/>
      <w:r w:rsidRPr="007F04C4">
        <w:rPr>
          <w:rFonts w:cs="Arial"/>
        </w:rPr>
        <w:t>More detailed data</w:t>
      </w:r>
      <w:proofErr w:type="gramEnd"/>
      <w:r w:rsidRPr="007F04C4">
        <w:rPr>
          <w:rFonts w:cs="Arial"/>
        </w:rPr>
        <w:t xml:space="preserve"> can be obtained in the tables that are part of the Statistical Release on Labour Force Survey for the first quarter 2018 (RS10), on the address: </w:t>
      </w:r>
      <w:hyperlink r:id="rId10" w:history="1">
        <w:r w:rsidR="00761651" w:rsidRPr="006D2E4F">
          <w:rPr>
            <w:rStyle w:val="Hyperlink"/>
            <w:rFonts w:cs="Arial"/>
          </w:rPr>
          <w:t>http://publikacije.stat.gov.rs/G2018/XlsE/G20181138.xlsx</w:t>
        </w:r>
      </w:hyperlink>
      <w:r w:rsidR="00B05442" w:rsidRPr="007F04C4">
        <w:rPr>
          <w:rFonts w:cs="Arial"/>
        </w:rPr>
        <w:t>.</w:t>
      </w:r>
    </w:p>
    <w:p w:rsidR="00523F0F" w:rsidRPr="007F04C4" w:rsidRDefault="00523F0F" w:rsidP="00DC19DA">
      <w:pPr>
        <w:spacing w:before="120" w:after="120" w:line="288" w:lineRule="auto"/>
        <w:jc w:val="center"/>
        <w:rPr>
          <w:rFonts w:cs="Arial"/>
          <w:b/>
        </w:rPr>
      </w:pPr>
    </w:p>
    <w:p w:rsidR="000F4A7D" w:rsidRPr="007F04C4" w:rsidRDefault="00A73B1F" w:rsidP="00DC19DA">
      <w:pPr>
        <w:spacing w:before="120" w:after="120" w:line="288" w:lineRule="auto"/>
        <w:jc w:val="center"/>
        <w:rPr>
          <w:rFonts w:cs="Arial"/>
          <w:b/>
        </w:rPr>
      </w:pPr>
      <w:r w:rsidRPr="007F04C4">
        <w:rPr>
          <w:rFonts w:cs="Arial"/>
          <w:b/>
        </w:rPr>
        <w:t>Methodological notes</w:t>
      </w:r>
    </w:p>
    <w:p w:rsidR="00C50458" w:rsidRPr="007F04C4" w:rsidRDefault="00C50458" w:rsidP="00B377AD">
      <w:pPr>
        <w:pStyle w:val="NormalWeb"/>
        <w:spacing w:beforeLines="0" w:before="120" w:afterLines="0" w:after="120" w:line="288" w:lineRule="auto"/>
        <w:ind w:firstLine="403"/>
        <w:jc w:val="both"/>
        <w:rPr>
          <w:rFonts w:ascii="Arial" w:hAnsi="Arial" w:cs="Arial"/>
          <w:lang w:val="en-GB"/>
        </w:rPr>
      </w:pPr>
      <w:r w:rsidRPr="007F04C4">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in labour market.</w:t>
      </w:r>
    </w:p>
    <w:p w:rsidR="00C50458" w:rsidRPr="007F04C4" w:rsidRDefault="00C50458" w:rsidP="00B377AD">
      <w:pPr>
        <w:spacing w:before="120" w:after="120" w:line="288" w:lineRule="auto"/>
        <w:ind w:firstLine="403"/>
        <w:jc w:val="both"/>
        <w:rPr>
          <w:rFonts w:cs="Arial"/>
        </w:rPr>
      </w:pPr>
      <w:r w:rsidRPr="007F04C4">
        <w:rPr>
          <w:rFonts w:cs="Arial"/>
          <w:b/>
          <w:bCs/>
        </w:rPr>
        <w:t>Active population</w:t>
      </w:r>
      <w:r w:rsidRPr="007F04C4">
        <w:rPr>
          <w:rFonts w:cs="Arial"/>
        </w:rPr>
        <w:t xml:space="preserve"> (</w:t>
      </w:r>
      <w:r w:rsidRPr="007F04C4">
        <w:rPr>
          <w:rFonts w:cs="Arial"/>
          <w:b/>
          <w:bCs/>
        </w:rPr>
        <w:t>labour force</w:t>
      </w:r>
      <w:r w:rsidRPr="007F04C4">
        <w:rPr>
          <w:rFonts w:cs="Arial"/>
        </w:rPr>
        <w:t>) includes all employed and unemployed persons.</w:t>
      </w:r>
    </w:p>
    <w:p w:rsidR="00C50458" w:rsidRPr="007F04C4" w:rsidRDefault="00C50458" w:rsidP="00B377AD">
      <w:pPr>
        <w:pStyle w:val="Heading4"/>
        <w:spacing w:before="120" w:after="120" w:line="288" w:lineRule="auto"/>
        <w:ind w:firstLine="403"/>
        <w:jc w:val="both"/>
        <w:rPr>
          <w:rFonts w:ascii="Arial" w:hAnsi="Arial" w:cs="Arial"/>
          <w:b w:val="0"/>
          <w:bCs w:val="0"/>
          <w:i w:val="0"/>
          <w:color w:val="auto"/>
          <w:spacing w:val="-4"/>
        </w:rPr>
      </w:pPr>
      <w:r w:rsidRPr="007F04C4">
        <w:rPr>
          <w:rFonts w:ascii="Arial" w:hAnsi="Arial" w:cs="Arial"/>
          <w:i w:val="0"/>
          <w:color w:val="auto"/>
          <w:spacing w:val="-4"/>
        </w:rPr>
        <w:t>Activity rate (share of labour force)</w:t>
      </w:r>
      <w:r w:rsidRPr="007F04C4">
        <w:rPr>
          <w:rFonts w:ascii="Arial" w:hAnsi="Arial" w:cs="Arial"/>
          <w:b w:val="0"/>
          <w:bCs w:val="0"/>
          <w:i w:val="0"/>
          <w:color w:val="auto"/>
          <w:spacing w:val="-4"/>
        </w:rPr>
        <w:t xml:space="preserve"> presents the percentage share of active population in total population aged 15 and over.</w:t>
      </w:r>
    </w:p>
    <w:p w:rsidR="00C50458" w:rsidRPr="007F04C4" w:rsidRDefault="00C50458" w:rsidP="00B377AD">
      <w:pPr>
        <w:spacing w:before="120" w:after="120" w:line="288" w:lineRule="auto"/>
        <w:ind w:firstLine="403"/>
        <w:jc w:val="both"/>
        <w:rPr>
          <w:rFonts w:cs="Arial"/>
          <w:b/>
        </w:rPr>
      </w:pPr>
      <w:r w:rsidRPr="007F04C4">
        <w:rPr>
          <w:rFonts w:cs="Arial"/>
          <w:b/>
          <w:bCs/>
        </w:rPr>
        <w:t xml:space="preserve">Employed persons </w:t>
      </w:r>
      <w:r w:rsidRPr="007F04C4">
        <w:rPr>
          <w:rFonts w:cs="Arial"/>
        </w:rPr>
        <w:t>are persons who performed a paid job (in money or in kind) for at least one hour in the reference week, as well as persons who had an employment, but were absent from work in that week but which have a guaranty to return to it.</w:t>
      </w:r>
      <w:r w:rsidRPr="007F04C4">
        <w:rPr>
          <w:rFonts w:cs="Arial"/>
          <w:b/>
        </w:rPr>
        <w:t xml:space="preserve"> </w:t>
      </w:r>
    </w:p>
    <w:p w:rsidR="00C50458" w:rsidRPr="007F04C4" w:rsidRDefault="00C50458" w:rsidP="00B377AD">
      <w:pPr>
        <w:spacing w:before="120" w:after="120" w:line="288" w:lineRule="auto"/>
        <w:ind w:firstLine="403"/>
        <w:jc w:val="both"/>
        <w:rPr>
          <w:rFonts w:cs="Arial"/>
        </w:rPr>
      </w:pPr>
      <w:r w:rsidRPr="007F04C4">
        <w:rPr>
          <w:rFonts w:cs="Arial"/>
          <w:b/>
          <w:bCs/>
        </w:rPr>
        <w:t xml:space="preserve">Employment rate </w:t>
      </w:r>
      <w:r w:rsidRPr="007F04C4">
        <w:rPr>
          <w:rFonts w:cs="Arial"/>
        </w:rPr>
        <w:t>is the percentage share of employed in the total population aged 15 and over.</w:t>
      </w:r>
    </w:p>
    <w:p w:rsidR="00C50458" w:rsidRPr="007F04C4" w:rsidRDefault="00C50458" w:rsidP="00B377AD">
      <w:pPr>
        <w:spacing w:before="120" w:after="120" w:line="288" w:lineRule="auto"/>
        <w:ind w:firstLine="403"/>
        <w:jc w:val="both"/>
        <w:rPr>
          <w:rFonts w:cs="Arial"/>
        </w:rPr>
      </w:pPr>
      <w:r w:rsidRPr="007F04C4">
        <w:rPr>
          <w:rFonts w:cs="Arial"/>
          <w:b/>
          <w:bCs/>
        </w:rPr>
        <w:t>Informally employed</w:t>
      </w:r>
      <w:r w:rsidRPr="007F04C4">
        <w:rPr>
          <w:rFonts w:cs="Arial"/>
        </w:rPr>
        <w:t xml:space="preserve"> are employees without written contract, self-employed in unregistered business, as well as contributing family workers.</w:t>
      </w:r>
    </w:p>
    <w:p w:rsidR="00C50458" w:rsidRPr="007F04C4" w:rsidRDefault="00C50458" w:rsidP="00B377AD">
      <w:pPr>
        <w:spacing w:before="120" w:after="120" w:line="288" w:lineRule="auto"/>
        <w:ind w:firstLine="403"/>
        <w:jc w:val="both"/>
        <w:rPr>
          <w:rFonts w:cs="Arial"/>
          <w:b/>
          <w:bCs/>
          <w:spacing w:val="-4"/>
        </w:rPr>
      </w:pPr>
      <w:r w:rsidRPr="007F04C4">
        <w:rPr>
          <w:rFonts w:cs="Arial"/>
          <w:b/>
          <w:bCs/>
        </w:rPr>
        <w:t>Informal employment rate</w:t>
      </w:r>
      <w:r w:rsidRPr="007F04C4">
        <w:rPr>
          <w:rFonts w:cs="Arial"/>
        </w:rPr>
        <w:t xml:space="preserve"> is the percentage share of informally employed in total employment.</w:t>
      </w:r>
    </w:p>
    <w:p w:rsidR="00C50458" w:rsidRPr="007F04C4" w:rsidRDefault="00C50458" w:rsidP="00B377AD">
      <w:pPr>
        <w:spacing w:before="120" w:after="120" w:line="288" w:lineRule="auto"/>
        <w:ind w:firstLine="403"/>
        <w:jc w:val="both"/>
        <w:rPr>
          <w:rFonts w:cs="Arial"/>
        </w:rPr>
      </w:pPr>
      <w:r w:rsidRPr="007F04C4">
        <w:rPr>
          <w:rFonts w:cs="Arial"/>
          <w:b/>
          <w:bCs/>
        </w:rPr>
        <w:t>Unemployed persons</w:t>
      </w:r>
      <w:r w:rsidRPr="007F04C4">
        <w:rPr>
          <w:rFonts w:cs="Arial"/>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50458" w:rsidRPr="007F04C4" w:rsidRDefault="00C50458" w:rsidP="00B377AD">
      <w:pPr>
        <w:pStyle w:val="Heading4"/>
        <w:spacing w:before="120" w:after="120" w:line="288" w:lineRule="auto"/>
        <w:ind w:firstLine="403"/>
        <w:jc w:val="both"/>
        <w:rPr>
          <w:rFonts w:ascii="Arial" w:hAnsi="Arial" w:cs="Arial"/>
          <w:b w:val="0"/>
          <w:bCs w:val="0"/>
          <w:i w:val="0"/>
          <w:color w:val="auto"/>
        </w:rPr>
      </w:pPr>
      <w:r w:rsidRPr="007F04C4">
        <w:rPr>
          <w:rFonts w:ascii="Arial" w:hAnsi="Arial" w:cs="Arial"/>
          <w:i w:val="0"/>
          <w:color w:val="auto"/>
        </w:rPr>
        <w:lastRenderedPageBreak/>
        <w:t xml:space="preserve">Unemployment rate </w:t>
      </w:r>
      <w:r w:rsidRPr="007F04C4">
        <w:rPr>
          <w:rFonts w:ascii="Arial" w:hAnsi="Arial" w:cs="Arial"/>
          <w:b w:val="0"/>
          <w:bCs w:val="0"/>
          <w:i w:val="0"/>
          <w:color w:val="auto"/>
        </w:rPr>
        <w:t>presents the percentage share of unemployed population in labour force (employed and unemployed), aged 15 and over.</w:t>
      </w:r>
    </w:p>
    <w:p w:rsidR="00C50458" w:rsidRPr="007F04C4" w:rsidRDefault="00C50458" w:rsidP="00B377AD">
      <w:pPr>
        <w:spacing w:before="120" w:after="120" w:line="288" w:lineRule="auto"/>
        <w:ind w:firstLine="403"/>
        <w:jc w:val="both"/>
        <w:rPr>
          <w:rFonts w:cs="Arial"/>
        </w:rPr>
      </w:pPr>
      <w:r w:rsidRPr="007F04C4">
        <w:rPr>
          <w:rFonts w:cs="Arial"/>
          <w:b/>
          <w:bCs/>
        </w:rPr>
        <w:t>Long-term unemployment rate</w:t>
      </w:r>
      <w:r w:rsidRPr="007F04C4">
        <w:rPr>
          <w:rFonts w:cs="Arial"/>
        </w:rPr>
        <w:t xml:space="preserve"> presents the percentage share of the unemployed for one year and more, in the total labour force (employed and unemployed), aged 15 and over.</w:t>
      </w:r>
    </w:p>
    <w:p w:rsidR="00C50458" w:rsidRPr="007F04C4" w:rsidRDefault="00C50458" w:rsidP="00B377AD">
      <w:pPr>
        <w:pStyle w:val="ListParagraph"/>
        <w:spacing w:before="120" w:after="120" w:line="288" w:lineRule="auto"/>
        <w:ind w:left="0" w:firstLine="403"/>
        <w:jc w:val="both"/>
        <w:rPr>
          <w:rFonts w:ascii="Arial" w:hAnsi="Arial" w:cs="Arial"/>
          <w:sz w:val="20"/>
          <w:szCs w:val="20"/>
          <w:lang w:val="en-GB"/>
        </w:rPr>
      </w:pPr>
      <w:r w:rsidRPr="007F04C4">
        <w:rPr>
          <w:rFonts w:ascii="Arial" w:hAnsi="Arial" w:cs="Arial"/>
          <w:b/>
          <w:bCs/>
          <w:sz w:val="20"/>
          <w:szCs w:val="20"/>
          <w:lang w:val="en-GB"/>
        </w:rPr>
        <w:t xml:space="preserve">NEET rate – </w:t>
      </w:r>
      <w:r w:rsidRPr="007F04C4">
        <w:rPr>
          <w:rFonts w:ascii="Arial" w:hAnsi="Arial" w:cs="Arial"/>
          <w:sz w:val="20"/>
          <w:szCs w:val="20"/>
          <w:lang w:val="en-GB"/>
        </w:rPr>
        <w:t xml:space="preserve">refers to share of persons aged 15 </w:t>
      </w:r>
      <w:proofErr w:type="gramStart"/>
      <w:r w:rsidRPr="007F04C4">
        <w:rPr>
          <w:rFonts w:ascii="Arial" w:hAnsi="Arial" w:cs="Arial"/>
          <w:sz w:val="20"/>
          <w:szCs w:val="20"/>
          <w:lang w:val="en-GB"/>
        </w:rPr>
        <w:t>to 24, neither</w:t>
      </w:r>
      <w:proofErr w:type="gramEnd"/>
      <w:r w:rsidRPr="007F04C4">
        <w:rPr>
          <w:rFonts w:ascii="Arial" w:hAnsi="Arial" w:cs="Arial"/>
          <w:sz w:val="20"/>
          <w:szCs w:val="20"/>
          <w:lang w:val="en-GB"/>
        </w:rPr>
        <w:t xml:space="preserve"> employed, nor in education, training, in total population of that age.</w:t>
      </w:r>
      <w:r w:rsidRPr="007F04C4">
        <w:rPr>
          <w:rFonts w:ascii="Arial" w:hAnsi="Arial" w:cs="Arial"/>
          <w:b/>
          <w:bCs/>
          <w:sz w:val="20"/>
          <w:szCs w:val="20"/>
          <w:lang w:val="en-GB"/>
        </w:rPr>
        <w:t xml:space="preserve"> </w:t>
      </w:r>
    </w:p>
    <w:p w:rsidR="00C50458" w:rsidRPr="007F04C4" w:rsidRDefault="00C50458" w:rsidP="00B377AD">
      <w:pPr>
        <w:spacing w:before="120" w:after="120" w:line="288" w:lineRule="auto"/>
        <w:ind w:firstLine="403"/>
        <w:jc w:val="both"/>
        <w:rPr>
          <w:rFonts w:cs="Arial"/>
        </w:rPr>
      </w:pPr>
      <w:r w:rsidRPr="007F04C4">
        <w:rPr>
          <w:rFonts w:cs="Arial"/>
          <w:b/>
          <w:bCs/>
        </w:rPr>
        <w:t>Inactive population</w:t>
      </w:r>
      <w:r w:rsidRPr="007F04C4">
        <w:rPr>
          <w:rFonts w:cs="Arial"/>
        </w:rPr>
        <w:t xml:space="preserve"> includes all persons aged 15 and over who </w:t>
      </w:r>
      <w:proofErr w:type="gramStart"/>
      <w:r w:rsidRPr="007F04C4">
        <w:rPr>
          <w:rFonts w:cs="Arial"/>
        </w:rPr>
        <w:t>are not classified</w:t>
      </w:r>
      <w:proofErr w:type="gramEnd"/>
      <w:r w:rsidRPr="007F04C4">
        <w:rPr>
          <w:rFonts w:cs="Arial"/>
        </w:rPr>
        <w:t xml:space="preserve"> in employed and unemployed population. Inactive population comprises students, pensioners, persons performing household tasks, as well as all other persons who performed no paid job in the observed week, did not actively seek a job and who were not able to start working in two-week time after the observed week.  </w:t>
      </w:r>
    </w:p>
    <w:p w:rsidR="00C50458" w:rsidRPr="007F04C4" w:rsidRDefault="00C50458" w:rsidP="00B377AD">
      <w:pPr>
        <w:pStyle w:val="Heading1"/>
        <w:spacing w:before="120" w:after="120" w:line="288" w:lineRule="auto"/>
        <w:ind w:firstLine="403"/>
        <w:jc w:val="both"/>
        <w:rPr>
          <w:rFonts w:ascii="Arial IS" w:hAnsi="Arial IS" w:cs="Arial IS"/>
          <w:b w:val="0"/>
          <w:bCs w:val="0"/>
          <w:i/>
          <w:iCs/>
          <w:color w:val="auto"/>
          <w:sz w:val="20"/>
          <w:szCs w:val="20"/>
        </w:rPr>
      </w:pPr>
      <w:r w:rsidRPr="007F04C4">
        <w:rPr>
          <w:rFonts w:ascii="Arial" w:hAnsi="Arial" w:cs="Arial"/>
          <w:color w:val="auto"/>
          <w:sz w:val="20"/>
          <w:szCs w:val="20"/>
        </w:rPr>
        <w:t xml:space="preserve">Inactivity rate </w:t>
      </w:r>
      <w:r w:rsidRPr="007F04C4">
        <w:rPr>
          <w:rFonts w:ascii="Arial" w:hAnsi="Arial" w:cs="Arial"/>
          <w:b w:val="0"/>
          <w:bCs w:val="0"/>
          <w:color w:val="auto"/>
          <w:sz w:val="20"/>
          <w:szCs w:val="20"/>
        </w:rPr>
        <w:t>presents</w:t>
      </w:r>
      <w:r w:rsidRPr="007F04C4">
        <w:rPr>
          <w:rFonts w:ascii="Arial" w:hAnsi="Arial" w:cs="Arial"/>
          <w:color w:val="auto"/>
          <w:sz w:val="20"/>
          <w:szCs w:val="20"/>
        </w:rPr>
        <w:t xml:space="preserve"> </w:t>
      </w:r>
      <w:r w:rsidRPr="007F04C4">
        <w:rPr>
          <w:rFonts w:ascii="Arial" w:hAnsi="Arial" w:cs="Arial"/>
          <w:b w:val="0"/>
          <w:bCs w:val="0"/>
          <w:color w:val="auto"/>
          <w:sz w:val="20"/>
          <w:szCs w:val="20"/>
        </w:rPr>
        <w:t>the percentage share of inactive population in total population aged 15 and over.</w:t>
      </w:r>
    </w:p>
    <w:p w:rsidR="00C50458" w:rsidRPr="007F04C4" w:rsidRDefault="00C50458" w:rsidP="00B377AD">
      <w:pPr>
        <w:spacing w:before="120" w:after="120" w:line="288" w:lineRule="auto"/>
        <w:ind w:firstLine="403"/>
        <w:jc w:val="both"/>
        <w:rPr>
          <w:rFonts w:cs="Arial"/>
        </w:rPr>
      </w:pPr>
      <w:r w:rsidRPr="007F04C4">
        <w:rPr>
          <w:rFonts w:cs="Arial"/>
        </w:rPr>
        <w:t xml:space="preserve">For more detailed description of the Survey and definitions of labour force, see the methodology of Labour Force Survey on </w:t>
      </w:r>
      <w:hyperlink r:id="rId11" w:history="1">
        <w:r w:rsidRPr="007F04C4">
          <w:rPr>
            <w:rStyle w:val="Hyperlink"/>
            <w:rFonts w:cs="Arial"/>
          </w:rPr>
          <w:t>www.stat.gov.rs</w:t>
        </w:r>
      </w:hyperlink>
      <w:r w:rsidRPr="007F04C4">
        <w:rPr>
          <w:rFonts w:cs="Arial"/>
        </w:rPr>
        <w:t>.</w:t>
      </w:r>
    </w:p>
    <w:p w:rsidR="00335F51" w:rsidRDefault="00335F51" w:rsidP="00335F51">
      <w:pPr>
        <w:spacing w:before="120" w:after="120" w:line="288" w:lineRule="auto"/>
        <w:jc w:val="both"/>
        <w:rPr>
          <w:rFonts w:cs="Arial"/>
        </w:rPr>
      </w:pPr>
    </w:p>
    <w:p w:rsidR="00335F51" w:rsidRDefault="00335F51" w:rsidP="00335F51">
      <w:pPr>
        <w:spacing w:before="120" w:after="120" w:line="288" w:lineRule="auto"/>
        <w:jc w:val="both"/>
        <w:rPr>
          <w:rFonts w:cs="Arial"/>
        </w:rPr>
      </w:pPr>
    </w:p>
    <w:p w:rsidR="00C50458" w:rsidRPr="007F04C4" w:rsidRDefault="00C50458" w:rsidP="00335F51">
      <w:pPr>
        <w:spacing w:before="120" w:after="120" w:line="288" w:lineRule="auto"/>
        <w:jc w:val="both"/>
        <w:rPr>
          <w:rFonts w:cs="Arial"/>
        </w:rPr>
      </w:pPr>
      <w:r w:rsidRPr="007F04C4">
        <w:rPr>
          <w:rFonts w:cs="Arial"/>
        </w:rPr>
        <w:t xml:space="preserve">Starting from 1999 the Statistical Office of the Republic of Serbia has not at disposal and may not provide available certain data relative to AP Kosovo and </w:t>
      </w:r>
      <w:proofErr w:type="spellStart"/>
      <w:r w:rsidRPr="007F04C4">
        <w:rPr>
          <w:rFonts w:cs="Arial"/>
        </w:rPr>
        <w:t>Metohija</w:t>
      </w:r>
      <w:proofErr w:type="spellEnd"/>
      <w:r w:rsidRPr="007F04C4">
        <w:rPr>
          <w:rFonts w:cs="Arial"/>
        </w:rPr>
        <w:t xml:space="preserve"> and therefore these data are not included in the coverage for the Republic of Serbia (total). </w:t>
      </w: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p>
    <w:p w:rsidR="00B05442" w:rsidRDefault="00B05442" w:rsidP="000F2A19">
      <w:pPr>
        <w:pStyle w:val="FootnoteText"/>
        <w:spacing w:before="100" w:after="100" w:line="300" w:lineRule="auto"/>
        <w:jc w:val="both"/>
        <w:rPr>
          <w:rFonts w:ascii="Arial" w:hAnsi="Arial" w:cs="Arial"/>
        </w:rPr>
      </w:pPr>
    </w:p>
    <w:p w:rsidR="00B05442" w:rsidRPr="007F04C4" w:rsidRDefault="00B05442" w:rsidP="000F2A19">
      <w:pPr>
        <w:pStyle w:val="FootnoteText"/>
        <w:spacing w:before="100" w:after="100" w:line="300" w:lineRule="auto"/>
        <w:jc w:val="both"/>
        <w:rPr>
          <w:rFonts w:ascii="Arial" w:hAnsi="Arial" w:cs="Arial"/>
        </w:rPr>
      </w:pPr>
      <w:bookmarkStart w:id="0" w:name="_GoBack"/>
      <w:bookmarkEnd w:id="0"/>
    </w:p>
    <w:p w:rsidR="008C52F9" w:rsidRPr="007F04C4" w:rsidRDefault="008C52F9" w:rsidP="000F2A19">
      <w:pPr>
        <w:pStyle w:val="FootnoteText"/>
        <w:spacing w:before="100" w:after="100" w:line="300" w:lineRule="auto"/>
        <w:jc w:val="both"/>
        <w:rPr>
          <w:rFonts w:ascii="Arial" w:hAnsi="Arial" w:cs="Arial"/>
        </w:rPr>
      </w:pPr>
    </w:p>
    <w:p w:rsidR="00D925E2" w:rsidRPr="007F04C4" w:rsidRDefault="00D925E2" w:rsidP="000F2A19">
      <w:pPr>
        <w:pStyle w:val="FootnoteText"/>
        <w:spacing w:before="100" w:after="100" w:line="300" w:lineRule="auto"/>
        <w:jc w:val="both"/>
        <w:rPr>
          <w:rFonts w:ascii="Arial" w:hAnsi="Arial" w:cs="Arial"/>
        </w:rPr>
      </w:pPr>
    </w:p>
    <w:p w:rsidR="00D925E2" w:rsidRPr="007F04C4" w:rsidRDefault="00D925E2" w:rsidP="000F2A19">
      <w:pPr>
        <w:pStyle w:val="FootnoteText"/>
        <w:spacing w:before="100" w:after="100" w:line="300" w:lineRule="auto"/>
        <w:jc w:val="both"/>
        <w:rPr>
          <w:rFonts w:ascii="Arial" w:hAnsi="Arial" w:cs="Arial"/>
        </w:rPr>
      </w:pPr>
    </w:p>
    <w:p w:rsidR="00D925E2" w:rsidRPr="007F04C4" w:rsidRDefault="00D925E2" w:rsidP="000F2A19">
      <w:pPr>
        <w:pStyle w:val="FootnoteText"/>
        <w:spacing w:before="100" w:after="100" w:line="300" w:lineRule="auto"/>
        <w:jc w:val="both"/>
        <w:rPr>
          <w:rFonts w:ascii="Arial" w:hAnsi="Arial" w:cs="Arial"/>
        </w:rPr>
      </w:pPr>
    </w:p>
    <w:p w:rsidR="00D925E2" w:rsidRPr="007F04C4" w:rsidRDefault="00D925E2" w:rsidP="000F2A19">
      <w:pPr>
        <w:pStyle w:val="FootnoteText"/>
        <w:spacing w:before="100" w:after="100" w:line="300" w:lineRule="auto"/>
        <w:jc w:val="both"/>
        <w:rPr>
          <w:rFonts w:ascii="Arial" w:hAnsi="Arial" w:cs="Arial"/>
        </w:rPr>
      </w:pPr>
    </w:p>
    <w:p w:rsidR="000F2A19" w:rsidRPr="007F04C4" w:rsidRDefault="000F2A19" w:rsidP="000F2A19">
      <w:pPr>
        <w:pStyle w:val="FootnoteText"/>
        <w:spacing w:before="100" w:after="100" w:line="300" w:lineRule="auto"/>
        <w:jc w:val="both"/>
        <w:rPr>
          <w:rFonts w:cs="Arial"/>
          <w:sz w:val="16"/>
          <w:szCs w:val="16"/>
        </w:rPr>
      </w:pPr>
    </w:p>
    <w:p w:rsidR="008F1FDB" w:rsidRPr="007F04C4" w:rsidRDefault="008F1FDB" w:rsidP="008F1FDB">
      <w:pPr>
        <w:ind w:left="1416" w:firstLine="708"/>
        <w:rPr>
          <w:rFonts w:cs="Arial"/>
          <w:sz w:val="16"/>
          <w:szCs w:val="16"/>
        </w:rPr>
      </w:pPr>
      <w:r w:rsidRPr="007F04C4">
        <w:rPr>
          <w:noProof/>
          <w:lang w:val="en-US"/>
        </w:rPr>
        <mc:AlternateContent>
          <mc:Choice Requires="wps">
            <w:drawing>
              <wp:anchor distT="4294967295" distB="4294967295" distL="114300" distR="114300" simplePos="0" relativeHeight="251663360" behindDoc="0" locked="0" layoutInCell="1" allowOverlap="1" wp14:anchorId="7EE46D44" wp14:editId="1C40C171">
                <wp:simplePos x="0" y="0"/>
                <wp:positionH relativeFrom="column">
                  <wp:posOffset>949960</wp:posOffset>
                </wp:positionH>
                <wp:positionV relativeFrom="paragraph">
                  <wp:posOffset>34924</wp:posOffset>
                </wp:positionV>
                <wp:extent cx="46799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557861"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" strokecolor="#7f7f7f" strokeweight="1pt">
                <o:lock v:ext="edit" shapetype="f"/>
              </v:line>
            </w:pict>
          </mc:Fallback>
        </mc:AlternateContent>
      </w:r>
    </w:p>
    <w:p w:rsidR="00C50458" w:rsidRPr="007F04C4" w:rsidRDefault="00C50458" w:rsidP="00C50458">
      <w:pPr>
        <w:jc w:val="center"/>
        <w:rPr>
          <w:rFonts w:cs="Arial"/>
          <w:sz w:val="18"/>
          <w:szCs w:val="18"/>
        </w:rPr>
      </w:pPr>
      <w:r w:rsidRPr="007F04C4">
        <w:rPr>
          <w:rFonts w:cs="Arial"/>
          <w:noProof/>
          <w:sz w:val="18"/>
          <w:szCs w:val="18"/>
          <w:lang w:val="en-US"/>
        </w:rPr>
        <mc:AlternateContent>
          <mc:Choice Requires="wps">
            <w:drawing>
              <wp:anchor distT="0" distB="0" distL="114300" distR="114300" simplePos="0" relativeHeight="251670528" behindDoc="0" locked="1" layoutInCell="1" allowOverlap="1" wp14:anchorId="0E0102D4" wp14:editId="57D633F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94B6"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Pr="007F04C4">
        <w:rPr>
          <w:rFonts w:cs="Arial"/>
          <w:sz w:val="18"/>
          <w:szCs w:val="18"/>
        </w:rPr>
        <w:t xml:space="preserve">Contact: </w:t>
      </w:r>
      <w:hyperlink r:id="rId12" w:history="1">
        <w:r w:rsidRPr="007F04C4">
          <w:rPr>
            <w:rStyle w:val="Hyperlink"/>
            <w:rFonts w:cs="Arial"/>
            <w:sz w:val="18"/>
            <w:szCs w:val="18"/>
          </w:rPr>
          <w:t>ars@stat.gov.rs</w:t>
        </w:r>
      </w:hyperlink>
      <w:r w:rsidRPr="007F04C4">
        <w:rPr>
          <w:rStyle w:val="Hyperlink"/>
          <w:rFonts w:cs="Arial"/>
          <w:sz w:val="18"/>
          <w:szCs w:val="18"/>
        </w:rPr>
        <w:t>,</w:t>
      </w:r>
      <w:r w:rsidRPr="007F04C4">
        <w:rPr>
          <w:rFonts w:cs="Arial"/>
          <w:sz w:val="18"/>
          <w:szCs w:val="18"/>
        </w:rPr>
        <w:t xml:space="preserve"> Phone: +381 11 2412 922, ext. 372</w:t>
      </w:r>
    </w:p>
    <w:p w:rsidR="00C50458" w:rsidRPr="007F04C4" w:rsidRDefault="00C50458" w:rsidP="00C50458">
      <w:pPr>
        <w:jc w:val="center"/>
        <w:rPr>
          <w:rFonts w:cs="Arial"/>
          <w:iCs/>
          <w:sz w:val="18"/>
          <w:szCs w:val="18"/>
        </w:rPr>
      </w:pPr>
      <w:r w:rsidRPr="007F04C4">
        <w:rPr>
          <w:rFonts w:cs="Arial"/>
          <w:iCs/>
          <w:sz w:val="18"/>
          <w:szCs w:val="18"/>
        </w:rPr>
        <w:t xml:space="preserve">Published and printed by: Statistical Office of the Republic of Serbia, 11 050 Belgrade, </w:t>
      </w:r>
      <w:proofErr w:type="spellStart"/>
      <w:r w:rsidRPr="007F04C4">
        <w:rPr>
          <w:rFonts w:cs="Arial"/>
          <w:iCs/>
          <w:sz w:val="18"/>
          <w:szCs w:val="18"/>
        </w:rPr>
        <w:t>Milana</w:t>
      </w:r>
      <w:proofErr w:type="spellEnd"/>
      <w:r w:rsidRPr="007F04C4">
        <w:rPr>
          <w:rFonts w:cs="Arial"/>
          <w:iCs/>
          <w:sz w:val="18"/>
          <w:szCs w:val="18"/>
        </w:rPr>
        <w:t xml:space="preserve"> </w:t>
      </w:r>
      <w:proofErr w:type="spellStart"/>
      <w:r w:rsidRPr="007F04C4">
        <w:rPr>
          <w:rFonts w:cs="Arial"/>
          <w:iCs/>
          <w:sz w:val="18"/>
          <w:szCs w:val="18"/>
        </w:rPr>
        <w:t>Rakica</w:t>
      </w:r>
      <w:proofErr w:type="spellEnd"/>
      <w:r w:rsidRPr="007F04C4">
        <w:rPr>
          <w:rFonts w:cs="Arial"/>
          <w:iCs/>
          <w:sz w:val="18"/>
          <w:szCs w:val="18"/>
        </w:rPr>
        <w:t xml:space="preserve"> 5</w:t>
      </w:r>
    </w:p>
    <w:p w:rsidR="00C50458" w:rsidRPr="007F04C4" w:rsidRDefault="00C50458" w:rsidP="00C50458">
      <w:pPr>
        <w:jc w:val="center"/>
        <w:rPr>
          <w:rFonts w:cs="Arial"/>
          <w:iCs/>
          <w:sz w:val="18"/>
          <w:szCs w:val="18"/>
        </w:rPr>
      </w:pPr>
      <w:r w:rsidRPr="007F04C4">
        <w:rPr>
          <w:rFonts w:cs="Arial"/>
          <w:iCs/>
          <w:sz w:val="18"/>
          <w:szCs w:val="18"/>
        </w:rPr>
        <w:t xml:space="preserve">Phone: +381 11 2412922 </w:t>
      </w:r>
      <w:r w:rsidRPr="007F04C4">
        <w:rPr>
          <w:rFonts w:cs="Arial"/>
          <w:sz w:val="18"/>
          <w:szCs w:val="18"/>
        </w:rPr>
        <w:t xml:space="preserve">(telephone exchange) </w:t>
      </w:r>
      <w:r w:rsidRPr="007F04C4">
        <w:rPr>
          <w:rFonts w:cs="Arial"/>
          <w:iCs/>
          <w:sz w:val="18"/>
          <w:szCs w:val="18"/>
        </w:rPr>
        <w:t xml:space="preserve">● Fax: +381 11 2411260 ● www.stat.gov.rs  </w:t>
      </w:r>
    </w:p>
    <w:p w:rsidR="00C50458" w:rsidRPr="007F04C4" w:rsidRDefault="00C50458" w:rsidP="00C50458">
      <w:pPr>
        <w:jc w:val="center"/>
        <w:rPr>
          <w:rFonts w:cs="Arial"/>
          <w:iCs/>
          <w:sz w:val="18"/>
          <w:szCs w:val="18"/>
        </w:rPr>
      </w:pPr>
      <w:r w:rsidRPr="007F04C4">
        <w:rPr>
          <w:rFonts w:cs="Arial"/>
          <w:iCs/>
          <w:sz w:val="18"/>
          <w:szCs w:val="18"/>
        </w:rPr>
        <w:t xml:space="preserve">Responsible: Dr </w:t>
      </w:r>
      <w:proofErr w:type="spellStart"/>
      <w:r w:rsidRPr="007F04C4">
        <w:rPr>
          <w:rFonts w:cs="Arial"/>
          <w:iCs/>
          <w:sz w:val="18"/>
          <w:szCs w:val="18"/>
        </w:rPr>
        <w:t>Miladin</w:t>
      </w:r>
      <w:proofErr w:type="spellEnd"/>
      <w:r w:rsidRPr="007F04C4">
        <w:rPr>
          <w:rFonts w:cs="Arial"/>
          <w:iCs/>
          <w:sz w:val="18"/>
          <w:szCs w:val="18"/>
        </w:rPr>
        <w:t xml:space="preserve"> </w:t>
      </w:r>
      <w:proofErr w:type="spellStart"/>
      <w:r w:rsidRPr="007F04C4">
        <w:rPr>
          <w:rFonts w:cs="Arial"/>
          <w:iCs/>
          <w:sz w:val="18"/>
          <w:szCs w:val="18"/>
        </w:rPr>
        <w:t>Kovačević</w:t>
      </w:r>
      <w:proofErr w:type="spellEnd"/>
      <w:r w:rsidRPr="007F04C4">
        <w:rPr>
          <w:rFonts w:cs="Arial"/>
          <w:iCs/>
          <w:sz w:val="18"/>
          <w:szCs w:val="18"/>
        </w:rPr>
        <w:t>, Director</w:t>
      </w:r>
    </w:p>
    <w:p w:rsidR="005B2627" w:rsidRPr="007F04C4" w:rsidRDefault="00C50458" w:rsidP="00166DB3">
      <w:pPr>
        <w:spacing w:after="60"/>
        <w:jc w:val="center"/>
      </w:pPr>
      <w:r w:rsidRPr="007F04C4">
        <w:rPr>
          <w:rFonts w:cs="Arial"/>
          <w:sz w:val="18"/>
          <w:szCs w:val="18"/>
        </w:rPr>
        <w:t>Circulation: 20 • Periodicity: quarterly</w:t>
      </w:r>
    </w:p>
    <w:sectPr w:rsidR="005B2627" w:rsidRPr="007F04C4" w:rsidSect="00BC5415">
      <w:footerReference w:type="even" r:id="rId13"/>
      <w:footerReference w:type="default" r:id="rId14"/>
      <w:footnotePr>
        <w:numRestart w:val="eachPage"/>
      </w:footnotePr>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61" w:rsidRDefault="00251661" w:rsidP="008F1FDB">
      <w:r>
        <w:separator/>
      </w:r>
    </w:p>
  </w:endnote>
  <w:endnote w:type="continuationSeparator" w:id="0">
    <w:p w:rsidR="00251661" w:rsidRDefault="00251661" w:rsidP="008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CE52BA" w:rsidRDefault="00624E41" w:rsidP="006A1222">
    <w:pPr>
      <w:pStyle w:val="Footer"/>
      <w:pBdr>
        <w:top w:val="single" w:sz="4" w:space="1" w:color="auto"/>
      </w:pBdr>
      <w:rPr>
        <w:rFonts w:ascii="Arial" w:hAnsi="Arial" w:cs="Arial"/>
        <w:sz w:val="16"/>
        <w:szCs w:val="16"/>
        <w:lang w:val="sr-Latn-RS"/>
      </w:rPr>
    </w:pPr>
    <w:r w:rsidRPr="00D44751">
      <w:rPr>
        <w:rFonts w:ascii="Arial" w:hAnsi="Arial" w:cs="Arial"/>
        <w:sz w:val="16"/>
        <w:szCs w:val="16"/>
      </w:rPr>
      <w:fldChar w:fldCharType="begin"/>
    </w:r>
    <w:r w:rsidRPr="00D44751">
      <w:rPr>
        <w:rFonts w:ascii="Arial" w:hAnsi="Arial" w:cs="Arial"/>
        <w:sz w:val="16"/>
        <w:szCs w:val="16"/>
      </w:rPr>
      <w:instrText xml:space="preserve"> PAGE   \* MERGEFORMAT </w:instrText>
    </w:r>
    <w:r w:rsidRPr="00D44751">
      <w:rPr>
        <w:rFonts w:ascii="Arial" w:hAnsi="Arial" w:cs="Arial"/>
        <w:sz w:val="16"/>
        <w:szCs w:val="16"/>
      </w:rPr>
      <w:fldChar w:fldCharType="separate"/>
    </w:r>
    <w:r w:rsidR="00335F51">
      <w:rPr>
        <w:rFonts w:ascii="Arial" w:hAnsi="Arial" w:cs="Arial"/>
        <w:noProof/>
        <w:sz w:val="16"/>
        <w:szCs w:val="16"/>
      </w:rPr>
      <w:t>4</w:t>
    </w:r>
    <w:r w:rsidRPr="00D44751">
      <w:rPr>
        <w:rFonts w:ascii="Arial" w:hAnsi="Arial" w:cs="Arial"/>
        <w:noProof/>
        <w:sz w:val="16"/>
        <w:szCs w:val="16"/>
      </w:rPr>
      <w:fldChar w:fldCharType="end"/>
    </w:r>
    <w:r w:rsidRPr="00D44751">
      <w:rPr>
        <w:rFonts w:ascii="Arial" w:eastAsia="Times New Roman" w:hAnsi="Arial" w:cs="Arial"/>
        <w:sz w:val="16"/>
        <w:szCs w:val="16"/>
        <w:lang w:val="sr-Cyrl-CS"/>
      </w:rPr>
      <w:t xml:space="preserve"> </w:t>
    </w:r>
    <w:r w:rsidRPr="00D44751">
      <w:rPr>
        <w:rFonts w:ascii="Arial" w:eastAsia="Times New Roman" w:hAnsi="Arial" w:cs="Arial"/>
        <w:sz w:val="16"/>
        <w:szCs w:val="16"/>
        <w:lang w:val="en-US"/>
      </w:rPr>
      <w:t xml:space="preserve">                                                                                                                                                                                           </w:t>
    </w:r>
    <w:r w:rsidR="00E15E0B">
      <w:rPr>
        <w:rFonts w:ascii="Arial" w:eastAsia="Times New Roman" w:hAnsi="Arial" w:cs="Arial"/>
        <w:sz w:val="16"/>
        <w:szCs w:val="16"/>
        <w:lang w:val="en-US"/>
      </w:rPr>
      <w:t>SERB</w:t>
    </w:r>
    <w:r w:rsidR="00227336">
      <w:rPr>
        <w:rFonts w:ascii="Arial" w:eastAsia="Times New Roman" w:hAnsi="Arial" w:cs="Arial"/>
        <w:sz w:val="16"/>
        <w:szCs w:val="16"/>
        <w:lang w:val="en-US"/>
      </w:rPr>
      <w:t>138</w:t>
    </w:r>
    <w:r w:rsidRPr="00576503">
      <w:rPr>
        <w:rFonts w:ascii="Arial" w:eastAsia="Times New Roman" w:hAnsi="Arial" w:cs="Arial"/>
        <w:sz w:val="16"/>
        <w:szCs w:val="16"/>
        <w:lang w:val="sr-Cyrl-CS"/>
      </w:rPr>
      <w:t xml:space="preserve"> </w:t>
    </w:r>
    <w:r w:rsidR="00E15E0B">
      <w:rPr>
        <w:rFonts w:ascii="Arial" w:eastAsia="Times New Roman" w:hAnsi="Arial" w:cs="Arial"/>
        <w:sz w:val="16"/>
        <w:szCs w:val="16"/>
        <w:lang w:val="sr-Latn-RS"/>
      </w:rPr>
      <w:t>RS</w:t>
    </w:r>
    <w:r w:rsidRPr="00576503">
      <w:rPr>
        <w:rFonts w:ascii="Arial" w:eastAsia="Times New Roman" w:hAnsi="Arial" w:cs="Arial"/>
        <w:sz w:val="16"/>
        <w:szCs w:val="16"/>
        <w:lang w:val="sr-Cyrl-CS"/>
      </w:rPr>
      <w:t>10 310518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D44751" w:rsidRDefault="00E15E0B" w:rsidP="006A1222">
    <w:pPr>
      <w:pStyle w:val="Footer"/>
      <w:pBdr>
        <w:top w:val="single" w:sz="4" w:space="1" w:color="auto"/>
      </w:pBdr>
      <w:rPr>
        <w:rFonts w:ascii="Arial" w:hAnsi="Arial" w:cs="Arial"/>
        <w:sz w:val="16"/>
        <w:szCs w:val="16"/>
      </w:rPr>
    </w:pPr>
    <w:r>
      <w:rPr>
        <w:rFonts w:ascii="Arial" w:eastAsia="Times New Roman" w:hAnsi="Arial" w:cs="Arial"/>
        <w:sz w:val="16"/>
        <w:szCs w:val="16"/>
        <w:lang w:val="sr-Latn-RS"/>
      </w:rPr>
      <w:t xml:space="preserve">SERB138 RS10 </w:t>
    </w:r>
    <w:r w:rsidR="00624E41" w:rsidRPr="00576503">
      <w:rPr>
        <w:rFonts w:ascii="Arial" w:eastAsia="Times New Roman" w:hAnsi="Arial" w:cs="Arial"/>
        <w:sz w:val="16"/>
        <w:szCs w:val="16"/>
        <w:lang w:val="sr-Cyrl-CS"/>
      </w:rPr>
      <w:t>310518</w:t>
    </w:r>
    <w:r w:rsidR="00624E41" w:rsidRPr="00D44751">
      <w:rPr>
        <w:rFonts w:ascii="Arial" w:eastAsia="Times New Roman" w:hAnsi="Arial" w:cs="Arial"/>
        <w:sz w:val="16"/>
        <w:szCs w:val="16"/>
      </w:rPr>
      <w:t xml:space="preserve">                                                                                                                                                                             </w:t>
    </w:r>
    <w:r w:rsidR="00624E41">
      <w:rPr>
        <w:rFonts w:ascii="Arial" w:eastAsia="Times New Roman" w:hAnsi="Arial" w:cs="Arial"/>
        <w:sz w:val="16"/>
        <w:szCs w:val="16"/>
        <w:lang w:val="sr-Latn-RS"/>
      </w:rPr>
      <w:t xml:space="preserve">    </w:t>
    </w:r>
    <w:r w:rsidR="00624E41" w:rsidRPr="00D44751">
      <w:rPr>
        <w:rFonts w:ascii="Arial" w:eastAsia="Times New Roman" w:hAnsi="Arial" w:cs="Arial"/>
        <w:sz w:val="16"/>
        <w:szCs w:val="16"/>
      </w:rPr>
      <w:t xml:space="preserve">           </w:t>
    </w:r>
    <w:r w:rsidR="00624E41"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00624E41" w:rsidRPr="00D44751">
      <w:rPr>
        <w:rFonts w:ascii="Arial" w:hAnsi="Arial" w:cs="Arial"/>
        <w:sz w:val="16"/>
        <w:szCs w:val="16"/>
      </w:rPr>
      <w:fldChar w:fldCharType="separate"/>
    </w:r>
    <w:r w:rsidR="00F9046D">
      <w:rPr>
        <w:rFonts w:ascii="Arial" w:hAnsi="Arial" w:cs="Arial"/>
        <w:noProof/>
        <w:sz w:val="16"/>
        <w:szCs w:val="16"/>
      </w:rPr>
      <w:t>3</w:t>
    </w:r>
    <w:r w:rsidR="00624E41" w:rsidRPr="00D4475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61" w:rsidRDefault="00251661" w:rsidP="008F1FDB">
      <w:r>
        <w:separator/>
      </w:r>
    </w:p>
  </w:footnote>
  <w:footnote w:type="continuationSeparator" w:id="0">
    <w:p w:rsidR="00251661" w:rsidRDefault="00251661" w:rsidP="008F1FDB">
      <w:r>
        <w:continuationSeparator/>
      </w:r>
    </w:p>
  </w:footnote>
  <w:footnote w:id="1">
    <w:p w:rsidR="002230F8" w:rsidRPr="002230F8" w:rsidRDefault="002230F8" w:rsidP="00AB4EA8">
      <w:pPr>
        <w:pStyle w:val="FootnoteText"/>
        <w:spacing w:after="120"/>
        <w:ind w:left="142" w:hanging="142"/>
        <w:rPr>
          <w:rFonts w:ascii="Arial" w:hAnsi="Arial" w:cs="Arial"/>
          <w:sz w:val="16"/>
          <w:szCs w:val="16"/>
          <w:lang w:val="en-US"/>
        </w:rPr>
      </w:pPr>
      <w:r w:rsidRPr="002230F8">
        <w:rPr>
          <w:rStyle w:val="FootnoteReference"/>
          <w:rFonts w:ascii="Arial" w:hAnsi="Arial" w:cs="Arial"/>
          <w:sz w:val="16"/>
          <w:szCs w:val="16"/>
        </w:rPr>
        <w:footnoteRef/>
      </w:r>
      <w:r w:rsidRPr="002230F8">
        <w:rPr>
          <w:rFonts w:ascii="Arial" w:hAnsi="Arial" w:cs="Arial"/>
          <w:sz w:val="16"/>
          <w:szCs w:val="16"/>
        </w:rPr>
        <w:t xml:space="preserve"> The whole section of Agriculture, Forestry and Fishery, as well as a part of the section Activities of households as employers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4626CBD"/>
    <w:multiLevelType w:val="hybridMultilevel"/>
    <w:tmpl w:val="85047E42"/>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1D3A"/>
    <w:multiLevelType w:val="hybridMultilevel"/>
    <w:tmpl w:val="84D8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Calibr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7D8E0550"/>
    <w:multiLevelType w:val="hybridMultilevel"/>
    <w:tmpl w:val="05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5"/>
  </w:num>
  <w:num w:numId="6">
    <w:abstractNumId w:val="19"/>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20"/>
  </w:num>
  <w:num w:numId="16">
    <w:abstractNumId w:val="8"/>
  </w:num>
  <w:num w:numId="17">
    <w:abstractNumId w:val="21"/>
  </w:num>
  <w:num w:numId="18">
    <w:abstractNumId w:val="11"/>
  </w:num>
  <w:num w:numId="19">
    <w:abstractNumId w:val="6"/>
  </w:num>
  <w:num w:numId="20">
    <w:abstractNumId w:val="9"/>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DB"/>
    <w:rsid w:val="00003304"/>
    <w:rsid w:val="00006538"/>
    <w:rsid w:val="00013093"/>
    <w:rsid w:val="000348CE"/>
    <w:rsid w:val="00046DB9"/>
    <w:rsid w:val="000A395C"/>
    <w:rsid w:val="000C43A8"/>
    <w:rsid w:val="000C6D73"/>
    <w:rsid w:val="000D69BB"/>
    <w:rsid w:val="000E70B3"/>
    <w:rsid w:val="000F2A19"/>
    <w:rsid w:val="000F44C5"/>
    <w:rsid w:val="000F4A7D"/>
    <w:rsid w:val="00100800"/>
    <w:rsid w:val="00103A54"/>
    <w:rsid w:val="00106751"/>
    <w:rsid w:val="0011686A"/>
    <w:rsid w:val="00134023"/>
    <w:rsid w:val="0015173D"/>
    <w:rsid w:val="001643B8"/>
    <w:rsid w:val="00166DB3"/>
    <w:rsid w:val="00184AFD"/>
    <w:rsid w:val="00196487"/>
    <w:rsid w:val="001F19B7"/>
    <w:rsid w:val="001F3AB9"/>
    <w:rsid w:val="00210C1C"/>
    <w:rsid w:val="0021176C"/>
    <w:rsid w:val="002230F8"/>
    <w:rsid w:val="00225892"/>
    <w:rsid w:val="00227336"/>
    <w:rsid w:val="002338AB"/>
    <w:rsid w:val="00251661"/>
    <w:rsid w:val="002518BC"/>
    <w:rsid w:val="00275560"/>
    <w:rsid w:val="002A5206"/>
    <w:rsid w:val="002A7F09"/>
    <w:rsid w:val="002B6AEA"/>
    <w:rsid w:val="002B7CF1"/>
    <w:rsid w:val="002E1F9F"/>
    <w:rsid w:val="002E5232"/>
    <w:rsid w:val="002E68C6"/>
    <w:rsid w:val="002F7531"/>
    <w:rsid w:val="0030252E"/>
    <w:rsid w:val="003138BC"/>
    <w:rsid w:val="0032019D"/>
    <w:rsid w:val="00335F51"/>
    <w:rsid w:val="0033607C"/>
    <w:rsid w:val="003648F3"/>
    <w:rsid w:val="0036735D"/>
    <w:rsid w:val="00391A81"/>
    <w:rsid w:val="003C784C"/>
    <w:rsid w:val="003D4780"/>
    <w:rsid w:val="003E6A11"/>
    <w:rsid w:val="00407AEC"/>
    <w:rsid w:val="00412661"/>
    <w:rsid w:val="00415AE4"/>
    <w:rsid w:val="004253AF"/>
    <w:rsid w:val="00440D47"/>
    <w:rsid w:val="004439E5"/>
    <w:rsid w:val="00451739"/>
    <w:rsid w:val="004568F6"/>
    <w:rsid w:val="00460D42"/>
    <w:rsid w:val="00466052"/>
    <w:rsid w:val="00475D8E"/>
    <w:rsid w:val="004A2B81"/>
    <w:rsid w:val="004B0BEC"/>
    <w:rsid w:val="004C40C6"/>
    <w:rsid w:val="004D5448"/>
    <w:rsid w:val="004F268A"/>
    <w:rsid w:val="00517932"/>
    <w:rsid w:val="00523F0F"/>
    <w:rsid w:val="005417F2"/>
    <w:rsid w:val="00545B7A"/>
    <w:rsid w:val="005603EE"/>
    <w:rsid w:val="00563A0D"/>
    <w:rsid w:val="00565286"/>
    <w:rsid w:val="00576503"/>
    <w:rsid w:val="0059160F"/>
    <w:rsid w:val="005B2627"/>
    <w:rsid w:val="005D3F8D"/>
    <w:rsid w:val="005E3666"/>
    <w:rsid w:val="005E65AF"/>
    <w:rsid w:val="00605676"/>
    <w:rsid w:val="006148C7"/>
    <w:rsid w:val="00624E41"/>
    <w:rsid w:val="00625934"/>
    <w:rsid w:val="006264D2"/>
    <w:rsid w:val="00667CA0"/>
    <w:rsid w:val="00670DFD"/>
    <w:rsid w:val="0069569B"/>
    <w:rsid w:val="006A1222"/>
    <w:rsid w:val="006D0ED9"/>
    <w:rsid w:val="006D7E24"/>
    <w:rsid w:val="006F0BB2"/>
    <w:rsid w:val="006F3615"/>
    <w:rsid w:val="00716137"/>
    <w:rsid w:val="00725519"/>
    <w:rsid w:val="007258A5"/>
    <w:rsid w:val="007568FD"/>
    <w:rsid w:val="00761651"/>
    <w:rsid w:val="00766691"/>
    <w:rsid w:val="0078202D"/>
    <w:rsid w:val="0078275A"/>
    <w:rsid w:val="007972AA"/>
    <w:rsid w:val="007973C9"/>
    <w:rsid w:val="007A710F"/>
    <w:rsid w:val="007A7B1D"/>
    <w:rsid w:val="007C233B"/>
    <w:rsid w:val="007E2FC1"/>
    <w:rsid w:val="007F04C4"/>
    <w:rsid w:val="007F2030"/>
    <w:rsid w:val="007F58F3"/>
    <w:rsid w:val="00814F67"/>
    <w:rsid w:val="008220FF"/>
    <w:rsid w:val="00837FE1"/>
    <w:rsid w:val="008560F4"/>
    <w:rsid w:val="0085728F"/>
    <w:rsid w:val="00864F8D"/>
    <w:rsid w:val="0086505B"/>
    <w:rsid w:val="00880A8B"/>
    <w:rsid w:val="00882574"/>
    <w:rsid w:val="00882BB3"/>
    <w:rsid w:val="008A6A1E"/>
    <w:rsid w:val="008B4880"/>
    <w:rsid w:val="008C0465"/>
    <w:rsid w:val="008C52BC"/>
    <w:rsid w:val="008C52F9"/>
    <w:rsid w:val="008E20A0"/>
    <w:rsid w:val="008E72AB"/>
    <w:rsid w:val="008F1FDB"/>
    <w:rsid w:val="00903C4C"/>
    <w:rsid w:val="009246B8"/>
    <w:rsid w:val="00930544"/>
    <w:rsid w:val="00942052"/>
    <w:rsid w:val="00953DCE"/>
    <w:rsid w:val="00964EA6"/>
    <w:rsid w:val="009927E5"/>
    <w:rsid w:val="009B1EAA"/>
    <w:rsid w:val="009B7E85"/>
    <w:rsid w:val="009D13A2"/>
    <w:rsid w:val="00A01539"/>
    <w:rsid w:val="00A03B79"/>
    <w:rsid w:val="00A16667"/>
    <w:rsid w:val="00A17D42"/>
    <w:rsid w:val="00A51001"/>
    <w:rsid w:val="00A5363E"/>
    <w:rsid w:val="00A575CF"/>
    <w:rsid w:val="00A70C18"/>
    <w:rsid w:val="00A73B1F"/>
    <w:rsid w:val="00A838BF"/>
    <w:rsid w:val="00AB4EA8"/>
    <w:rsid w:val="00AB7A3B"/>
    <w:rsid w:val="00AC22D0"/>
    <w:rsid w:val="00AE2B74"/>
    <w:rsid w:val="00B001B9"/>
    <w:rsid w:val="00B01D93"/>
    <w:rsid w:val="00B05442"/>
    <w:rsid w:val="00B2296A"/>
    <w:rsid w:val="00B336CD"/>
    <w:rsid w:val="00B377AD"/>
    <w:rsid w:val="00B547F5"/>
    <w:rsid w:val="00B90D92"/>
    <w:rsid w:val="00B939E3"/>
    <w:rsid w:val="00BA1826"/>
    <w:rsid w:val="00BA4AF7"/>
    <w:rsid w:val="00BB018E"/>
    <w:rsid w:val="00BC5415"/>
    <w:rsid w:val="00BD08A0"/>
    <w:rsid w:val="00BD4B17"/>
    <w:rsid w:val="00BD6BE5"/>
    <w:rsid w:val="00BE4FEB"/>
    <w:rsid w:val="00BF092A"/>
    <w:rsid w:val="00C25484"/>
    <w:rsid w:val="00C3339D"/>
    <w:rsid w:val="00C50458"/>
    <w:rsid w:val="00C57274"/>
    <w:rsid w:val="00C63CDF"/>
    <w:rsid w:val="00C67681"/>
    <w:rsid w:val="00C73815"/>
    <w:rsid w:val="00C7661B"/>
    <w:rsid w:val="00C83F19"/>
    <w:rsid w:val="00C93537"/>
    <w:rsid w:val="00C9494C"/>
    <w:rsid w:val="00CA6360"/>
    <w:rsid w:val="00CD1661"/>
    <w:rsid w:val="00CE4FF6"/>
    <w:rsid w:val="00CE52BA"/>
    <w:rsid w:val="00CE7B57"/>
    <w:rsid w:val="00CF7145"/>
    <w:rsid w:val="00D11296"/>
    <w:rsid w:val="00D12954"/>
    <w:rsid w:val="00D3111B"/>
    <w:rsid w:val="00D31C3E"/>
    <w:rsid w:val="00D36BF2"/>
    <w:rsid w:val="00D4357B"/>
    <w:rsid w:val="00D44D7D"/>
    <w:rsid w:val="00D465E1"/>
    <w:rsid w:val="00D5113B"/>
    <w:rsid w:val="00D53A35"/>
    <w:rsid w:val="00D655A4"/>
    <w:rsid w:val="00D65A50"/>
    <w:rsid w:val="00D8352F"/>
    <w:rsid w:val="00D925E2"/>
    <w:rsid w:val="00DA2A7C"/>
    <w:rsid w:val="00DC19DA"/>
    <w:rsid w:val="00DC35AC"/>
    <w:rsid w:val="00DD30B9"/>
    <w:rsid w:val="00DE4F1D"/>
    <w:rsid w:val="00E03C68"/>
    <w:rsid w:val="00E15E0B"/>
    <w:rsid w:val="00E22119"/>
    <w:rsid w:val="00E263C3"/>
    <w:rsid w:val="00E34BDD"/>
    <w:rsid w:val="00E57461"/>
    <w:rsid w:val="00E62C2D"/>
    <w:rsid w:val="00E711A9"/>
    <w:rsid w:val="00E75AED"/>
    <w:rsid w:val="00E834F8"/>
    <w:rsid w:val="00E86E35"/>
    <w:rsid w:val="00EB3111"/>
    <w:rsid w:val="00EB69D8"/>
    <w:rsid w:val="00EB77D3"/>
    <w:rsid w:val="00EE000E"/>
    <w:rsid w:val="00EE2BAA"/>
    <w:rsid w:val="00EF25FA"/>
    <w:rsid w:val="00F05C5F"/>
    <w:rsid w:val="00F200F5"/>
    <w:rsid w:val="00F416AF"/>
    <w:rsid w:val="00F44424"/>
    <w:rsid w:val="00F54219"/>
    <w:rsid w:val="00F575CD"/>
    <w:rsid w:val="00F9046D"/>
    <w:rsid w:val="00FA316C"/>
    <w:rsid w:val="00FB1802"/>
    <w:rsid w:val="00FD3EB5"/>
    <w:rsid w:val="00FE415C"/>
    <w:rsid w:val="00FE417F"/>
    <w:rsid w:val="00FE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942E"/>
  <w15:docId w15:val="{7FDC2FD7-550F-4C3E-9C58-CFD504F2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B"/>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8F1FDB"/>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C504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DB"/>
    <w:rPr>
      <w:rFonts w:ascii="Cambria" w:eastAsia="Times New Roman" w:hAnsi="Cambria" w:cs="Times New Roman"/>
      <w:b/>
      <w:bCs/>
      <w:color w:val="365F91"/>
      <w:sz w:val="28"/>
      <w:szCs w:val="28"/>
      <w:lang w:val="sr-Cyrl-RS"/>
    </w:rPr>
  </w:style>
  <w:style w:type="paragraph" w:styleId="PlainText">
    <w:name w:val="Plain Text"/>
    <w:basedOn w:val="Normal"/>
    <w:link w:val="PlainTextChar"/>
    <w:uiPriority w:val="99"/>
    <w:unhideWhenUsed/>
    <w:rsid w:val="008F1FDB"/>
    <w:rPr>
      <w:rFonts w:ascii="Calibri" w:eastAsia="Calibri" w:hAnsi="Calibri"/>
      <w:sz w:val="22"/>
      <w:szCs w:val="22"/>
      <w:lang w:val="x-none" w:eastAsia="x-none"/>
    </w:rPr>
  </w:style>
  <w:style w:type="character" w:customStyle="1" w:styleId="PlainTextChar">
    <w:name w:val="Plain Text Char"/>
    <w:basedOn w:val="DefaultParagraphFont"/>
    <w:link w:val="PlainText"/>
    <w:uiPriority w:val="99"/>
    <w:rsid w:val="008F1FDB"/>
    <w:rPr>
      <w:rFonts w:ascii="Calibri" w:eastAsia="Calibri" w:hAnsi="Calibri" w:cs="Times New Roman"/>
      <w:lang w:val="x-none" w:eastAsia="x-none"/>
    </w:rPr>
  </w:style>
  <w:style w:type="paragraph" w:styleId="ListParagraph">
    <w:name w:val="List Paragraph"/>
    <w:basedOn w:val="Normal"/>
    <w:uiPriority w:val="34"/>
    <w:qFormat/>
    <w:rsid w:val="008F1FDB"/>
    <w:pPr>
      <w:ind w:left="720"/>
      <w:contextualSpacing/>
    </w:pPr>
    <w:rPr>
      <w:rFonts w:ascii="Calibri" w:eastAsia="Calibri" w:hAnsi="Calibri"/>
      <w:sz w:val="24"/>
      <w:szCs w:val="24"/>
      <w:lang w:val="en-US"/>
    </w:rPr>
  </w:style>
  <w:style w:type="paragraph" w:customStyle="1" w:styleId="Default">
    <w:name w:val="Default"/>
    <w:rsid w:val="008F1FD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1FDB"/>
    <w:pPr>
      <w:spacing w:beforeLines="1" w:afterLines="1"/>
    </w:pPr>
    <w:rPr>
      <w:rFonts w:ascii="Times" w:eastAsia="Calibri" w:hAnsi="Times"/>
      <w:lang w:val="en-US"/>
    </w:rPr>
  </w:style>
  <w:style w:type="paragraph" w:styleId="FootnoteText">
    <w:name w:val="footnote text"/>
    <w:basedOn w:val="Normal"/>
    <w:link w:val="FootnoteTextChar"/>
    <w:uiPriority w:val="99"/>
    <w:unhideWhenUsed/>
    <w:rsid w:val="008F1FDB"/>
    <w:rPr>
      <w:rFonts w:ascii="Calibri" w:eastAsia="Calibri" w:hAnsi="Calibri"/>
    </w:rPr>
  </w:style>
  <w:style w:type="character" w:customStyle="1" w:styleId="FootnoteTextChar">
    <w:name w:val="Footnote Text Char"/>
    <w:basedOn w:val="DefaultParagraphFont"/>
    <w:link w:val="FootnoteText"/>
    <w:uiPriority w:val="99"/>
    <w:rsid w:val="008F1FDB"/>
    <w:rPr>
      <w:rFonts w:ascii="Calibri" w:eastAsia="Calibri" w:hAnsi="Calibri" w:cs="Times New Roman"/>
      <w:sz w:val="20"/>
      <w:szCs w:val="20"/>
      <w:lang w:val="sr-Cyrl-RS"/>
    </w:rPr>
  </w:style>
  <w:style w:type="character" w:styleId="FootnoteReference">
    <w:name w:val="footnote reference"/>
    <w:uiPriority w:val="99"/>
    <w:unhideWhenUsed/>
    <w:rsid w:val="008F1FDB"/>
    <w:rPr>
      <w:vertAlign w:val="superscript"/>
    </w:rPr>
  </w:style>
  <w:style w:type="paragraph" w:styleId="BalloonText">
    <w:name w:val="Balloon Text"/>
    <w:basedOn w:val="Normal"/>
    <w:link w:val="BalloonTextChar"/>
    <w:uiPriority w:val="99"/>
    <w:semiHidden/>
    <w:unhideWhenUsed/>
    <w:rsid w:val="008F1FD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1FDB"/>
    <w:rPr>
      <w:rFonts w:ascii="Tahoma" w:eastAsia="Calibri" w:hAnsi="Tahoma" w:cs="Tahoma"/>
      <w:sz w:val="16"/>
      <w:szCs w:val="16"/>
      <w:lang w:val="sr-Cyrl-RS"/>
    </w:rPr>
  </w:style>
  <w:style w:type="paragraph" w:styleId="Header">
    <w:name w:val="header"/>
    <w:basedOn w:val="Normal"/>
    <w:link w:val="HeaderChar"/>
    <w:uiPriority w:val="99"/>
    <w:unhideWhenUsed/>
    <w:rsid w:val="008F1F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F1FDB"/>
    <w:rPr>
      <w:rFonts w:ascii="Calibri" w:eastAsia="Calibri" w:hAnsi="Calibri" w:cs="Times New Roman"/>
      <w:lang w:val="sr-Cyrl-RS"/>
    </w:rPr>
  </w:style>
  <w:style w:type="paragraph" w:styleId="Footer">
    <w:name w:val="footer"/>
    <w:basedOn w:val="Normal"/>
    <w:link w:val="FooterChar"/>
    <w:uiPriority w:val="99"/>
    <w:unhideWhenUsed/>
    <w:rsid w:val="008F1F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F1FDB"/>
    <w:rPr>
      <w:rFonts w:ascii="Calibri" w:eastAsia="Calibri" w:hAnsi="Calibri" w:cs="Times New Roman"/>
      <w:lang w:val="sr-Cyrl-RS"/>
    </w:rPr>
  </w:style>
  <w:style w:type="table" w:styleId="TableGrid">
    <w:name w:val="Table Grid"/>
    <w:basedOn w:val="TableNormal"/>
    <w:uiPriority w:val="59"/>
    <w:rsid w:val="008F1F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FDB"/>
    <w:rPr>
      <w:color w:val="0000FF"/>
      <w:u w:val="single"/>
    </w:rPr>
  </w:style>
  <w:style w:type="paragraph" w:styleId="EndnoteText">
    <w:name w:val="endnote text"/>
    <w:basedOn w:val="Normal"/>
    <w:link w:val="EndnoteTextChar"/>
    <w:uiPriority w:val="99"/>
    <w:semiHidden/>
    <w:unhideWhenUsed/>
    <w:rsid w:val="008F1FDB"/>
    <w:rPr>
      <w:rFonts w:ascii="Calibri" w:eastAsia="Calibri" w:hAnsi="Calibri"/>
    </w:rPr>
  </w:style>
  <w:style w:type="character" w:customStyle="1" w:styleId="EndnoteTextChar">
    <w:name w:val="Endnote Text Char"/>
    <w:basedOn w:val="DefaultParagraphFont"/>
    <w:link w:val="EndnoteText"/>
    <w:uiPriority w:val="99"/>
    <w:semiHidden/>
    <w:rsid w:val="008F1FDB"/>
    <w:rPr>
      <w:rFonts w:ascii="Calibri" w:eastAsia="Calibri" w:hAnsi="Calibri" w:cs="Times New Roman"/>
      <w:sz w:val="20"/>
      <w:szCs w:val="20"/>
      <w:lang w:val="sr-Cyrl-RS"/>
    </w:rPr>
  </w:style>
  <w:style w:type="character" w:styleId="EndnoteReference">
    <w:name w:val="endnote reference"/>
    <w:uiPriority w:val="99"/>
    <w:semiHidden/>
    <w:unhideWhenUsed/>
    <w:rsid w:val="008F1FDB"/>
    <w:rPr>
      <w:vertAlign w:val="superscript"/>
    </w:rPr>
  </w:style>
  <w:style w:type="paragraph" w:customStyle="1" w:styleId="CharCharCharChar">
    <w:name w:val="Char Char Char Char"/>
    <w:basedOn w:val="Normal"/>
    <w:rsid w:val="008F1FDB"/>
    <w:pPr>
      <w:spacing w:after="160" w:line="240" w:lineRule="exact"/>
    </w:pPr>
    <w:rPr>
      <w:rFonts w:ascii="Verdana" w:hAnsi="Verdana"/>
      <w:i/>
      <w:lang w:val="en-US"/>
    </w:rPr>
  </w:style>
  <w:style w:type="character" w:styleId="CommentReference">
    <w:name w:val="annotation reference"/>
    <w:unhideWhenUsed/>
    <w:rsid w:val="008F1FDB"/>
    <w:rPr>
      <w:sz w:val="16"/>
      <w:szCs w:val="16"/>
    </w:rPr>
  </w:style>
  <w:style w:type="paragraph" w:styleId="CommentText">
    <w:name w:val="annotation text"/>
    <w:basedOn w:val="Normal"/>
    <w:link w:val="CommentTextChar"/>
    <w:unhideWhenUsed/>
    <w:rsid w:val="008F1FDB"/>
    <w:pPr>
      <w:spacing w:after="200"/>
    </w:pPr>
    <w:rPr>
      <w:rFonts w:ascii="Calibri" w:eastAsia="Calibri" w:hAnsi="Calibri"/>
    </w:rPr>
  </w:style>
  <w:style w:type="character" w:customStyle="1" w:styleId="CommentTextChar">
    <w:name w:val="Comment Text Char"/>
    <w:basedOn w:val="DefaultParagraphFont"/>
    <w:link w:val="CommentText"/>
    <w:rsid w:val="008F1FDB"/>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8F1FDB"/>
    <w:rPr>
      <w:b/>
      <w:bCs/>
    </w:rPr>
  </w:style>
  <w:style w:type="character" w:customStyle="1" w:styleId="CommentSubjectChar">
    <w:name w:val="Comment Subject Char"/>
    <w:basedOn w:val="CommentTextChar"/>
    <w:link w:val="CommentSubject"/>
    <w:uiPriority w:val="99"/>
    <w:semiHidden/>
    <w:rsid w:val="008F1FDB"/>
    <w:rPr>
      <w:rFonts w:ascii="Calibri" w:eastAsia="Calibri" w:hAnsi="Calibri" w:cs="Times New Roman"/>
      <w:b/>
      <w:bCs/>
      <w:sz w:val="20"/>
      <w:szCs w:val="20"/>
      <w:lang w:val="sr-Cyrl-RS"/>
    </w:rPr>
  </w:style>
  <w:style w:type="character" w:styleId="IntenseEmphasis">
    <w:name w:val="Intense Emphasis"/>
    <w:uiPriority w:val="21"/>
    <w:qFormat/>
    <w:rsid w:val="00DD30B9"/>
    <w:rPr>
      <w:i/>
      <w:iCs/>
      <w:color w:val="5B9BD5"/>
    </w:rPr>
  </w:style>
  <w:style w:type="paragraph" w:customStyle="1" w:styleId="CharCharCharChar0">
    <w:name w:val="Char Char Char Char"/>
    <w:basedOn w:val="Normal"/>
    <w:rsid w:val="00E263C3"/>
    <w:pPr>
      <w:spacing w:after="160" w:line="240" w:lineRule="exact"/>
    </w:pPr>
    <w:rPr>
      <w:rFonts w:ascii="Verdana" w:hAnsi="Verdana"/>
      <w:i/>
    </w:rPr>
  </w:style>
  <w:style w:type="character" w:styleId="IntenseReference">
    <w:name w:val="Intense Reference"/>
    <w:uiPriority w:val="32"/>
    <w:qFormat/>
    <w:rsid w:val="00E263C3"/>
    <w:rPr>
      <w:b/>
      <w:bCs/>
      <w:smallCaps/>
      <w:color w:val="5B9BD5"/>
      <w:spacing w:val="5"/>
    </w:rPr>
  </w:style>
  <w:style w:type="paragraph" w:customStyle="1" w:styleId="CharCharCharChar1">
    <w:name w:val="Char Char Char Char"/>
    <w:basedOn w:val="Normal"/>
    <w:rsid w:val="00B05442"/>
    <w:pPr>
      <w:spacing w:after="160" w:line="240" w:lineRule="exact"/>
    </w:pPr>
    <w:rPr>
      <w:rFonts w:ascii="Verdana" w:hAnsi="Verdana"/>
      <w:i/>
    </w:rPr>
  </w:style>
  <w:style w:type="paragraph" w:customStyle="1" w:styleId="CharCharCharChar2">
    <w:name w:val="Char Char Char Char"/>
    <w:basedOn w:val="Normal"/>
    <w:rsid w:val="008C52F9"/>
    <w:pPr>
      <w:spacing w:after="160" w:line="240" w:lineRule="exact"/>
    </w:pPr>
    <w:rPr>
      <w:rFonts w:ascii="Verdana" w:hAnsi="Verdana"/>
      <w:i/>
    </w:rPr>
  </w:style>
  <w:style w:type="character" w:styleId="FollowedHyperlink">
    <w:name w:val="FollowedHyperlink"/>
    <w:basedOn w:val="DefaultParagraphFont"/>
    <w:uiPriority w:val="99"/>
    <w:semiHidden/>
    <w:unhideWhenUsed/>
    <w:rsid w:val="00227336"/>
    <w:rPr>
      <w:color w:val="954F72" w:themeColor="followedHyperlink"/>
      <w:u w:val="single"/>
    </w:rPr>
  </w:style>
  <w:style w:type="character" w:customStyle="1" w:styleId="Heading4Char">
    <w:name w:val="Heading 4 Char"/>
    <w:basedOn w:val="DefaultParagraphFont"/>
    <w:link w:val="Heading4"/>
    <w:uiPriority w:val="9"/>
    <w:semiHidden/>
    <w:rsid w:val="00C50458"/>
    <w:rPr>
      <w:rFonts w:asciiTheme="majorHAnsi" w:eastAsiaTheme="majorEastAsia" w:hAnsiTheme="majorHAnsi" w:cstheme="majorBidi"/>
      <w:b/>
      <w:bCs/>
      <w:i/>
      <w:iCs/>
      <w:color w:val="5B9BD5" w:themeColor="accent1"/>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12">
      <w:bodyDiv w:val="1"/>
      <w:marLeft w:val="0"/>
      <w:marRight w:val="0"/>
      <w:marTop w:val="0"/>
      <w:marBottom w:val="0"/>
      <w:divBdr>
        <w:top w:val="none" w:sz="0" w:space="0" w:color="auto"/>
        <w:left w:val="none" w:sz="0" w:space="0" w:color="auto"/>
        <w:bottom w:val="none" w:sz="0" w:space="0" w:color="auto"/>
        <w:right w:val="none" w:sz="0" w:space="0" w:color="auto"/>
      </w:divBdr>
    </w:div>
    <w:div w:id="17585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kacije.stat.gov.rs/G2018/XlsE/G20181138.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8480-9EB8-465C-8560-1F3ACC9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Savkovic</dc:creator>
  <cp:keywords/>
  <dc:description/>
  <cp:lastModifiedBy>Irena Dimic</cp:lastModifiedBy>
  <cp:revision>11</cp:revision>
  <cp:lastPrinted>2018-05-31T07:50:00Z</cp:lastPrinted>
  <dcterms:created xsi:type="dcterms:W3CDTF">2018-05-30T06:10:00Z</dcterms:created>
  <dcterms:modified xsi:type="dcterms:W3CDTF">2018-05-31T09:09:00Z</dcterms:modified>
</cp:coreProperties>
</file>