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111"/>
        <w:gridCol w:w="2831"/>
      </w:tblGrid>
      <w:tr w:rsidR="00D9093C" w:rsidRPr="00EC4AD3">
        <w:trPr>
          <w:cantSplit/>
          <w:trHeight w:hRule="exact" w:val="113"/>
        </w:trPr>
        <w:tc>
          <w:tcPr>
            <w:tcW w:w="1743" w:type="dxa"/>
            <w:vMerge w:val="restart"/>
            <w:tcBorders>
              <w:top w:val="single" w:sz="18" w:space="0" w:color="808080"/>
              <w:left w:val="nil"/>
              <w:bottom w:val="nil"/>
            </w:tcBorders>
            <w:vAlign w:val="center"/>
          </w:tcPr>
          <w:p w:rsidR="00D9093C" w:rsidRPr="00EC4AD3" w:rsidRDefault="008D6443" w:rsidP="00BB10EC">
            <w:pPr>
              <w:rPr>
                <w:rFonts w:ascii="Arial" w:hAnsi="Arial" w:cs="Arial"/>
                <w:color w:val="808080"/>
                <w:sz w:val="20"/>
                <w:szCs w:val="20"/>
              </w:rPr>
            </w:pPr>
            <w:r w:rsidRPr="00EC4AD3">
              <w:rPr>
                <w:noProof/>
                <w:color w:val="808080"/>
                <w:lang w:val="en-US"/>
              </w:rPr>
              <w:drawing>
                <wp:inline distT="0" distB="0" distL="0" distR="0">
                  <wp:extent cx="904875" cy="219075"/>
                  <wp:effectExtent l="0" t="0" r="0" b="0"/>
                  <wp:docPr id="5" name="Picture 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66478F" w:rsidRPr="00EC4AD3" w:rsidRDefault="0066478F" w:rsidP="00BB10EC">
            <w:pPr>
              <w:rPr>
                <w:rFonts w:ascii="Arial" w:hAnsi="Arial" w:cs="Arial"/>
                <w:sz w:val="20"/>
                <w:szCs w:val="20"/>
              </w:rPr>
            </w:pPr>
            <w:r w:rsidRPr="00EC4AD3">
              <w:rPr>
                <w:rFonts w:ascii="Arial" w:hAnsi="Arial" w:cs="Arial"/>
                <w:sz w:val="20"/>
                <w:szCs w:val="20"/>
              </w:rPr>
              <w:t>Republic of Serbia</w:t>
            </w:r>
          </w:p>
          <w:p w:rsidR="00D9093C" w:rsidRPr="00EC4AD3" w:rsidRDefault="00D9093C" w:rsidP="00BB10EC">
            <w:pPr>
              <w:rPr>
                <w:rFonts w:ascii="Arial" w:hAnsi="Arial" w:cs="Arial"/>
                <w:sz w:val="20"/>
                <w:szCs w:val="20"/>
              </w:rPr>
            </w:pPr>
            <w:r w:rsidRPr="00EC4AD3">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D9093C" w:rsidRPr="00EC4AD3" w:rsidRDefault="00D9093C" w:rsidP="00BB10EC">
            <w:pPr>
              <w:rPr>
                <w:b/>
                <w:color w:val="808080"/>
              </w:rPr>
            </w:pPr>
          </w:p>
        </w:tc>
      </w:tr>
      <w:tr w:rsidR="00D9093C" w:rsidRPr="00EC4AD3">
        <w:trPr>
          <w:cantSplit/>
          <w:trHeight w:val="494"/>
        </w:trPr>
        <w:tc>
          <w:tcPr>
            <w:tcW w:w="1743" w:type="dxa"/>
            <w:vMerge/>
            <w:tcBorders>
              <w:top w:val="nil"/>
              <w:left w:val="nil"/>
              <w:bottom w:val="nil"/>
            </w:tcBorders>
          </w:tcPr>
          <w:p w:rsidR="00D9093C" w:rsidRPr="00EC4AD3" w:rsidRDefault="00D9093C" w:rsidP="00BB10EC">
            <w:pPr>
              <w:pStyle w:val="FR3"/>
              <w:ind w:left="144"/>
              <w:rPr>
                <w:b/>
                <w:color w:val="808080"/>
              </w:rPr>
            </w:pPr>
          </w:p>
        </w:tc>
        <w:tc>
          <w:tcPr>
            <w:tcW w:w="5231" w:type="dxa"/>
            <w:vMerge/>
            <w:tcBorders>
              <w:top w:val="nil"/>
              <w:left w:val="nil"/>
              <w:bottom w:val="nil"/>
            </w:tcBorders>
            <w:vAlign w:val="center"/>
          </w:tcPr>
          <w:p w:rsidR="00D9093C" w:rsidRPr="00EC4AD3" w:rsidRDefault="00D9093C" w:rsidP="00BB10EC">
            <w:pPr>
              <w:pStyle w:val="FR3"/>
              <w:ind w:left="144"/>
              <w:rPr>
                <w:b/>
                <w:color w:val="808080"/>
              </w:rPr>
            </w:pPr>
          </w:p>
        </w:tc>
        <w:tc>
          <w:tcPr>
            <w:tcW w:w="2880" w:type="dxa"/>
            <w:tcBorders>
              <w:top w:val="nil"/>
              <w:bottom w:val="nil"/>
              <w:right w:val="nil"/>
            </w:tcBorders>
            <w:vAlign w:val="center"/>
          </w:tcPr>
          <w:p w:rsidR="00D9093C" w:rsidRPr="00EC4AD3" w:rsidRDefault="00D9093C" w:rsidP="00BB10EC">
            <w:pPr>
              <w:pStyle w:val="Heading5"/>
              <w:jc w:val="right"/>
              <w:rPr>
                <w:rFonts w:ascii="Arial" w:hAnsi="Arial" w:cs="Arial"/>
                <w:b w:val="0"/>
                <w:bCs w:val="0"/>
                <w:i w:val="0"/>
              </w:rPr>
            </w:pPr>
            <w:r w:rsidRPr="00EC4AD3">
              <w:rPr>
                <w:rFonts w:ascii="Arial" w:hAnsi="Arial" w:cs="Arial"/>
                <w:b w:val="0"/>
                <w:bCs w:val="0"/>
                <w:i w:val="0"/>
              </w:rPr>
              <w:t>ISSN 0353-9555</w:t>
            </w:r>
          </w:p>
        </w:tc>
      </w:tr>
      <w:tr w:rsidR="00D9093C" w:rsidRPr="00EC4AD3">
        <w:trPr>
          <w:cantSplit/>
          <w:trHeight w:val="855"/>
        </w:trPr>
        <w:tc>
          <w:tcPr>
            <w:tcW w:w="6974" w:type="dxa"/>
            <w:gridSpan w:val="2"/>
            <w:tcBorders>
              <w:top w:val="nil"/>
              <w:left w:val="nil"/>
              <w:right w:val="nil"/>
            </w:tcBorders>
            <w:vAlign w:val="center"/>
          </w:tcPr>
          <w:p w:rsidR="00D9093C" w:rsidRPr="00EC4AD3" w:rsidRDefault="00D9093C" w:rsidP="00BB10EC">
            <w:pPr>
              <w:rPr>
                <w:color w:val="808080"/>
                <w:sz w:val="20"/>
                <w:szCs w:val="20"/>
              </w:rPr>
            </w:pPr>
            <w:r w:rsidRPr="00EC4AD3">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D9093C" w:rsidRPr="00EC4AD3" w:rsidRDefault="00D9093C" w:rsidP="00BB10EC">
            <w:pPr>
              <w:jc w:val="right"/>
              <w:rPr>
                <w:b/>
                <w:color w:val="808080"/>
                <w:sz w:val="12"/>
              </w:rPr>
            </w:pPr>
            <w:r w:rsidRPr="00EC4AD3">
              <w:rPr>
                <w:rFonts w:ascii="Arial" w:hAnsi="Arial" w:cs="Arial"/>
                <w:b/>
                <w:bCs/>
                <w:color w:val="808080"/>
                <w:sz w:val="48"/>
                <w:szCs w:val="48"/>
              </w:rPr>
              <w:t>GR21</w:t>
            </w:r>
          </w:p>
        </w:tc>
      </w:tr>
      <w:tr w:rsidR="00D9093C" w:rsidRPr="00EC4AD3">
        <w:trPr>
          <w:cantSplit/>
          <w:trHeight w:hRule="exact" w:val="285"/>
        </w:trPr>
        <w:tc>
          <w:tcPr>
            <w:tcW w:w="6974" w:type="dxa"/>
            <w:gridSpan w:val="2"/>
            <w:tcBorders>
              <w:top w:val="nil"/>
              <w:left w:val="nil"/>
              <w:bottom w:val="nil"/>
              <w:right w:val="nil"/>
            </w:tcBorders>
            <w:vAlign w:val="bottom"/>
          </w:tcPr>
          <w:p w:rsidR="00D9093C" w:rsidRPr="00EC4AD3" w:rsidRDefault="00D9093C" w:rsidP="00997405">
            <w:pPr>
              <w:rPr>
                <w:rFonts w:ascii="Arial" w:hAnsi="Arial" w:cs="Arial"/>
                <w:sz w:val="20"/>
                <w:szCs w:val="20"/>
              </w:rPr>
            </w:pPr>
            <w:r w:rsidRPr="00EC4AD3">
              <w:rPr>
                <w:rFonts w:ascii="Arial" w:hAnsi="Arial" w:cs="Arial"/>
                <w:sz w:val="20"/>
                <w:szCs w:val="20"/>
              </w:rPr>
              <w:t xml:space="preserve">Number </w:t>
            </w:r>
            <w:r w:rsidR="0000517D" w:rsidRPr="00EC4AD3">
              <w:rPr>
                <w:rFonts w:ascii="Arial" w:hAnsi="Arial" w:cs="Arial"/>
                <w:sz w:val="20"/>
                <w:szCs w:val="20"/>
              </w:rPr>
              <w:t>0</w:t>
            </w:r>
            <w:r w:rsidR="00CF08A2" w:rsidRPr="00EC4AD3">
              <w:rPr>
                <w:rFonts w:ascii="Arial" w:hAnsi="Arial" w:cs="Arial"/>
                <w:sz w:val="20"/>
                <w:szCs w:val="20"/>
              </w:rPr>
              <w:t>6</w:t>
            </w:r>
            <w:r w:rsidR="00997405" w:rsidRPr="00EC4AD3">
              <w:rPr>
                <w:rFonts w:ascii="Arial" w:hAnsi="Arial" w:cs="Arial"/>
                <w:sz w:val="20"/>
                <w:szCs w:val="20"/>
              </w:rPr>
              <w:t>9</w:t>
            </w:r>
            <w:r w:rsidR="00CB4482" w:rsidRPr="00EC4AD3">
              <w:rPr>
                <w:rFonts w:ascii="Arial" w:hAnsi="Arial" w:cs="Arial"/>
                <w:sz w:val="20"/>
                <w:szCs w:val="20"/>
              </w:rPr>
              <w:t xml:space="preserve"> </w:t>
            </w:r>
            <w:r w:rsidRPr="00EC4AD3">
              <w:rPr>
                <w:rFonts w:ascii="Arial" w:hAnsi="Arial" w:cs="Arial"/>
                <w:sz w:val="20"/>
                <w:szCs w:val="20"/>
              </w:rPr>
              <w:t>• Year LX</w:t>
            </w:r>
            <w:r w:rsidR="0000517D" w:rsidRPr="00EC4AD3">
              <w:rPr>
                <w:rFonts w:ascii="Arial" w:hAnsi="Arial" w:cs="Arial"/>
                <w:sz w:val="20"/>
                <w:szCs w:val="20"/>
              </w:rPr>
              <w:t>V</w:t>
            </w:r>
            <w:r w:rsidR="00A95B14" w:rsidRPr="00EC4AD3">
              <w:rPr>
                <w:rFonts w:ascii="Arial" w:hAnsi="Arial" w:cs="Arial"/>
                <w:sz w:val="20"/>
                <w:szCs w:val="20"/>
              </w:rPr>
              <w:t>I</w:t>
            </w:r>
            <w:r w:rsidR="00997405" w:rsidRPr="00EC4AD3">
              <w:rPr>
                <w:rFonts w:ascii="Arial" w:hAnsi="Arial" w:cs="Arial"/>
                <w:sz w:val="20"/>
                <w:szCs w:val="20"/>
              </w:rPr>
              <w:t>I</w:t>
            </w:r>
            <w:r w:rsidR="00A32090" w:rsidRPr="00EC4AD3">
              <w:rPr>
                <w:rFonts w:ascii="Arial" w:hAnsi="Arial" w:cs="Arial"/>
                <w:sz w:val="20"/>
                <w:szCs w:val="20"/>
              </w:rPr>
              <w:t>I</w:t>
            </w:r>
            <w:r w:rsidRPr="00EC4AD3">
              <w:rPr>
                <w:rFonts w:ascii="Arial" w:hAnsi="Arial" w:cs="Arial"/>
                <w:sz w:val="20"/>
                <w:szCs w:val="20"/>
              </w:rPr>
              <w:t>, 1</w:t>
            </w:r>
            <w:r w:rsidR="00A32090" w:rsidRPr="00EC4AD3">
              <w:rPr>
                <w:rFonts w:ascii="Arial" w:hAnsi="Arial" w:cs="Arial"/>
                <w:sz w:val="20"/>
                <w:szCs w:val="20"/>
              </w:rPr>
              <w:t>5</w:t>
            </w:r>
            <w:r w:rsidRPr="00EC4AD3">
              <w:rPr>
                <w:rFonts w:ascii="Arial" w:hAnsi="Arial" w:cs="Arial"/>
                <w:sz w:val="20"/>
                <w:szCs w:val="20"/>
              </w:rPr>
              <w:t>/03/201</w:t>
            </w:r>
            <w:r w:rsidR="00997405" w:rsidRPr="00EC4AD3">
              <w:rPr>
                <w:rFonts w:ascii="Arial" w:hAnsi="Arial" w:cs="Arial"/>
                <w:sz w:val="20"/>
                <w:szCs w:val="20"/>
              </w:rPr>
              <w:t>8</w:t>
            </w:r>
          </w:p>
        </w:tc>
        <w:tc>
          <w:tcPr>
            <w:tcW w:w="2880" w:type="dxa"/>
            <w:vMerge/>
            <w:tcBorders>
              <w:left w:val="nil"/>
              <w:bottom w:val="nil"/>
              <w:right w:val="nil"/>
            </w:tcBorders>
            <w:vAlign w:val="center"/>
          </w:tcPr>
          <w:p w:rsidR="00D9093C" w:rsidRPr="00EC4AD3" w:rsidRDefault="00D9093C" w:rsidP="00BB10EC">
            <w:pPr>
              <w:jc w:val="right"/>
              <w:rPr>
                <w:rFonts w:ascii="Arial" w:hAnsi="Arial" w:cs="Arial"/>
                <w:b/>
                <w:color w:val="808080"/>
                <w:sz w:val="48"/>
                <w:szCs w:val="48"/>
              </w:rPr>
            </w:pPr>
          </w:p>
        </w:tc>
      </w:tr>
      <w:tr w:rsidR="00D9093C" w:rsidRPr="00EC4AD3">
        <w:trPr>
          <w:cantSplit/>
          <w:trHeight w:hRule="exact" w:val="305"/>
        </w:trPr>
        <w:tc>
          <w:tcPr>
            <w:tcW w:w="6974" w:type="dxa"/>
            <w:gridSpan w:val="2"/>
            <w:vMerge w:val="restart"/>
            <w:tcBorders>
              <w:top w:val="nil"/>
              <w:left w:val="nil"/>
              <w:bottom w:val="single" w:sz="18" w:space="0" w:color="808080"/>
              <w:right w:val="nil"/>
            </w:tcBorders>
            <w:vAlign w:val="center"/>
          </w:tcPr>
          <w:p w:rsidR="00D9093C" w:rsidRPr="00EC4AD3" w:rsidRDefault="00D9093C" w:rsidP="00BB10EC">
            <w:pPr>
              <w:rPr>
                <w:b/>
                <w:bCs/>
              </w:rPr>
            </w:pPr>
            <w:r w:rsidRPr="00EC4AD3">
              <w:rPr>
                <w:rFonts w:ascii="Arial" w:hAnsi="Arial" w:cs="Arial"/>
                <w:b/>
              </w:rPr>
              <w:t>Construction Statistics</w:t>
            </w:r>
          </w:p>
        </w:tc>
        <w:tc>
          <w:tcPr>
            <w:tcW w:w="2880" w:type="dxa"/>
            <w:tcBorders>
              <w:top w:val="nil"/>
              <w:left w:val="nil"/>
              <w:bottom w:val="nil"/>
              <w:right w:val="nil"/>
            </w:tcBorders>
            <w:vAlign w:val="center"/>
          </w:tcPr>
          <w:p w:rsidR="00D9093C" w:rsidRPr="00EC4AD3" w:rsidRDefault="00D9093C" w:rsidP="00997405">
            <w:pPr>
              <w:pStyle w:val="Heading6"/>
              <w:jc w:val="right"/>
              <w:rPr>
                <w:b w:val="0"/>
                <w:noProof w:val="0"/>
                <w:lang w:val="en-GB"/>
              </w:rPr>
            </w:pPr>
            <w:r w:rsidRPr="00EC4AD3">
              <w:rPr>
                <w:b w:val="0"/>
                <w:noProof w:val="0"/>
                <w:sz w:val="20"/>
                <w:lang w:val="en-GB"/>
              </w:rPr>
              <w:t>S</w:t>
            </w:r>
            <w:r w:rsidR="00923B62" w:rsidRPr="00EC4AD3">
              <w:rPr>
                <w:b w:val="0"/>
                <w:noProof w:val="0"/>
                <w:sz w:val="20"/>
                <w:lang w:val="en-GB"/>
              </w:rPr>
              <w:t>E</w:t>
            </w:r>
            <w:r w:rsidRPr="00EC4AD3">
              <w:rPr>
                <w:b w:val="0"/>
                <w:noProof w:val="0"/>
                <w:sz w:val="20"/>
                <w:lang w:val="en-GB"/>
              </w:rPr>
              <w:t>RB0</w:t>
            </w:r>
            <w:r w:rsidR="00997405" w:rsidRPr="00EC4AD3">
              <w:rPr>
                <w:b w:val="0"/>
                <w:noProof w:val="0"/>
                <w:sz w:val="20"/>
                <w:lang w:val="en-GB"/>
              </w:rPr>
              <w:t>69</w:t>
            </w:r>
            <w:r w:rsidRPr="00EC4AD3">
              <w:rPr>
                <w:b w:val="0"/>
                <w:noProof w:val="0"/>
                <w:sz w:val="20"/>
                <w:lang w:val="en-GB"/>
              </w:rPr>
              <w:t xml:space="preserve"> GR21 </w:t>
            </w:r>
            <w:r w:rsidR="00A95B14" w:rsidRPr="00EC4AD3">
              <w:rPr>
                <w:b w:val="0"/>
                <w:noProof w:val="0"/>
                <w:sz w:val="20"/>
                <w:lang w:val="en-GB"/>
              </w:rPr>
              <w:t>15031</w:t>
            </w:r>
            <w:r w:rsidR="00997405" w:rsidRPr="00EC4AD3">
              <w:rPr>
                <w:b w:val="0"/>
                <w:noProof w:val="0"/>
                <w:sz w:val="20"/>
                <w:lang w:val="en-GB"/>
              </w:rPr>
              <w:t>8</w:t>
            </w:r>
          </w:p>
        </w:tc>
      </w:tr>
      <w:tr w:rsidR="00D9093C" w:rsidRPr="00EC4AD3">
        <w:trPr>
          <w:cantSplit/>
          <w:trHeight w:hRule="exact" w:val="113"/>
        </w:trPr>
        <w:tc>
          <w:tcPr>
            <w:tcW w:w="6974" w:type="dxa"/>
            <w:gridSpan w:val="2"/>
            <w:vMerge/>
            <w:tcBorders>
              <w:top w:val="nil"/>
              <w:left w:val="nil"/>
              <w:bottom w:val="single" w:sz="18" w:space="0" w:color="808080"/>
            </w:tcBorders>
          </w:tcPr>
          <w:p w:rsidR="00D9093C" w:rsidRPr="00EC4AD3" w:rsidRDefault="00D9093C" w:rsidP="00BB10EC">
            <w:pPr>
              <w:pStyle w:val="FR3"/>
              <w:ind w:left="144"/>
              <w:rPr>
                <w:b/>
                <w:color w:val="808080"/>
              </w:rPr>
            </w:pPr>
          </w:p>
        </w:tc>
        <w:tc>
          <w:tcPr>
            <w:tcW w:w="2880" w:type="dxa"/>
            <w:tcBorders>
              <w:top w:val="nil"/>
              <w:bottom w:val="single" w:sz="18" w:space="0" w:color="808080"/>
              <w:right w:val="nil"/>
            </w:tcBorders>
            <w:vAlign w:val="center"/>
          </w:tcPr>
          <w:p w:rsidR="00D9093C" w:rsidRPr="00EC4AD3" w:rsidRDefault="00D9093C" w:rsidP="00BB10EC">
            <w:pPr>
              <w:pStyle w:val="FR3"/>
              <w:jc w:val="center"/>
              <w:rPr>
                <w:b/>
                <w:color w:val="808080"/>
              </w:rPr>
            </w:pPr>
          </w:p>
        </w:tc>
      </w:tr>
    </w:tbl>
    <w:p w:rsidR="00D9093C" w:rsidRPr="00EC4AD3" w:rsidRDefault="00D9093C"/>
    <w:p w:rsidR="00317380" w:rsidRPr="00EC4AD3" w:rsidRDefault="00317380"/>
    <w:p w:rsidR="00D9093C" w:rsidRPr="00EC4AD3" w:rsidRDefault="00D9093C"/>
    <w:p w:rsidR="00934304" w:rsidRPr="008D6443" w:rsidRDefault="00934304" w:rsidP="00934304">
      <w:pPr>
        <w:spacing w:line="360" w:lineRule="auto"/>
        <w:jc w:val="center"/>
        <w:rPr>
          <w:rFonts w:ascii="Arial" w:hAnsi="Arial" w:cs="Arial"/>
          <w:b/>
          <w:bCs/>
        </w:rPr>
      </w:pPr>
      <w:r w:rsidRPr="008D6443">
        <w:rPr>
          <w:rFonts w:ascii="Arial" w:hAnsi="Arial" w:cs="Arial"/>
          <w:b/>
          <w:bCs/>
        </w:rPr>
        <w:t>Prices of dwellings of new construction in 20</w:t>
      </w:r>
      <w:r w:rsidR="00E42E63" w:rsidRPr="008D6443">
        <w:rPr>
          <w:rFonts w:ascii="Arial" w:hAnsi="Arial" w:cs="Arial"/>
          <w:b/>
          <w:bCs/>
        </w:rPr>
        <w:t>1</w:t>
      </w:r>
      <w:r w:rsidR="000743DC" w:rsidRPr="008D6443">
        <w:rPr>
          <w:rFonts w:ascii="Arial" w:hAnsi="Arial" w:cs="Arial"/>
          <w:b/>
          <w:bCs/>
        </w:rPr>
        <w:t>7</w:t>
      </w:r>
      <w:r w:rsidRPr="008D6443">
        <w:rPr>
          <w:rFonts w:ascii="Arial" w:hAnsi="Arial" w:cs="Arial"/>
          <w:b/>
          <w:bCs/>
        </w:rPr>
        <w:t xml:space="preserve"> </w:t>
      </w:r>
    </w:p>
    <w:p w:rsidR="00934304" w:rsidRPr="008D6443" w:rsidRDefault="00934304" w:rsidP="00934304">
      <w:pPr>
        <w:jc w:val="center"/>
        <w:rPr>
          <w:rFonts w:ascii="Arial" w:hAnsi="Arial" w:cs="Arial"/>
          <w:b/>
          <w:bCs/>
        </w:rPr>
      </w:pPr>
    </w:p>
    <w:p w:rsidR="00C675A0" w:rsidRPr="008D6443" w:rsidRDefault="00934304" w:rsidP="00521687">
      <w:pPr>
        <w:spacing w:before="120"/>
        <w:ind w:firstLine="397"/>
        <w:jc w:val="both"/>
        <w:rPr>
          <w:rFonts w:ascii="Arial" w:hAnsi="Arial" w:cs="Arial"/>
          <w:sz w:val="20"/>
          <w:szCs w:val="20"/>
        </w:rPr>
      </w:pPr>
      <w:r w:rsidRPr="008D6443">
        <w:rPr>
          <w:rFonts w:ascii="Arial" w:hAnsi="Arial" w:cs="Arial"/>
          <w:bCs/>
          <w:sz w:val="20"/>
          <w:szCs w:val="20"/>
        </w:rPr>
        <w:t>Prices of dwellings of new construction in the Republic of Serbia</w:t>
      </w:r>
      <w:r w:rsidRPr="008D6443">
        <w:rPr>
          <w:rFonts w:ascii="Arial" w:hAnsi="Arial" w:cs="Arial"/>
          <w:b/>
          <w:bCs/>
          <w:sz w:val="20"/>
          <w:szCs w:val="20"/>
        </w:rPr>
        <w:t xml:space="preserve"> </w:t>
      </w:r>
      <w:r w:rsidR="00856C14" w:rsidRPr="008D6443">
        <w:rPr>
          <w:rFonts w:ascii="Arial" w:hAnsi="Arial" w:cs="Arial"/>
          <w:bCs/>
          <w:sz w:val="20"/>
          <w:szCs w:val="20"/>
        </w:rPr>
        <w:t>in</w:t>
      </w:r>
      <w:r w:rsidR="00E42E63" w:rsidRPr="008D6443">
        <w:rPr>
          <w:rFonts w:ascii="Arial" w:hAnsi="Arial" w:cs="Arial"/>
          <w:sz w:val="20"/>
          <w:szCs w:val="20"/>
        </w:rPr>
        <w:t xml:space="preserve">creased by </w:t>
      </w:r>
      <w:r w:rsidR="000743DC" w:rsidRPr="008D6443">
        <w:rPr>
          <w:rFonts w:ascii="Arial" w:hAnsi="Arial" w:cs="Arial"/>
          <w:sz w:val="20"/>
          <w:szCs w:val="20"/>
        </w:rPr>
        <w:t>3</w:t>
      </w:r>
      <w:r w:rsidR="0019114A" w:rsidRPr="008D6443">
        <w:rPr>
          <w:rFonts w:ascii="Arial" w:hAnsi="Arial" w:cs="Arial"/>
          <w:sz w:val="20"/>
          <w:szCs w:val="20"/>
        </w:rPr>
        <w:t>.</w:t>
      </w:r>
      <w:r w:rsidR="000743DC" w:rsidRPr="008D6443">
        <w:rPr>
          <w:rFonts w:ascii="Arial" w:hAnsi="Arial" w:cs="Arial"/>
          <w:sz w:val="20"/>
          <w:szCs w:val="20"/>
        </w:rPr>
        <w:t>0</w:t>
      </w:r>
      <w:r w:rsidR="00E42E63" w:rsidRPr="008D6443">
        <w:rPr>
          <w:rFonts w:ascii="Arial" w:hAnsi="Arial" w:cs="Arial"/>
          <w:sz w:val="20"/>
          <w:szCs w:val="20"/>
        </w:rPr>
        <w:t xml:space="preserve"> </w:t>
      </w:r>
      <w:r w:rsidR="000743DC" w:rsidRPr="008D6443">
        <w:rPr>
          <w:rFonts w:ascii="Arial" w:hAnsi="Arial" w:cs="Arial"/>
          <w:sz w:val="20"/>
          <w:szCs w:val="20"/>
        </w:rPr>
        <w:t xml:space="preserve">on average </w:t>
      </w:r>
      <w:r w:rsidRPr="008D6443">
        <w:rPr>
          <w:rFonts w:ascii="Arial" w:hAnsi="Arial" w:cs="Arial"/>
          <w:bCs/>
          <w:sz w:val="20"/>
          <w:szCs w:val="20"/>
        </w:rPr>
        <w:t>in 20</w:t>
      </w:r>
      <w:r w:rsidR="00E42E63" w:rsidRPr="008D6443">
        <w:rPr>
          <w:rFonts w:ascii="Arial" w:hAnsi="Arial" w:cs="Arial"/>
          <w:bCs/>
          <w:sz w:val="20"/>
          <w:szCs w:val="20"/>
        </w:rPr>
        <w:t>1</w:t>
      </w:r>
      <w:r w:rsidR="000743DC" w:rsidRPr="008D6443">
        <w:rPr>
          <w:rFonts w:ascii="Arial" w:hAnsi="Arial" w:cs="Arial"/>
          <w:bCs/>
          <w:sz w:val="20"/>
          <w:szCs w:val="20"/>
        </w:rPr>
        <w:t>7</w:t>
      </w:r>
      <w:r w:rsidRPr="008D6443">
        <w:rPr>
          <w:rFonts w:ascii="Arial" w:hAnsi="Arial" w:cs="Arial"/>
          <w:b/>
          <w:bCs/>
          <w:sz w:val="20"/>
          <w:szCs w:val="20"/>
        </w:rPr>
        <w:t xml:space="preserve"> </w:t>
      </w:r>
      <w:r w:rsidR="00C675A0" w:rsidRPr="008D6443">
        <w:rPr>
          <w:rFonts w:ascii="Arial" w:hAnsi="Arial" w:cs="Arial"/>
          <w:sz w:val="20"/>
          <w:szCs w:val="20"/>
        </w:rPr>
        <w:t>in relation to 20</w:t>
      </w:r>
      <w:r w:rsidR="00C00C85" w:rsidRPr="008D6443">
        <w:rPr>
          <w:rFonts w:ascii="Arial" w:hAnsi="Arial" w:cs="Arial"/>
          <w:sz w:val="20"/>
          <w:szCs w:val="20"/>
        </w:rPr>
        <w:t>1</w:t>
      </w:r>
      <w:r w:rsidR="000743DC" w:rsidRPr="008D6443">
        <w:rPr>
          <w:rFonts w:ascii="Arial" w:hAnsi="Arial" w:cs="Arial"/>
          <w:sz w:val="20"/>
          <w:szCs w:val="20"/>
        </w:rPr>
        <w:t>6</w:t>
      </w:r>
      <w:r w:rsidR="001F6CC1" w:rsidRPr="008D6443">
        <w:rPr>
          <w:rFonts w:ascii="Arial" w:hAnsi="Arial" w:cs="Arial"/>
          <w:sz w:val="20"/>
          <w:szCs w:val="20"/>
        </w:rPr>
        <w:t>.</w:t>
      </w:r>
    </w:p>
    <w:p w:rsidR="006133DD" w:rsidRPr="008D6443" w:rsidRDefault="00934304" w:rsidP="006133DD">
      <w:pPr>
        <w:spacing w:before="120"/>
        <w:ind w:firstLine="397"/>
        <w:jc w:val="both"/>
        <w:rPr>
          <w:rFonts w:cs="Arial"/>
          <w:bCs/>
          <w:szCs w:val="20"/>
        </w:rPr>
      </w:pPr>
      <w:r w:rsidRPr="008D6443">
        <w:rPr>
          <w:rFonts w:ascii="Arial" w:hAnsi="Arial" w:cs="Arial"/>
          <w:bCs/>
          <w:sz w:val="20"/>
          <w:szCs w:val="20"/>
        </w:rPr>
        <w:t>Observ</w:t>
      </w:r>
      <w:r w:rsidR="00C675A0" w:rsidRPr="008D6443">
        <w:rPr>
          <w:rFonts w:ascii="Arial" w:hAnsi="Arial" w:cs="Arial"/>
          <w:bCs/>
          <w:sz w:val="20"/>
          <w:szCs w:val="20"/>
        </w:rPr>
        <w:t xml:space="preserve">ing the </w:t>
      </w:r>
      <w:r w:rsidRPr="008D6443">
        <w:rPr>
          <w:rFonts w:ascii="Arial" w:hAnsi="Arial" w:cs="Arial"/>
          <w:bCs/>
          <w:sz w:val="20"/>
          <w:szCs w:val="20"/>
        </w:rPr>
        <w:t>EUR exchange</w:t>
      </w:r>
      <w:r w:rsidR="00C00C85" w:rsidRPr="008D6443">
        <w:rPr>
          <w:rFonts w:ascii="Arial" w:hAnsi="Arial" w:cs="Arial"/>
          <w:bCs/>
          <w:sz w:val="20"/>
          <w:szCs w:val="20"/>
        </w:rPr>
        <w:t xml:space="preserve"> rate change during this period, the</w:t>
      </w:r>
      <w:r w:rsidRPr="008D6443">
        <w:rPr>
          <w:rFonts w:ascii="Arial" w:hAnsi="Arial" w:cs="Arial"/>
          <w:bCs/>
          <w:sz w:val="20"/>
          <w:szCs w:val="20"/>
        </w:rPr>
        <w:t xml:space="preserve"> prices of dwellings of new construction</w:t>
      </w:r>
      <w:r w:rsidR="00C00C85" w:rsidRPr="008D6443">
        <w:rPr>
          <w:rFonts w:ascii="Arial" w:hAnsi="Arial" w:cs="Arial"/>
          <w:bCs/>
          <w:sz w:val="20"/>
          <w:szCs w:val="20"/>
        </w:rPr>
        <w:t xml:space="preserve"> in 201</w:t>
      </w:r>
      <w:r w:rsidR="000743DC" w:rsidRPr="008D6443">
        <w:rPr>
          <w:rFonts w:ascii="Arial" w:hAnsi="Arial" w:cs="Arial"/>
          <w:bCs/>
          <w:sz w:val="20"/>
          <w:szCs w:val="20"/>
        </w:rPr>
        <w:t>7</w:t>
      </w:r>
      <w:r w:rsidRPr="008D6443">
        <w:rPr>
          <w:rFonts w:ascii="Arial" w:hAnsi="Arial" w:cs="Arial"/>
          <w:bCs/>
          <w:sz w:val="20"/>
          <w:szCs w:val="20"/>
        </w:rPr>
        <w:t xml:space="preserve"> </w:t>
      </w:r>
      <w:r w:rsidR="00856C14" w:rsidRPr="008D6443">
        <w:rPr>
          <w:rFonts w:ascii="Arial" w:hAnsi="Arial" w:cs="Arial"/>
          <w:bCs/>
          <w:sz w:val="20"/>
          <w:szCs w:val="20"/>
        </w:rPr>
        <w:t>in</w:t>
      </w:r>
      <w:r w:rsidR="00C00C85" w:rsidRPr="008D6443">
        <w:rPr>
          <w:rFonts w:ascii="Arial" w:hAnsi="Arial" w:cs="Arial"/>
          <w:bCs/>
          <w:sz w:val="20"/>
          <w:szCs w:val="20"/>
        </w:rPr>
        <w:t xml:space="preserve">creased by </w:t>
      </w:r>
      <w:r w:rsidR="000743DC" w:rsidRPr="008D6443">
        <w:rPr>
          <w:rFonts w:ascii="Arial" w:hAnsi="Arial" w:cs="Arial"/>
          <w:bCs/>
          <w:sz w:val="20"/>
          <w:szCs w:val="20"/>
        </w:rPr>
        <w:t>4</w:t>
      </w:r>
      <w:r w:rsidR="00C00C85" w:rsidRPr="008D6443">
        <w:rPr>
          <w:rFonts w:ascii="Arial" w:hAnsi="Arial" w:cs="Arial"/>
          <w:bCs/>
          <w:sz w:val="20"/>
          <w:szCs w:val="20"/>
        </w:rPr>
        <w:t>.</w:t>
      </w:r>
      <w:r w:rsidR="000743DC" w:rsidRPr="008D6443">
        <w:rPr>
          <w:rFonts w:ascii="Arial" w:hAnsi="Arial" w:cs="Arial"/>
          <w:bCs/>
          <w:sz w:val="20"/>
          <w:szCs w:val="20"/>
        </w:rPr>
        <w:t>4</w:t>
      </w:r>
      <w:r w:rsidR="00C00C85" w:rsidRPr="008D6443">
        <w:rPr>
          <w:rFonts w:ascii="Arial" w:hAnsi="Arial" w:cs="Arial"/>
          <w:bCs/>
          <w:sz w:val="20"/>
          <w:szCs w:val="20"/>
        </w:rPr>
        <w:t>%</w:t>
      </w:r>
      <w:r w:rsidRPr="008D6443">
        <w:rPr>
          <w:rFonts w:ascii="Arial" w:hAnsi="Arial" w:cs="Arial"/>
          <w:bCs/>
          <w:sz w:val="20"/>
          <w:szCs w:val="20"/>
        </w:rPr>
        <w:t xml:space="preserve"> </w:t>
      </w:r>
      <w:r w:rsidRPr="008D6443">
        <w:rPr>
          <w:rFonts w:ascii="Arial" w:hAnsi="Arial" w:cs="Arial"/>
          <w:sz w:val="20"/>
          <w:szCs w:val="20"/>
        </w:rPr>
        <w:t xml:space="preserve">in relation to </w:t>
      </w:r>
      <w:r w:rsidR="006133DD" w:rsidRPr="008D6443">
        <w:rPr>
          <w:rFonts w:ascii="Arial" w:hAnsi="Arial" w:cs="Arial"/>
          <w:sz w:val="20"/>
          <w:szCs w:val="20"/>
        </w:rPr>
        <w:t>201</w:t>
      </w:r>
      <w:r w:rsidR="000743DC" w:rsidRPr="008D6443">
        <w:rPr>
          <w:rFonts w:ascii="Arial" w:hAnsi="Arial" w:cs="Arial"/>
          <w:sz w:val="20"/>
          <w:szCs w:val="20"/>
        </w:rPr>
        <w:t>6</w:t>
      </w:r>
      <w:r w:rsidRPr="008D6443">
        <w:rPr>
          <w:rFonts w:ascii="Arial" w:hAnsi="Arial" w:cs="Arial"/>
          <w:sz w:val="20"/>
          <w:szCs w:val="20"/>
        </w:rPr>
        <w:t>. According to the prices structure, o</w:t>
      </w:r>
      <w:r w:rsidRPr="008D6443">
        <w:rPr>
          <w:rFonts w:ascii="Arial" w:hAnsi="Arial" w:cs="Arial"/>
          <w:bCs/>
          <w:sz w:val="20"/>
          <w:szCs w:val="20"/>
        </w:rPr>
        <w:t xml:space="preserve">bserved in EUR, the largest </w:t>
      </w:r>
      <w:r w:rsidR="00856C14" w:rsidRPr="008D6443">
        <w:rPr>
          <w:rFonts w:ascii="Arial" w:hAnsi="Arial" w:cs="Arial"/>
          <w:bCs/>
          <w:sz w:val="20"/>
          <w:szCs w:val="20"/>
        </w:rPr>
        <w:t>in</w:t>
      </w:r>
      <w:r w:rsidR="00E42E63" w:rsidRPr="008D6443">
        <w:rPr>
          <w:rFonts w:ascii="Arial" w:hAnsi="Arial" w:cs="Arial"/>
          <w:bCs/>
          <w:sz w:val="20"/>
          <w:szCs w:val="20"/>
        </w:rPr>
        <w:t>crease of prices</w:t>
      </w:r>
      <w:r w:rsidRPr="008D6443">
        <w:rPr>
          <w:rFonts w:ascii="Arial" w:hAnsi="Arial" w:cs="Arial"/>
          <w:bCs/>
          <w:sz w:val="20"/>
          <w:szCs w:val="20"/>
        </w:rPr>
        <w:t xml:space="preserve"> was recorded </w:t>
      </w:r>
      <w:r w:rsidR="00C00C85" w:rsidRPr="008D6443">
        <w:rPr>
          <w:rFonts w:ascii="Arial" w:hAnsi="Arial" w:cs="Arial"/>
          <w:bCs/>
          <w:sz w:val="20"/>
          <w:szCs w:val="20"/>
        </w:rPr>
        <w:t>in</w:t>
      </w:r>
      <w:r w:rsidR="00E42E63" w:rsidRPr="008D6443">
        <w:rPr>
          <w:rFonts w:ascii="Arial" w:hAnsi="Arial" w:cs="Arial"/>
          <w:bCs/>
          <w:sz w:val="20"/>
          <w:szCs w:val="20"/>
        </w:rPr>
        <w:t xml:space="preserve"> </w:t>
      </w:r>
      <w:r w:rsidR="000743DC" w:rsidRPr="008D6443">
        <w:rPr>
          <w:rFonts w:ascii="Arial" w:hAnsi="Arial" w:cs="Arial"/>
          <w:bCs/>
          <w:sz w:val="20"/>
          <w:szCs w:val="20"/>
        </w:rPr>
        <w:t xml:space="preserve">other expenditures (24.4%), followed by </w:t>
      </w:r>
      <w:r w:rsidR="0019114A" w:rsidRPr="008D6443">
        <w:rPr>
          <w:rFonts w:ascii="Arial" w:hAnsi="Arial" w:cs="Arial"/>
          <w:bCs/>
          <w:sz w:val="20"/>
          <w:szCs w:val="20"/>
        </w:rPr>
        <w:t xml:space="preserve">prices of construction </w:t>
      </w:r>
      <w:r w:rsidR="000743DC" w:rsidRPr="008D6443">
        <w:rPr>
          <w:rFonts w:ascii="Arial" w:hAnsi="Arial" w:cs="Arial"/>
          <w:bCs/>
          <w:sz w:val="20"/>
          <w:szCs w:val="20"/>
        </w:rPr>
        <w:t xml:space="preserve">land (12.7%), while </w:t>
      </w:r>
      <w:r w:rsidR="00EC4AD3" w:rsidRPr="008D6443">
        <w:rPr>
          <w:rFonts w:ascii="Arial" w:hAnsi="Arial" w:cs="Arial"/>
          <w:bCs/>
          <w:sz w:val="20"/>
          <w:szCs w:val="20"/>
        </w:rPr>
        <w:t>prices of construction work</w:t>
      </w:r>
      <w:r w:rsidR="000743DC" w:rsidRPr="008D6443">
        <w:rPr>
          <w:rFonts w:ascii="Arial" w:hAnsi="Arial" w:cs="Arial"/>
          <w:bCs/>
          <w:sz w:val="20"/>
          <w:szCs w:val="20"/>
        </w:rPr>
        <w:t xml:space="preserve"> decreased (2.2%). </w:t>
      </w:r>
      <w:r w:rsidR="006133DD" w:rsidRPr="008D6443">
        <w:rPr>
          <w:rFonts w:ascii="Arial" w:hAnsi="Arial" w:cs="Arial"/>
          <w:bCs/>
          <w:sz w:val="20"/>
          <w:szCs w:val="20"/>
        </w:rPr>
        <w:t xml:space="preserve">  </w:t>
      </w:r>
    </w:p>
    <w:p w:rsidR="00934304" w:rsidRPr="008D6443" w:rsidRDefault="006A4DE9" w:rsidP="00521687">
      <w:pPr>
        <w:spacing w:before="120"/>
        <w:ind w:firstLine="397"/>
        <w:jc w:val="both"/>
        <w:rPr>
          <w:rFonts w:ascii="Arial" w:hAnsi="Arial" w:cs="Arial"/>
          <w:bCs/>
          <w:sz w:val="20"/>
          <w:szCs w:val="20"/>
        </w:rPr>
      </w:pPr>
      <w:r w:rsidRPr="008D6443">
        <w:rPr>
          <w:rFonts w:ascii="Arial" w:hAnsi="Arial" w:cs="Arial"/>
          <w:bCs/>
          <w:sz w:val="20"/>
          <w:szCs w:val="20"/>
        </w:rPr>
        <w:t xml:space="preserve">The largest </w:t>
      </w:r>
      <w:r w:rsidRPr="008D6443">
        <w:rPr>
          <w:rFonts w:ascii="Arial" w:hAnsi="Arial" w:cs="Arial"/>
          <w:sz w:val="20"/>
          <w:szCs w:val="20"/>
        </w:rPr>
        <w:t xml:space="preserve">average </w:t>
      </w:r>
      <w:r w:rsidR="004F4AFE" w:rsidRPr="008D6443">
        <w:rPr>
          <w:rFonts w:ascii="Arial" w:hAnsi="Arial" w:cs="Arial"/>
          <w:sz w:val="20"/>
          <w:szCs w:val="20"/>
        </w:rPr>
        <w:t>price</w:t>
      </w:r>
      <w:r w:rsidRPr="008D6443">
        <w:rPr>
          <w:rFonts w:ascii="Arial" w:hAnsi="Arial" w:cs="Arial"/>
          <w:sz w:val="20"/>
          <w:szCs w:val="20"/>
        </w:rPr>
        <w:t xml:space="preserve"> </w:t>
      </w:r>
      <w:r w:rsidRPr="008D6443">
        <w:rPr>
          <w:rFonts w:ascii="Arial" w:hAnsi="Arial" w:cs="Arial"/>
          <w:bCs/>
          <w:sz w:val="20"/>
          <w:szCs w:val="20"/>
        </w:rPr>
        <w:t>of dwellings of new construction</w:t>
      </w:r>
      <w:r w:rsidRPr="008D6443">
        <w:rPr>
          <w:rFonts w:ascii="Arial" w:hAnsi="Arial" w:cs="Arial"/>
          <w:sz w:val="20"/>
          <w:szCs w:val="20"/>
        </w:rPr>
        <w:t xml:space="preserve"> </w:t>
      </w:r>
      <w:r w:rsidRPr="008D6443">
        <w:rPr>
          <w:rFonts w:ascii="Arial" w:hAnsi="Arial" w:cs="Arial"/>
          <w:bCs/>
          <w:sz w:val="20"/>
          <w:szCs w:val="20"/>
        </w:rPr>
        <w:t xml:space="preserve">in </w:t>
      </w:r>
      <w:r w:rsidR="00934304" w:rsidRPr="008D6443">
        <w:rPr>
          <w:rFonts w:ascii="Arial" w:hAnsi="Arial" w:cs="Arial"/>
          <w:bCs/>
          <w:sz w:val="20"/>
          <w:szCs w:val="20"/>
        </w:rPr>
        <w:t>20</w:t>
      </w:r>
      <w:r w:rsidR="00E42E63" w:rsidRPr="008D6443">
        <w:rPr>
          <w:rFonts w:ascii="Arial" w:hAnsi="Arial" w:cs="Arial"/>
          <w:bCs/>
          <w:sz w:val="20"/>
          <w:szCs w:val="20"/>
        </w:rPr>
        <w:t>1</w:t>
      </w:r>
      <w:r w:rsidR="000743DC" w:rsidRPr="008D6443">
        <w:rPr>
          <w:rFonts w:ascii="Arial" w:hAnsi="Arial" w:cs="Arial"/>
          <w:bCs/>
          <w:sz w:val="20"/>
          <w:szCs w:val="20"/>
        </w:rPr>
        <w:t>7</w:t>
      </w:r>
      <w:r w:rsidRPr="008D6443">
        <w:rPr>
          <w:rFonts w:ascii="Arial" w:hAnsi="Arial" w:cs="Arial"/>
          <w:bCs/>
          <w:sz w:val="20"/>
          <w:szCs w:val="20"/>
        </w:rPr>
        <w:t xml:space="preserve"> was</w:t>
      </w:r>
      <w:r w:rsidR="00934304" w:rsidRPr="008D6443">
        <w:rPr>
          <w:rFonts w:ascii="Arial" w:hAnsi="Arial" w:cs="Arial"/>
          <w:bCs/>
          <w:sz w:val="20"/>
          <w:szCs w:val="20"/>
        </w:rPr>
        <w:t xml:space="preserve"> </w:t>
      </w:r>
      <w:r w:rsidR="00B00A42" w:rsidRPr="00320D51">
        <w:rPr>
          <w:rFonts w:ascii="Arial" w:hAnsi="Arial" w:cs="Arial"/>
          <w:bCs/>
          <w:sz w:val="20"/>
          <w:szCs w:val="20"/>
        </w:rPr>
        <w:t>record</w:t>
      </w:r>
      <w:r w:rsidR="00934304" w:rsidRPr="00320D51">
        <w:rPr>
          <w:rFonts w:ascii="Arial" w:hAnsi="Arial" w:cs="Arial"/>
          <w:bCs/>
          <w:sz w:val="20"/>
          <w:szCs w:val="20"/>
        </w:rPr>
        <w:t xml:space="preserve">ed </w:t>
      </w:r>
      <w:r w:rsidR="00934304" w:rsidRPr="008D6443">
        <w:rPr>
          <w:rFonts w:ascii="Arial" w:hAnsi="Arial" w:cs="Arial"/>
          <w:bCs/>
          <w:sz w:val="20"/>
          <w:szCs w:val="20"/>
        </w:rPr>
        <w:t xml:space="preserve">in the city of Belgrade and amounted to </w:t>
      </w:r>
      <w:r w:rsidR="00710ABF" w:rsidRPr="008D6443">
        <w:rPr>
          <w:rFonts w:ascii="Arial" w:hAnsi="Arial" w:cs="Arial"/>
          <w:bCs/>
          <w:sz w:val="20"/>
          <w:szCs w:val="20"/>
        </w:rPr>
        <w:t>2</w:t>
      </w:r>
      <w:r w:rsidR="000743DC" w:rsidRPr="008D6443">
        <w:rPr>
          <w:rFonts w:ascii="Arial" w:hAnsi="Arial" w:cs="Arial"/>
          <w:bCs/>
          <w:sz w:val="20"/>
          <w:szCs w:val="20"/>
        </w:rPr>
        <w:t>22</w:t>
      </w:r>
      <w:r w:rsidR="005511F1" w:rsidRPr="008D6443">
        <w:rPr>
          <w:rFonts w:ascii="Arial" w:hAnsi="Arial" w:cs="Arial"/>
          <w:bCs/>
          <w:sz w:val="20"/>
          <w:szCs w:val="20"/>
        </w:rPr>
        <w:t xml:space="preserve"> </w:t>
      </w:r>
      <w:r w:rsidR="00710ABF" w:rsidRPr="008D6443">
        <w:rPr>
          <w:rFonts w:ascii="Arial" w:hAnsi="Arial" w:cs="Arial"/>
          <w:bCs/>
          <w:sz w:val="20"/>
          <w:szCs w:val="20"/>
        </w:rPr>
        <w:t>0</w:t>
      </w:r>
      <w:r w:rsidR="000743DC" w:rsidRPr="008D6443">
        <w:rPr>
          <w:rFonts w:ascii="Arial" w:hAnsi="Arial" w:cs="Arial"/>
          <w:bCs/>
          <w:sz w:val="20"/>
          <w:szCs w:val="20"/>
        </w:rPr>
        <w:t>17</w:t>
      </w:r>
      <w:r w:rsidR="00934304" w:rsidRPr="008D6443">
        <w:rPr>
          <w:rFonts w:ascii="Arial" w:hAnsi="Arial" w:cs="Arial"/>
          <w:bCs/>
          <w:sz w:val="20"/>
          <w:szCs w:val="20"/>
        </w:rPr>
        <w:t xml:space="preserve"> RSD, present</w:t>
      </w:r>
      <w:r w:rsidR="00E42E63" w:rsidRPr="008D6443">
        <w:rPr>
          <w:rFonts w:ascii="Arial" w:hAnsi="Arial" w:cs="Arial"/>
          <w:bCs/>
          <w:sz w:val="20"/>
          <w:szCs w:val="20"/>
        </w:rPr>
        <w:t>ing</w:t>
      </w:r>
      <w:r w:rsidR="00934304" w:rsidRPr="008D6443">
        <w:rPr>
          <w:rFonts w:ascii="Arial" w:hAnsi="Arial" w:cs="Arial"/>
          <w:bCs/>
          <w:sz w:val="20"/>
          <w:szCs w:val="20"/>
        </w:rPr>
        <w:t xml:space="preserve"> </w:t>
      </w:r>
      <w:r w:rsidR="000743DC" w:rsidRPr="008D6443">
        <w:rPr>
          <w:rFonts w:ascii="Arial" w:hAnsi="Arial" w:cs="Arial"/>
          <w:bCs/>
          <w:sz w:val="20"/>
          <w:szCs w:val="20"/>
        </w:rPr>
        <w:t>5</w:t>
      </w:r>
      <w:r w:rsidR="00934304" w:rsidRPr="008D6443">
        <w:rPr>
          <w:rFonts w:ascii="Arial" w:hAnsi="Arial" w:cs="Arial"/>
          <w:bCs/>
          <w:sz w:val="20"/>
          <w:szCs w:val="20"/>
        </w:rPr>
        <w:t>.</w:t>
      </w:r>
      <w:r w:rsidR="000743DC" w:rsidRPr="008D6443">
        <w:rPr>
          <w:rFonts w:ascii="Arial" w:hAnsi="Arial" w:cs="Arial"/>
          <w:bCs/>
          <w:sz w:val="20"/>
          <w:szCs w:val="20"/>
        </w:rPr>
        <w:t>2</w:t>
      </w:r>
      <w:r w:rsidR="00934304" w:rsidRPr="008D6443">
        <w:rPr>
          <w:rFonts w:ascii="Arial" w:hAnsi="Arial" w:cs="Arial"/>
          <w:bCs/>
          <w:sz w:val="20"/>
          <w:szCs w:val="20"/>
        </w:rPr>
        <w:t xml:space="preserve">% </w:t>
      </w:r>
      <w:r w:rsidR="00856C14" w:rsidRPr="008D6443">
        <w:rPr>
          <w:rFonts w:ascii="Arial" w:hAnsi="Arial" w:cs="Arial"/>
          <w:bCs/>
          <w:sz w:val="20"/>
          <w:szCs w:val="20"/>
        </w:rPr>
        <w:t>in</w:t>
      </w:r>
      <w:r w:rsidR="00E42E63" w:rsidRPr="008D6443">
        <w:rPr>
          <w:rFonts w:ascii="Arial" w:hAnsi="Arial" w:cs="Arial"/>
          <w:bCs/>
          <w:sz w:val="20"/>
          <w:szCs w:val="20"/>
        </w:rPr>
        <w:t xml:space="preserve">crease </w:t>
      </w:r>
      <w:r w:rsidR="00934304" w:rsidRPr="008D6443">
        <w:rPr>
          <w:rFonts w:ascii="Arial" w:hAnsi="Arial" w:cs="Arial"/>
          <w:sz w:val="20"/>
          <w:szCs w:val="20"/>
        </w:rPr>
        <w:t>in relation to 20</w:t>
      </w:r>
      <w:r w:rsidR="00C00C85" w:rsidRPr="008D6443">
        <w:rPr>
          <w:rFonts w:ascii="Arial" w:hAnsi="Arial" w:cs="Arial"/>
          <w:sz w:val="20"/>
          <w:szCs w:val="20"/>
        </w:rPr>
        <w:t>1</w:t>
      </w:r>
      <w:r w:rsidR="000743DC" w:rsidRPr="008D6443">
        <w:rPr>
          <w:rFonts w:ascii="Arial" w:hAnsi="Arial" w:cs="Arial"/>
          <w:sz w:val="20"/>
          <w:szCs w:val="20"/>
        </w:rPr>
        <w:t>6</w:t>
      </w:r>
      <w:r w:rsidR="00934304" w:rsidRPr="008D6443">
        <w:rPr>
          <w:rFonts w:ascii="Arial" w:hAnsi="Arial" w:cs="Arial"/>
          <w:sz w:val="20"/>
          <w:szCs w:val="20"/>
        </w:rPr>
        <w:t xml:space="preserve">. </w:t>
      </w:r>
      <w:r w:rsidRPr="008D6443">
        <w:rPr>
          <w:rFonts w:ascii="Arial" w:hAnsi="Arial" w:cs="Arial"/>
          <w:sz w:val="20"/>
          <w:szCs w:val="20"/>
        </w:rPr>
        <w:t>Expressed in E</w:t>
      </w:r>
      <w:r w:rsidR="00E42E63" w:rsidRPr="008D6443">
        <w:rPr>
          <w:rFonts w:ascii="Arial" w:hAnsi="Arial" w:cs="Arial"/>
          <w:sz w:val="20"/>
          <w:szCs w:val="20"/>
        </w:rPr>
        <w:t>UR</w:t>
      </w:r>
      <w:r w:rsidR="00C00C85" w:rsidRPr="008D6443">
        <w:rPr>
          <w:rFonts w:ascii="Arial" w:hAnsi="Arial" w:cs="Arial"/>
          <w:sz w:val="20"/>
          <w:szCs w:val="20"/>
        </w:rPr>
        <w:t xml:space="preserve">, </w:t>
      </w:r>
      <w:r w:rsidRPr="008D6443">
        <w:rPr>
          <w:rFonts w:ascii="Arial" w:hAnsi="Arial" w:cs="Arial"/>
          <w:sz w:val="20"/>
          <w:szCs w:val="20"/>
        </w:rPr>
        <w:t>average</w:t>
      </w:r>
      <w:r w:rsidR="00934304" w:rsidRPr="008D6443">
        <w:rPr>
          <w:rFonts w:ascii="Arial" w:hAnsi="Arial" w:cs="Arial"/>
          <w:sz w:val="20"/>
          <w:szCs w:val="20"/>
        </w:rPr>
        <w:t xml:space="preserve"> </w:t>
      </w:r>
      <w:r w:rsidR="00856C14" w:rsidRPr="008D6443">
        <w:rPr>
          <w:rFonts w:ascii="Arial" w:hAnsi="Arial" w:cs="Arial"/>
          <w:sz w:val="20"/>
          <w:szCs w:val="20"/>
        </w:rPr>
        <w:t xml:space="preserve">dwellings’ </w:t>
      </w:r>
      <w:r w:rsidR="00934304" w:rsidRPr="008D6443">
        <w:rPr>
          <w:rFonts w:ascii="Arial" w:hAnsi="Arial" w:cs="Arial"/>
          <w:sz w:val="20"/>
          <w:szCs w:val="20"/>
        </w:rPr>
        <w:t>price</w:t>
      </w:r>
      <w:r w:rsidRPr="008D6443">
        <w:rPr>
          <w:rFonts w:ascii="Arial" w:hAnsi="Arial" w:cs="Arial"/>
          <w:sz w:val="20"/>
          <w:szCs w:val="20"/>
        </w:rPr>
        <w:t xml:space="preserve">s </w:t>
      </w:r>
      <w:r w:rsidRPr="008D6443">
        <w:rPr>
          <w:rFonts w:ascii="Arial" w:hAnsi="Arial" w:cs="Arial"/>
          <w:bCs/>
          <w:sz w:val="20"/>
          <w:szCs w:val="20"/>
        </w:rPr>
        <w:t>in the city of Belgrade</w:t>
      </w:r>
      <w:r w:rsidR="00E42E63" w:rsidRPr="008D6443">
        <w:rPr>
          <w:rFonts w:ascii="Arial" w:hAnsi="Arial" w:cs="Arial"/>
          <w:bCs/>
          <w:sz w:val="20"/>
          <w:szCs w:val="20"/>
        </w:rPr>
        <w:t>, in the observed period,</w:t>
      </w:r>
      <w:r w:rsidRPr="008D6443">
        <w:rPr>
          <w:rFonts w:ascii="Arial" w:hAnsi="Arial" w:cs="Arial"/>
          <w:bCs/>
          <w:sz w:val="20"/>
          <w:szCs w:val="20"/>
        </w:rPr>
        <w:t xml:space="preserve"> </w:t>
      </w:r>
      <w:r w:rsidR="00856C14" w:rsidRPr="008D6443">
        <w:rPr>
          <w:rFonts w:ascii="Arial" w:hAnsi="Arial" w:cs="Arial"/>
          <w:bCs/>
          <w:sz w:val="20"/>
          <w:szCs w:val="20"/>
        </w:rPr>
        <w:t>in</w:t>
      </w:r>
      <w:r w:rsidRPr="008D6443">
        <w:rPr>
          <w:rFonts w:ascii="Arial" w:hAnsi="Arial" w:cs="Arial"/>
          <w:bCs/>
          <w:sz w:val="20"/>
          <w:szCs w:val="20"/>
        </w:rPr>
        <w:t xml:space="preserve">creased by </w:t>
      </w:r>
      <w:r w:rsidR="00710ABF" w:rsidRPr="008D6443">
        <w:rPr>
          <w:rFonts w:ascii="Arial" w:hAnsi="Arial" w:cs="Arial"/>
          <w:bCs/>
          <w:sz w:val="20"/>
          <w:szCs w:val="20"/>
        </w:rPr>
        <w:t>6</w:t>
      </w:r>
      <w:r w:rsidRPr="008D6443">
        <w:rPr>
          <w:rFonts w:ascii="Arial" w:hAnsi="Arial" w:cs="Arial"/>
          <w:bCs/>
          <w:sz w:val="20"/>
          <w:szCs w:val="20"/>
        </w:rPr>
        <w:t>.</w:t>
      </w:r>
      <w:r w:rsidR="000743DC" w:rsidRPr="008D6443">
        <w:rPr>
          <w:rFonts w:ascii="Arial" w:hAnsi="Arial" w:cs="Arial"/>
          <w:bCs/>
          <w:sz w:val="20"/>
          <w:szCs w:val="20"/>
        </w:rPr>
        <w:t>7</w:t>
      </w:r>
      <w:r w:rsidRPr="008D6443">
        <w:rPr>
          <w:rFonts w:ascii="Arial" w:hAnsi="Arial" w:cs="Arial"/>
          <w:bCs/>
          <w:sz w:val="20"/>
          <w:szCs w:val="20"/>
        </w:rPr>
        <w:t xml:space="preserve">% </w:t>
      </w:r>
      <w:r w:rsidRPr="008D6443">
        <w:rPr>
          <w:rFonts w:ascii="Arial" w:hAnsi="Arial" w:cs="Arial"/>
          <w:sz w:val="20"/>
          <w:szCs w:val="20"/>
        </w:rPr>
        <w:t>in relation to 20</w:t>
      </w:r>
      <w:r w:rsidR="00C00C85" w:rsidRPr="008D6443">
        <w:rPr>
          <w:rFonts w:ascii="Arial" w:hAnsi="Arial" w:cs="Arial"/>
          <w:sz w:val="20"/>
          <w:szCs w:val="20"/>
        </w:rPr>
        <w:t>1</w:t>
      </w:r>
      <w:r w:rsidR="000743DC" w:rsidRPr="008D6443">
        <w:rPr>
          <w:rFonts w:ascii="Arial" w:hAnsi="Arial" w:cs="Arial"/>
          <w:sz w:val="20"/>
          <w:szCs w:val="20"/>
        </w:rPr>
        <w:t>6</w:t>
      </w:r>
      <w:r w:rsidR="00E42E63" w:rsidRPr="008D6443">
        <w:rPr>
          <w:rFonts w:ascii="Arial" w:hAnsi="Arial" w:cs="Arial"/>
          <w:sz w:val="20"/>
          <w:szCs w:val="20"/>
        </w:rPr>
        <w:t>.</w:t>
      </w:r>
      <w:r w:rsidRPr="008D6443">
        <w:rPr>
          <w:rFonts w:ascii="Arial" w:hAnsi="Arial" w:cs="Arial"/>
          <w:sz w:val="20"/>
          <w:szCs w:val="20"/>
        </w:rPr>
        <w:t xml:space="preserve"> </w:t>
      </w:r>
    </w:p>
    <w:p w:rsidR="00193036" w:rsidRPr="008D6443" w:rsidRDefault="00193036" w:rsidP="00193036">
      <w:pPr>
        <w:spacing w:before="80"/>
        <w:ind w:firstLine="397"/>
        <w:jc w:val="both"/>
        <w:rPr>
          <w:rFonts w:ascii="Arial" w:hAnsi="Arial" w:cs="Arial"/>
          <w:bCs/>
          <w:sz w:val="20"/>
          <w:szCs w:val="20"/>
        </w:rPr>
      </w:pPr>
      <w:r w:rsidRPr="008D6443">
        <w:rPr>
          <w:rFonts w:ascii="Arial" w:hAnsi="Arial" w:cs="Arial"/>
          <w:bCs/>
          <w:sz w:val="20"/>
          <w:szCs w:val="20"/>
        </w:rPr>
        <w:t xml:space="preserve">Average area of sold dwellings of new construction in the Republic of Serbia in 2017 amounted to 56 m². </w:t>
      </w:r>
    </w:p>
    <w:p w:rsidR="00934304" w:rsidRPr="008D6443" w:rsidRDefault="00934304" w:rsidP="00934304">
      <w:pPr>
        <w:jc w:val="center"/>
        <w:rPr>
          <w:rFonts w:ascii="Arial" w:hAnsi="Arial" w:cs="Arial"/>
          <w:b/>
          <w:bCs/>
          <w:sz w:val="20"/>
          <w:szCs w:val="20"/>
        </w:rPr>
      </w:pPr>
    </w:p>
    <w:p w:rsidR="000743DC" w:rsidRPr="008D6443" w:rsidRDefault="000743DC" w:rsidP="00934304">
      <w:pPr>
        <w:jc w:val="center"/>
        <w:rPr>
          <w:rFonts w:ascii="Arial" w:hAnsi="Arial" w:cs="Arial"/>
          <w:b/>
          <w:bCs/>
          <w:sz w:val="20"/>
          <w:szCs w:val="20"/>
        </w:rPr>
      </w:pPr>
    </w:p>
    <w:p w:rsidR="00934304" w:rsidRPr="008D6443" w:rsidRDefault="003C13F3" w:rsidP="003C13F3">
      <w:pPr>
        <w:spacing w:line="233" w:lineRule="auto"/>
        <w:rPr>
          <w:rFonts w:ascii="Arial" w:hAnsi="Arial" w:cs="Arial"/>
          <w:b/>
          <w:bCs/>
          <w:sz w:val="20"/>
          <w:szCs w:val="20"/>
        </w:rPr>
      </w:pPr>
      <w:r w:rsidRPr="008D6443">
        <w:rPr>
          <w:rFonts w:ascii="Arial" w:hAnsi="Arial" w:cs="Arial"/>
          <w:b/>
          <w:bCs/>
          <w:sz w:val="20"/>
          <w:szCs w:val="20"/>
        </w:rPr>
        <w:t xml:space="preserve">1. </w:t>
      </w:r>
      <w:r w:rsidR="00934304" w:rsidRPr="008D6443">
        <w:rPr>
          <w:rFonts w:ascii="Arial" w:hAnsi="Arial" w:cs="Arial"/>
          <w:b/>
          <w:bCs/>
          <w:sz w:val="20"/>
          <w:szCs w:val="20"/>
        </w:rPr>
        <w:t>Prices of dwellings of new construction</w:t>
      </w:r>
      <w:r w:rsidR="00934304" w:rsidRPr="008D6443">
        <w:rPr>
          <w:rFonts w:ascii="Arial" w:hAnsi="Arial" w:cs="Arial"/>
          <w:b/>
          <w:bCs/>
          <w:sz w:val="28"/>
          <w:szCs w:val="28"/>
        </w:rPr>
        <w:t xml:space="preserve"> </w:t>
      </w:r>
      <w:r w:rsidR="00934304" w:rsidRPr="008D6443">
        <w:rPr>
          <w:rFonts w:ascii="Arial" w:hAnsi="Arial" w:cs="Arial"/>
          <w:b/>
          <w:bCs/>
          <w:sz w:val="20"/>
          <w:szCs w:val="20"/>
        </w:rPr>
        <w:t xml:space="preserve">in </w:t>
      </w:r>
      <w:r w:rsidR="0066478F" w:rsidRPr="008D6443">
        <w:rPr>
          <w:rFonts w:ascii="Arial" w:hAnsi="Arial" w:cs="Arial"/>
          <w:b/>
          <w:bCs/>
          <w:sz w:val="20"/>
          <w:szCs w:val="20"/>
        </w:rPr>
        <w:t>201</w:t>
      </w:r>
      <w:r w:rsidR="00997405" w:rsidRPr="008D6443">
        <w:rPr>
          <w:rFonts w:ascii="Arial" w:hAnsi="Arial" w:cs="Arial"/>
          <w:b/>
          <w:bCs/>
          <w:sz w:val="20"/>
          <w:szCs w:val="20"/>
        </w:rPr>
        <w:t>7</w:t>
      </w:r>
      <w:r w:rsidR="0066478F" w:rsidRPr="008D6443">
        <w:rPr>
          <w:rFonts w:ascii="Arial" w:hAnsi="Arial" w:cs="Arial"/>
          <w:b/>
          <w:bCs/>
          <w:sz w:val="20"/>
          <w:szCs w:val="20"/>
          <w:vertAlign w:val="superscript"/>
        </w:rPr>
        <w:t xml:space="preserve">1)  </w:t>
      </w:r>
      <w:r w:rsidR="0066478F" w:rsidRPr="008D6443">
        <w:rPr>
          <w:rFonts w:ascii="Arial" w:hAnsi="Arial" w:cs="Arial"/>
          <w:b/>
          <w:bCs/>
          <w:sz w:val="20"/>
          <w:szCs w:val="20"/>
        </w:rPr>
        <w:t xml:space="preserve"> </w:t>
      </w:r>
      <w:r w:rsidR="0066478F" w:rsidRPr="008D6443">
        <w:rPr>
          <w:rFonts w:ascii="Arial" w:hAnsi="Arial" w:cs="Arial"/>
          <w:b/>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4"/>
        <w:gridCol w:w="1226"/>
        <w:gridCol w:w="1407"/>
        <w:gridCol w:w="1581"/>
        <w:gridCol w:w="1431"/>
        <w:gridCol w:w="1656"/>
      </w:tblGrid>
      <w:tr w:rsidR="008D6443" w:rsidRPr="008D6443">
        <w:trPr>
          <w:jc w:val="center"/>
        </w:trPr>
        <w:tc>
          <w:tcPr>
            <w:tcW w:w="2394" w:type="dxa"/>
            <w:vMerge w:val="restart"/>
            <w:tcBorders>
              <w:left w:val="nil"/>
            </w:tcBorders>
            <w:shd w:val="clear" w:color="auto" w:fill="auto"/>
            <w:vAlign w:val="center"/>
          </w:tcPr>
          <w:p w:rsidR="00934304" w:rsidRPr="008D6443" w:rsidRDefault="00934304" w:rsidP="00934304">
            <w:pPr>
              <w:pStyle w:val="Heading8"/>
              <w:rPr>
                <w:rFonts w:cs="Arial"/>
                <w:b w:val="0"/>
                <w:sz w:val="18"/>
                <w:szCs w:val="18"/>
                <w:lang w:val="en-GB"/>
              </w:rPr>
            </w:pPr>
          </w:p>
        </w:tc>
        <w:tc>
          <w:tcPr>
            <w:tcW w:w="1226" w:type="dxa"/>
            <w:vMerge w:val="restart"/>
            <w:shd w:val="clear" w:color="auto" w:fill="auto"/>
            <w:vAlign w:val="center"/>
          </w:tcPr>
          <w:p w:rsidR="00934304" w:rsidRPr="008D6443" w:rsidRDefault="00934304" w:rsidP="00934304">
            <w:pPr>
              <w:pStyle w:val="Heading8"/>
              <w:rPr>
                <w:rFonts w:cs="Arial"/>
                <w:b w:val="0"/>
                <w:szCs w:val="16"/>
                <w:lang w:val="en-GB"/>
              </w:rPr>
            </w:pPr>
            <w:r w:rsidRPr="008D6443">
              <w:rPr>
                <w:rFonts w:cs="Arial"/>
                <w:b w:val="0"/>
                <w:szCs w:val="16"/>
                <w:lang w:val="en-GB"/>
              </w:rPr>
              <w:t xml:space="preserve">Average dwellings area in m²                     </w:t>
            </w:r>
          </w:p>
        </w:tc>
        <w:tc>
          <w:tcPr>
            <w:tcW w:w="1407" w:type="dxa"/>
            <w:vMerge w:val="restart"/>
            <w:shd w:val="clear" w:color="auto" w:fill="auto"/>
            <w:vAlign w:val="center"/>
          </w:tcPr>
          <w:p w:rsidR="00934304" w:rsidRPr="008D6443" w:rsidRDefault="00934304" w:rsidP="00A21BD9">
            <w:pPr>
              <w:jc w:val="center"/>
              <w:rPr>
                <w:rFonts w:ascii="Arial" w:hAnsi="Arial" w:cs="Arial"/>
                <w:sz w:val="16"/>
                <w:szCs w:val="16"/>
              </w:rPr>
            </w:pPr>
            <w:r w:rsidRPr="008D6443">
              <w:rPr>
                <w:rFonts w:ascii="Arial" w:hAnsi="Arial" w:cs="Arial"/>
                <w:sz w:val="16"/>
                <w:szCs w:val="16"/>
              </w:rPr>
              <w:t xml:space="preserve">Price by 1 </w:t>
            </w:r>
            <w:r w:rsidRPr="008D6443">
              <w:rPr>
                <w:rFonts w:ascii="Arial" w:hAnsi="Arial" w:cs="Arial"/>
                <w:bCs/>
                <w:sz w:val="16"/>
                <w:szCs w:val="16"/>
              </w:rPr>
              <w:t>m²,                             in RSD, total</w:t>
            </w:r>
          </w:p>
        </w:tc>
        <w:tc>
          <w:tcPr>
            <w:tcW w:w="4668" w:type="dxa"/>
            <w:gridSpan w:val="3"/>
            <w:tcBorders>
              <w:right w:val="nil"/>
            </w:tcBorders>
            <w:shd w:val="clear" w:color="auto" w:fill="auto"/>
            <w:vAlign w:val="center"/>
          </w:tcPr>
          <w:p w:rsidR="00934304" w:rsidRPr="008D6443" w:rsidRDefault="00934304" w:rsidP="00934304">
            <w:pPr>
              <w:pStyle w:val="Heading8"/>
              <w:rPr>
                <w:rFonts w:cs="Arial"/>
                <w:b w:val="0"/>
                <w:szCs w:val="16"/>
                <w:lang w:val="en-GB"/>
              </w:rPr>
            </w:pPr>
            <w:r w:rsidRPr="008D6443">
              <w:rPr>
                <w:rFonts w:cs="Arial"/>
                <w:b w:val="0"/>
                <w:szCs w:val="16"/>
                <w:lang w:val="en-GB"/>
              </w:rPr>
              <w:t>Оf which:</w:t>
            </w:r>
          </w:p>
        </w:tc>
      </w:tr>
      <w:tr w:rsidR="008D6443" w:rsidRPr="008D6443">
        <w:trPr>
          <w:jc w:val="center"/>
        </w:trPr>
        <w:tc>
          <w:tcPr>
            <w:tcW w:w="2394" w:type="dxa"/>
            <w:vMerge/>
            <w:tcBorders>
              <w:left w:val="nil"/>
              <w:bottom w:val="single" w:sz="4" w:space="0" w:color="auto"/>
            </w:tcBorders>
            <w:shd w:val="clear" w:color="auto" w:fill="auto"/>
            <w:vAlign w:val="center"/>
          </w:tcPr>
          <w:p w:rsidR="00934304" w:rsidRPr="008D6443" w:rsidRDefault="00934304" w:rsidP="00934304">
            <w:pPr>
              <w:pStyle w:val="Heading8"/>
              <w:rPr>
                <w:rFonts w:cs="Arial"/>
                <w:b w:val="0"/>
                <w:sz w:val="18"/>
                <w:szCs w:val="18"/>
                <w:lang w:val="en-GB"/>
              </w:rPr>
            </w:pPr>
          </w:p>
        </w:tc>
        <w:tc>
          <w:tcPr>
            <w:tcW w:w="1226" w:type="dxa"/>
            <w:vMerge/>
            <w:tcBorders>
              <w:bottom w:val="single" w:sz="4" w:space="0" w:color="auto"/>
            </w:tcBorders>
            <w:shd w:val="clear" w:color="auto" w:fill="auto"/>
            <w:vAlign w:val="center"/>
          </w:tcPr>
          <w:p w:rsidR="00934304" w:rsidRPr="008D6443" w:rsidRDefault="00934304" w:rsidP="00934304">
            <w:pPr>
              <w:pStyle w:val="Heading8"/>
              <w:rPr>
                <w:rFonts w:cs="Arial"/>
                <w:b w:val="0"/>
                <w:szCs w:val="16"/>
                <w:lang w:val="en-GB"/>
              </w:rPr>
            </w:pPr>
          </w:p>
        </w:tc>
        <w:tc>
          <w:tcPr>
            <w:tcW w:w="1407" w:type="dxa"/>
            <w:vMerge/>
            <w:tcBorders>
              <w:bottom w:val="single" w:sz="4" w:space="0" w:color="auto"/>
            </w:tcBorders>
            <w:shd w:val="clear" w:color="auto" w:fill="auto"/>
            <w:vAlign w:val="center"/>
          </w:tcPr>
          <w:p w:rsidR="00934304" w:rsidRPr="008D6443" w:rsidRDefault="00934304" w:rsidP="00934304">
            <w:pPr>
              <w:pStyle w:val="Heading8"/>
              <w:rPr>
                <w:rFonts w:cs="Arial"/>
                <w:b w:val="0"/>
                <w:szCs w:val="16"/>
                <w:lang w:val="en-GB"/>
              </w:rPr>
            </w:pPr>
          </w:p>
        </w:tc>
        <w:tc>
          <w:tcPr>
            <w:tcW w:w="1581" w:type="dxa"/>
            <w:tcBorders>
              <w:bottom w:val="single" w:sz="4" w:space="0" w:color="auto"/>
            </w:tcBorders>
            <w:shd w:val="clear" w:color="auto" w:fill="auto"/>
            <w:vAlign w:val="center"/>
          </w:tcPr>
          <w:p w:rsidR="00934304" w:rsidRPr="00320D51" w:rsidRDefault="00B82FCC" w:rsidP="00934304">
            <w:pPr>
              <w:pStyle w:val="Heading8"/>
              <w:rPr>
                <w:rFonts w:cs="Arial"/>
                <w:b w:val="0"/>
                <w:szCs w:val="16"/>
                <w:lang w:val="en-GB"/>
              </w:rPr>
            </w:pPr>
            <w:r w:rsidRPr="00320D51">
              <w:rPr>
                <w:rFonts w:cs="Arial"/>
                <w:b w:val="0"/>
                <w:szCs w:val="16"/>
                <w:lang w:val="en-GB"/>
              </w:rPr>
              <w:t>P</w:t>
            </w:r>
            <w:r w:rsidR="00934304" w:rsidRPr="00320D51">
              <w:rPr>
                <w:rFonts w:cs="Arial"/>
                <w:b w:val="0"/>
                <w:szCs w:val="16"/>
                <w:lang w:val="en-GB"/>
              </w:rPr>
              <w:t>rice of construction            l</w:t>
            </w:r>
            <w:r w:rsidR="00C675A0" w:rsidRPr="00320D51">
              <w:rPr>
                <w:rFonts w:cs="Arial"/>
                <w:b w:val="0"/>
                <w:szCs w:val="16"/>
                <w:lang w:val="en-GB"/>
              </w:rPr>
              <w:t>a</w:t>
            </w:r>
            <w:r w:rsidR="00934304" w:rsidRPr="00320D51">
              <w:rPr>
                <w:rFonts w:cs="Arial"/>
                <w:b w:val="0"/>
                <w:szCs w:val="16"/>
                <w:lang w:val="en-GB"/>
              </w:rPr>
              <w:t>nd</w:t>
            </w:r>
          </w:p>
        </w:tc>
        <w:tc>
          <w:tcPr>
            <w:tcW w:w="1431" w:type="dxa"/>
            <w:tcBorders>
              <w:bottom w:val="single" w:sz="4" w:space="0" w:color="auto"/>
            </w:tcBorders>
            <w:shd w:val="clear" w:color="auto" w:fill="auto"/>
            <w:vAlign w:val="center"/>
          </w:tcPr>
          <w:p w:rsidR="00934304" w:rsidRPr="00320D51" w:rsidRDefault="00B82FCC" w:rsidP="00934304">
            <w:pPr>
              <w:pStyle w:val="Heading8"/>
              <w:rPr>
                <w:rFonts w:cs="Arial"/>
                <w:b w:val="0"/>
                <w:szCs w:val="16"/>
                <w:lang w:val="en-GB"/>
              </w:rPr>
            </w:pPr>
            <w:r w:rsidRPr="00320D51">
              <w:rPr>
                <w:rFonts w:cs="Arial"/>
                <w:b w:val="0"/>
                <w:szCs w:val="16"/>
                <w:lang w:val="en-GB"/>
              </w:rPr>
              <w:t>P</w:t>
            </w:r>
            <w:r w:rsidR="00934304" w:rsidRPr="00320D51">
              <w:rPr>
                <w:rFonts w:cs="Arial"/>
                <w:b w:val="0"/>
                <w:szCs w:val="16"/>
                <w:lang w:val="en-GB"/>
              </w:rPr>
              <w:t xml:space="preserve">rice of construction </w:t>
            </w:r>
            <w:r w:rsidR="00934304" w:rsidRPr="00320D51">
              <w:rPr>
                <w:rFonts w:cs="Arial"/>
                <w:b w:val="0"/>
                <w:bCs w:val="0"/>
                <w:szCs w:val="16"/>
                <w:lang w:val="en-GB"/>
              </w:rPr>
              <w:t>works</w:t>
            </w:r>
          </w:p>
        </w:tc>
        <w:tc>
          <w:tcPr>
            <w:tcW w:w="1656" w:type="dxa"/>
            <w:tcBorders>
              <w:bottom w:val="single" w:sz="4" w:space="0" w:color="auto"/>
              <w:right w:val="nil"/>
            </w:tcBorders>
            <w:shd w:val="clear" w:color="auto" w:fill="auto"/>
            <w:vAlign w:val="center"/>
          </w:tcPr>
          <w:p w:rsidR="00934304" w:rsidRPr="00320D51" w:rsidRDefault="00B82FCC" w:rsidP="00934304">
            <w:pPr>
              <w:pStyle w:val="Heading8"/>
              <w:rPr>
                <w:rFonts w:cs="Arial"/>
                <w:b w:val="0"/>
                <w:szCs w:val="16"/>
                <w:lang w:val="en-GB"/>
              </w:rPr>
            </w:pPr>
            <w:r w:rsidRPr="00320D51">
              <w:rPr>
                <w:rFonts w:cs="Arial"/>
                <w:b w:val="0"/>
                <w:szCs w:val="16"/>
                <w:lang w:val="en-GB"/>
              </w:rPr>
              <w:t>O</w:t>
            </w:r>
            <w:r w:rsidR="00934304" w:rsidRPr="00320D51">
              <w:rPr>
                <w:rFonts w:cs="Arial"/>
                <w:b w:val="0"/>
                <w:szCs w:val="16"/>
                <w:lang w:val="en-GB"/>
              </w:rPr>
              <w:t xml:space="preserve">ther </w:t>
            </w:r>
            <w:r w:rsidR="0082330C">
              <w:rPr>
                <w:rFonts w:cs="Arial"/>
                <w:b w:val="0"/>
                <w:szCs w:val="16"/>
                <w:lang w:val="en-GB"/>
              </w:rPr>
              <w:t xml:space="preserve">                          </w:t>
            </w:r>
            <w:r w:rsidR="00934304" w:rsidRPr="00320D51">
              <w:rPr>
                <w:rFonts w:cs="Arial"/>
                <w:b w:val="0"/>
                <w:bCs w:val="0"/>
                <w:szCs w:val="16"/>
                <w:lang w:val="en-GB"/>
              </w:rPr>
              <w:t>expenditures</w:t>
            </w:r>
            <w:r w:rsidR="00934304" w:rsidRPr="00320D51">
              <w:rPr>
                <w:rFonts w:cs="Arial"/>
                <w:b w:val="0"/>
                <w:szCs w:val="16"/>
                <w:lang w:val="en-GB"/>
              </w:rPr>
              <w:t xml:space="preserve"> </w:t>
            </w:r>
          </w:p>
        </w:tc>
      </w:tr>
      <w:tr w:rsidR="008D6443" w:rsidRPr="008D6443">
        <w:trPr>
          <w:trHeight w:val="179"/>
          <w:jc w:val="center"/>
        </w:trPr>
        <w:tc>
          <w:tcPr>
            <w:tcW w:w="2394" w:type="dxa"/>
            <w:tcBorders>
              <w:top w:val="single" w:sz="4" w:space="0" w:color="auto"/>
              <w:left w:val="nil"/>
              <w:bottom w:val="nil"/>
              <w:right w:val="single" w:sz="4" w:space="0" w:color="auto"/>
            </w:tcBorders>
            <w:shd w:val="clear" w:color="auto" w:fill="auto"/>
          </w:tcPr>
          <w:p w:rsidR="00934304" w:rsidRPr="008D6443" w:rsidRDefault="00934304" w:rsidP="00934304">
            <w:pPr>
              <w:rPr>
                <w:rFonts w:ascii="Arial" w:hAnsi="Arial" w:cs="Arial"/>
                <w:b/>
                <w:sz w:val="18"/>
                <w:szCs w:val="18"/>
              </w:rPr>
            </w:pPr>
          </w:p>
        </w:tc>
        <w:tc>
          <w:tcPr>
            <w:tcW w:w="1226" w:type="dxa"/>
            <w:tcBorders>
              <w:top w:val="single" w:sz="4" w:space="0" w:color="auto"/>
              <w:left w:val="single" w:sz="4" w:space="0" w:color="auto"/>
              <w:bottom w:val="nil"/>
              <w:right w:val="nil"/>
            </w:tcBorders>
            <w:shd w:val="clear" w:color="auto" w:fill="auto"/>
            <w:vAlign w:val="bottom"/>
          </w:tcPr>
          <w:p w:rsidR="00934304" w:rsidRPr="008D6443" w:rsidRDefault="00934304" w:rsidP="00A21BD9">
            <w:pPr>
              <w:jc w:val="center"/>
              <w:rPr>
                <w:rFonts w:ascii="Arial" w:hAnsi="Arial" w:cs="Arial"/>
                <w:b/>
                <w:sz w:val="18"/>
                <w:szCs w:val="18"/>
              </w:rPr>
            </w:pPr>
          </w:p>
        </w:tc>
        <w:tc>
          <w:tcPr>
            <w:tcW w:w="1407" w:type="dxa"/>
            <w:tcBorders>
              <w:top w:val="single" w:sz="4" w:space="0" w:color="auto"/>
              <w:left w:val="nil"/>
              <w:bottom w:val="nil"/>
              <w:right w:val="nil"/>
            </w:tcBorders>
            <w:shd w:val="clear" w:color="auto" w:fill="auto"/>
            <w:vAlign w:val="bottom"/>
          </w:tcPr>
          <w:p w:rsidR="00934304" w:rsidRPr="008D6443" w:rsidRDefault="00934304" w:rsidP="00A21BD9">
            <w:pPr>
              <w:jc w:val="center"/>
              <w:rPr>
                <w:rFonts w:ascii="Arial" w:hAnsi="Arial" w:cs="Arial"/>
                <w:b/>
                <w:sz w:val="18"/>
                <w:szCs w:val="18"/>
              </w:rPr>
            </w:pPr>
          </w:p>
        </w:tc>
        <w:tc>
          <w:tcPr>
            <w:tcW w:w="1581" w:type="dxa"/>
            <w:tcBorders>
              <w:top w:val="single" w:sz="4" w:space="0" w:color="auto"/>
              <w:left w:val="nil"/>
              <w:bottom w:val="nil"/>
              <w:right w:val="nil"/>
            </w:tcBorders>
            <w:shd w:val="clear" w:color="auto" w:fill="auto"/>
            <w:vAlign w:val="bottom"/>
          </w:tcPr>
          <w:p w:rsidR="00934304" w:rsidRPr="008D6443" w:rsidRDefault="00934304" w:rsidP="00A21BD9">
            <w:pPr>
              <w:jc w:val="center"/>
              <w:rPr>
                <w:rFonts w:ascii="Arial" w:hAnsi="Arial" w:cs="Arial"/>
                <w:b/>
                <w:sz w:val="18"/>
                <w:szCs w:val="18"/>
              </w:rPr>
            </w:pPr>
          </w:p>
        </w:tc>
        <w:tc>
          <w:tcPr>
            <w:tcW w:w="1431" w:type="dxa"/>
            <w:tcBorders>
              <w:top w:val="single" w:sz="4" w:space="0" w:color="auto"/>
              <w:left w:val="nil"/>
              <w:bottom w:val="nil"/>
              <w:right w:val="nil"/>
            </w:tcBorders>
            <w:shd w:val="clear" w:color="auto" w:fill="auto"/>
            <w:vAlign w:val="bottom"/>
          </w:tcPr>
          <w:p w:rsidR="00934304" w:rsidRPr="008D6443" w:rsidRDefault="00934304" w:rsidP="00A21BD9">
            <w:pPr>
              <w:jc w:val="center"/>
              <w:rPr>
                <w:rFonts w:ascii="Arial" w:hAnsi="Arial" w:cs="Arial"/>
                <w:b/>
                <w:sz w:val="18"/>
                <w:szCs w:val="18"/>
              </w:rPr>
            </w:pPr>
          </w:p>
        </w:tc>
        <w:tc>
          <w:tcPr>
            <w:tcW w:w="1656" w:type="dxa"/>
            <w:tcBorders>
              <w:top w:val="single" w:sz="4" w:space="0" w:color="auto"/>
              <w:left w:val="nil"/>
              <w:bottom w:val="nil"/>
              <w:right w:val="nil"/>
            </w:tcBorders>
            <w:shd w:val="clear" w:color="auto" w:fill="auto"/>
            <w:vAlign w:val="bottom"/>
          </w:tcPr>
          <w:p w:rsidR="00934304" w:rsidRPr="008D6443" w:rsidRDefault="00934304" w:rsidP="00A21BD9">
            <w:pPr>
              <w:jc w:val="center"/>
              <w:rPr>
                <w:rFonts w:ascii="Arial" w:hAnsi="Arial" w:cs="Arial"/>
                <w:b/>
                <w:sz w:val="18"/>
                <w:szCs w:val="18"/>
              </w:rPr>
            </w:pPr>
          </w:p>
        </w:tc>
      </w:tr>
      <w:tr w:rsidR="008D6443" w:rsidRPr="008D6443">
        <w:trPr>
          <w:jc w:val="center"/>
        </w:trPr>
        <w:tc>
          <w:tcPr>
            <w:tcW w:w="2394" w:type="dxa"/>
            <w:tcBorders>
              <w:top w:val="nil"/>
              <w:left w:val="nil"/>
              <w:bottom w:val="nil"/>
              <w:right w:val="single" w:sz="4" w:space="0" w:color="auto"/>
            </w:tcBorders>
            <w:shd w:val="clear" w:color="auto" w:fill="auto"/>
            <w:vAlign w:val="bottom"/>
          </w:tcPr>
          <w:p w:rsidR="00997405" w:rsidRPr="008D6443" w:rsidRDefault="00997405" w:rsidP="00997405">
            <w:pPr>
              <w:rPr>
                <w:rFonts w:ascii="Arial" w:hAnsi="Arial" w:cs="Arial"/>
                <w:b/>
                <w:bCs/>
                <w:sz w:val="16"/>
                <w:szCs w:val="16"/>
              </w:rPr>
            </w:pPr>
            <w:r w:rsidRPr="008D6443">
              <w:rPr>
                <w:rFonts w:ascii="Arial" w:hAnsi="Arial" w:cs="Arial"/>
                <w:b/>
                <w:bCs/>
                <w:sz w:val="16"/>
                <w:szCs w:val="16"/>
              </w:rPr>
              <w:t>Republic of Serbia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56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161284</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33402</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100713</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27170</w:t>
            </w:r>
          </w:p>
        </w:tc>
      </w:tr>
      <w:tr w:rsidR="008D6443" w:rsidRPr="008D6443">
        <w:trPr>
          <w:trHeight w:val="101"/>
          <w:jc w:val="center"/>
        </w:trPr>
        <w:tc>
          <w:tcPr>
            <w:tcW w:w="2394" w:type="dxa"/>
            <w:tcBorders>
              <w:top w:val="nil"/>
              <w:left w:val="nil"/>
              <w:bottom w:val="nil"/>
              <w:right w:val="single" w:sz="4" w:space="0" w:color="auto"/>
            </w:tcBorders>
            <w:shd w:val="clear" w:color="auto" w:fill="auto"/>
            <w:vAlign w:val="bottom"/>
          </w:tcPr>
          <w:p w:rsidR="00997405" w:rsidRPr="008D6443" w:rsidRDefault="00997405" w:rsidP="00997405">
            <w:pPr>
              <w:rPr>
                <w:rFonts w:ascii="Arial" w:hAnsi="Arial" w:cs="Arial"/>
                <w:b/>
                <w:bCs/>
                <w:sz w:val="16"/>
                <w:szCs w:val="16"/>
              </w:rPr>
            </w:pPr>
            <w:r w:rsidRPr="008D6443">
              <w:rPr>
                <w:rFonts w:ascii="Arial" w:hAnsi="Arial" w:cs="Arial"/>
                <w:b/>
                <w:bCs/>
                <w:sz w:val="16"/>
                <w:szCs w:val="16"/>
              </w:rPr>
              <w:t>Vojvodina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57</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107196</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17569</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67401</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b/>
                <w:sz w:val="16"/>
                <w:szCs w:val="16"/>
              </w:rPr>
            </w:pPr>
            <w:r w:rsidRPr="008D6443">
              <w:rPr>
                <w:rFonts w:ascii="Arial" w:hAnsi="Arial" w:cs="Arial"/>
                <w:b/>
                <w:sz w:val="16"/>
                <w:szCs w:val="16"/>
              </w:rPr>
              <w:t>22226</w:t>
            </w:r>
          </w:p>
        </w:tc>
      </w:tr>
      <w:tr w:rsidR="008D6443" w:rsidRPr="008D6443" w:rsidTr="00431689">
        <w:trPr>
          <w:trHeight w:val="101"/>
          <w:jc w:val="center"/>
        </w:trPr>
        <w:tc>
          <w:tcPr>
            <w:tcW w:w="2394" w:type="dxa"/>
            <w:tcBorders>
              <w:top w:val="nil"/>
              <w:left w:val="nil"/>
              <w:bottom w:val="nil"/>
              <w:right w:val="single" w:sz="4" w:space="0" w:color="auto"/>
            </w:tcBorders>
            <w:shd w:val="clear" w:color="auto" w:fill="auto"/>
            <w:vAlign w:val="bottom"/>
          </w:tcPr>
          <w:p w:rsidR="00997405" w:rsidRPr="008D6443" w:rsidRDefault="00997405" w:rsidP="00997405">
            <w:pPr>
              <w:rPr>
                <w:rFonts w:ascii="Arial" w:hAnsi="Arial" w:cs="Arial"/>
                <w:sz w:val="16"/>
                <w:szCs w:val="16"/>
              </w:rPr>
            </w:pPr>
            <w:r w:rsidRPr="008D6443">
              <w:rPr>
                <w:rFonts w:ascii="Arial" w:hAnsi="Arial" w:cs="Arial"/>
                <w:sz w:val="16"/>
                <w:szCs w:val="16"/>
              </w:rPr>
              <w:t>Grad Beograd</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60</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222017</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51023</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135931</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35062</w:t>
            </w:r>
          </w:p>
        </w:tc>
      </w:tr>
      <w:tr w:rsidR="008D6443" w:rsidRPr="008D6443" w:rsidTr="00431689">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Bačka Palanka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59</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80026</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16493</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48763</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14770</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Valјevo</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52</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85605</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10586</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67803</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7216</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Velika Plana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74202</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6278</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66358</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1566</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Veliko Gradište</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62177</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12000</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42677</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7500</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Vrbas</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79428</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8277</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65910</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5242</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Vrnjačka Banja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42</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120765</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17348</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67684</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35733</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Vršac</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62</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98147</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12909</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59532</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25706</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Gornji Milanovac</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51</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98561</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17324</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70506</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10731</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Grad Vranje</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55</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85469</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8239</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55298</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21933</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Grad Niš</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51</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93852</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13810</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57926</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22116</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Grad Novi Sad</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57</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118976</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21458</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68795</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28724</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Grad Požarevac</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50</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88456</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9676</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63608</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15172</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Grad Užice</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55</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111411</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28267</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52479</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30665</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Zrenjanin</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67</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91780</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17146</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61296</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13338</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Jagodina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48</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76619</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6475</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56612</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13532</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Kladovo</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59</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93220</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12072</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39950</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41198</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Kragujevac</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51</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103869</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14431</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77124</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12313</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Kralјevo</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50</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67367</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12066</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40028</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15273</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Kruševac</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70665</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12917</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46950</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10798</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 xml:space="preserve">Leskovac </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60</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79010</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1699</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62335</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14977</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Loznica</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73440</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3676</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61397</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8368</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Negotin</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88625</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1090</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62035</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25500</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Novi Pazar</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63</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97657</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27368</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59782</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10506</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Pančevo</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98175</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9543</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74730</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13902</w:t>
            </w:r>
          </w:p>
        </w:tc>
      </w:tr>
      <w:tr w:rsidR="008D6443" w:rsidRPr="008D6443">
        <w:trPr>
          <w:jc w:val="center"/>
        </w:trPr>
        <w:tc>
          <w:tcPr>
            <w:tcW w:w="2394"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Paraćin</w:t>
            </w:r>
          </w:p>
        </w:tc>
        <w:tc>
          <w:tcPr>
            <w:tcW w:w="1226"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70753</w:t>
            </w:r>
          </w:p>
        </w:tc>
        <w:tc>
          <w:tcPr>
            <w:tcW w:w="158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6642</w:t>
            </w:r>
          </w:p>
        </w:tc>
        <w:tc>
          <w:tcPr>
            <w:tcW w:w="1431"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54831</w:t>
            </w:r>
          </w:p>
        </w:tc>
        <w:tc>
          <w:tcPr>
            <w:tcW w:w="1656"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9281</w:t>
            </w:r>
          </w:p>
        </w:tc>
      </w:tr>
    </w:tbl>
    <w:p w:rsidR="0066478F" w:rsidRPr="008D6443" w:rsidRDefault="008D6443" w:rsidP="0066478F">
      <w:pPr>
        <w:pStyle w:val="Heading8"/>
        <w:spacing w:before="0"/>
        <w:rPr>
          <w:rFonts w:cs="Arial"/>
          <w:bCs w:val="0"/>
          <w:i/>
          <w:sz w:val="14"/>
          <w:szCs w:val="14"/>
          <w:lang w:val="en-GB"/>
        </w:rPr>
      </w:pPr>
      <w:r w:rsidRPr="008D6443">
        <w:rPr>
          <w:i/>
          <w:noProof/>
          <w:sz w:val="14"/>
          <w:szCs w:val="14"/>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1032510" cy="0"/>
                <wp:effectExtent l="5715" t="7620" r="9525"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584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8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VX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" strokeweight=".25pt"/>
            </w:pict>
          </mc:Fallback>
        </mc:AlternateContent>
      </w:r>
    </w:p>
    <w:p w:rsidR="00710ABF" w:rsidRPr="008D6443" w:rsidRDefault="0066478F" w:rsidP="00710ABF">
      <w:pPr>
        <w:pStyle w:val="Heading8"/>
        <w:jc w:val="left"/>
        <w:rPr>
          <w:rFonts w:cs="Arial"/>
          <w:b w:val="0"/>
          <w:sz w:val="14"/>
          <w:szCs w:val="14"/>
          <w:lang w:val="en-GB"/>
        </w:rPr>
      </w:pPr>
      <w:r w:rsidRPr="008D6443">
        <w:rPr>
          <w:rFonts w:cs="Arial"/>
          <w:sz w:val="14"/>
          <w:szCs w:val="14"/>
          <w:vertAlign w:val="superscript"/>
          <w:lang w:val="en-GB"/>
        </w:rPr>
        <w:t>1</w:t>
      </w:r>
      <w:r w:rsidRPr="008D6443">
        <w:rPr>
          <w:rFonts w:cs="Arial"/>
          <w:b w:val="0"/>
          <w:sz w:val="14"/>
          <w:szCs w:val="14"/>
          <w:vertAlign w:val="superscript"/>
          <w:lang w:val="en-GB"/>
        </w:rPr>
        <w:t>)</w:t>
      </w:r>
      <w:r w:rsidRPr="008D6443">
        <w:rPr>
          <w:rFonts w:cs="Arial"/>
          <w:b w:val="0"/>
          <w:sz w:val="14"/>
          <w:szCs w:val="14"/>
          <w:lang w:val="en-GB"/>
        </w:rPr>
        <w:t xml:space="preserve"> </w:t>
      </w:r>
      <w:r w:rsidR="00710ABF" w:rsidRPr="008D6443">
        <w:rPr>
          <w:rFonts w:cs="Arial"/>
          <w:b w:val="0"/>
          <w:sz w:val="14"/>
          <w:szCs w:val="14"/>
          <w:lang w:val="en-GB"/>
        </w:rPr>
        <w:t>Presented are only the data for selected cities where buying and selling has been carried out.</w:t>
      </w:r>
    </w:p>
    <w:p w:rsidR="00710ABF" w:rsidRPr="008D6443" w:rsidRDefault="00710ABF" w:rsidP="003C13F3">
      <w:pPr>
        <w:spacing w:line="233" w:lineRule="auto"/>
        <w:rPr>
          <w:rFonts w:ascii="Arial" w:hAnsi="Arial" w:cs="Arial"/>
          <w:b/>
          <w:bCs/>
          <w:sz w:val="20"/>
          <w:szCs w:val="20"/>
        </w:rPr>
      </w:pPr>
    </w:p>
    <w:p w:rsidR="00320D51" w:rsidRDefault="00320D51" w:rsidP="003C13F3">
      <w:pPr>
        <w:spacing w:line="233" w:lineRule="auto"/>
        <w:rPr>
          <w:rFonts w:ascii="Arial" w:hAnsi="Arial" w:cs="Arial"/>
          <w:b/>
          <w:bCs/>
          <w:sz w:val="20"/>
          <w:szCs w:val="20"/>
        </w:rPr>
      </w:pPr>
    </w:p>
    <w:p w:rsidR="00934304" w:rsidRPr="008D6443" w:rsidRDefault="00934304" w:rsidP="003C13F3">
      <w:pPr>
        <w:spacing w:line="233" w:lineRule="auto"/>
        <w:rPr>
          <w:rFonts w:ascii="Arial" w:hAnsi="Arial" w:cs="Arial"/>
          <w:bCs/>
          <w:sz w:val="20"/>
        </w:rPr>
      </w:pPr>
      <w:r w:rsidRPr="008D6443">
        <w:rPr>
          <w:rFonts w:ascii="Arial" w:hAnsi="Arial" w:cs="Arial"/>
          <w:b/>
          <w:bCs/>
          <w:sz w:val="20"/>
          <w:szCs w:val="20"/>
        </w:rPr>
        <w:lastRenderedPageBreak/>
        <w:t>1. Prices of dwellings of new construction</w:t>
      </w:r>
      <w:r w:rsidRPr="008D6443">
        <w:rPr>
          <w:rFonts w:ascii="Arial" w:hAnsi="Arial" w:cs="Arial"/>
          <w:b/>
          <w:bCs/>
          <w:sz w:val="28"/>
          <w:szCs w:val="28"/>
        </w:rPr>
        <w:t xml:space="preserve"> </w:t>
      </w:r>
      <w:r w:rsidRPr="008D6443">
        <w:rPr>
          <w:rFonts w:ascii="Arial" w:hAnsi="Arial" w:cs="Arial"/>
          <w:b/>
          <w:bCs/>
          <w:sz w:val="20"/>
          <w:szCs w:val="20"/>
        </w:rPr>
        <w:t xml:space="preserve">in </w:t>
      </w:r>
      <w:r w:rsidR="0066478F" w:rsidRPr="008D6443">
        <w:rPr>
          <w:rFonts w:ascii="Arial" w:hAnsi="Arial" w:cs="Arial"/>
          <w:b/>
          <w:bCs/>
          <w:sz w:val="20"/>
          <w:szCs w:val="20"/>
        </w:rPr>
        <w:t>201</w:t>
      </w:r>
      <w:r w:rsidR="00997405" w:rsidRPr="008D6443">
        <w:rPr>
          <w:rFonts w:ascii="Arial" w:hAnsi="Arial" w:cs="Arial"/>
          <w:b/>
          <w:bCs/>
          <w:sz w:val="20"/>
          <w:szCs w:val="20"/>
        </w:rPr>
        <w:t>7</w:t>
      </w:r>
      <w:r w:rsidR="0066478F" w:rsidRPr="008D6443">
        <w:rPr>
          <w:rFonts w:ascii="Arial" w:hAnsi="Arial" w:cs="Arial"/>
          <w:b/>
          <w:bCs/>
          <w:sz w:val="20"/>
          <w:szCs w:val="20"/>
          <w:vertAlign w:val="superscript"/>
        </w:rPr>
        <w:t>1)</w:t>
      </w:r>
      <w:r w:rsidR="00341276" w:rsidRPr="008D6443">
        <w:rPr>
          <w:rFonts w:ascii="Arial" w:hAnsi="Arial" w:cs="Arial"/>
          <w:b/>
          <w:bCs/>
          <w:sz w:val="20"/>
          <w:szCs w:val="20"/>
          <w:vertAlign w:val="superscript"/>
        </w:rPr>
        <w:t xml:space="preserve">  </w:t>
      </w:r>
      <w:r w:rsidRPr="008D6443">
        <w:rPr>
          <w:rFonts w:ascii="Arial" w:hAnsi="Arial" w:cs="Arial"/>
          <w:b/>
          <w:bCs/>
          <w:sz w:val="20"/>
          <w:szCs w:val="20"/>
        </w:rPr>
        <w:t xml:space="preserve"> </w:t>
      </w:r>
      <w:r w:rsidRPr="008D6443">
        <w:rPr>
          <w:rFonts w:ascii="Arial" w:hAnsi="Arial" w:cs="Arial"/>
          <w:bCs/>
          <w:sz w:val="20"/>
          <w:szCs w:val="20"/>
        </w:rPr>
        <w:t>(continued)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08"/>
        <w:gridCol w:w="1111"/>
        <w:gridCol w:w="1407"/>
        <w:gridCol w:w="1599"/>
        <w:gridCol w:w="1645"/>
        <w:gridCol w:w="1425"/>
      </w:tblGrid>
      <w:tr w:rsidR="008D6443" w:rsidRPr="008D6443">
        <w:trPr>
          <w:jc w:val="center"/>
        </w:trPr>
        <w:tc>
          <w:tcPr>
            <w:tcW w:w="2508" w:type="dxa"/>
            <w:vMerge w:val="restart"/>
            <w:tcBorders>
              <w:left w:val="nil"/>
            </w:tcBorders>
            <w:shd w:val="clear" w:color="auto" w:fill="auto"/>
            <w:vAlign w:val="center"/>
          </w:tcPr>
          <w:p w:rsidR="00934304" w:rsidRPr="008D6443" w:rsidRDefault="00934304" w:rsidP="00A21BD9">
            <w:pPr>
              <w:pStyle w:val="Heading8"/>
              <w:spacing w:line="233" w:lineRule="auto"/>
              <w:rPr>
                <w:rFonts w:cs="Arial"/>
                <w:b w:val="0"/>
                <w:szCs w:val="16"/>
                <w:lang w:val="en-GB"/>
              </w:rPr>
            </w:pPr>
          </w:p>
        </w:tc>
        <w:tc>
          <w:tcPr>
            <w:tcW w:w="1111" w:type="dxa"/>
            <w:vMerge w:val="restart"/>
            <w:shd w:val="clear" w:color="auto" w:fill="auto"/>
            <w:vAlign w:val="center"/>
          </w:tcPr>
          <w:p w:rsidR="00934304" w:rsidRPr="008D6443" w:rsidRDefault="00934304" w:rsidP="00A21BD9">
            <w:pPr>
              <w:pStyle w:val="Heading8"/>
              <w:spacing w:line="233" w:lineRule="auto"/>
              <w:rPr>
                <w:rFonts w:cs="Arial"/>
                <w:b w:val="0"/>
                <w:szCs w:val="16"/>
                <w:lang w:val="en-GB"/>
              </w:rPr>
            </w:pPr>
            <w:r w:rsidRPr="008D6443">
              <w:rPr>
                <w:rFonts w:cs="Arial"/>
                <w:b w:val="0"/>
                <w:szCs w:val="16"/>
                <w:lang w:val="en-GB"/>
              </w:rPr>
              <w:t>Average dwellings</w:t>
            </w:r>
            <w:r w:rsidR="00317380" w:rsidRPr="008D6443">
              <w:rPr>
                <w:rFonts w:cs="Arial"/>
                <w:b w:val="0"/>
                <w:szCs w:val="16"/>
                <w:lang w:val="en-GB"/>
              </w:rPr>
              <w:t xml:space="preserve"> </w:t>
            </w:r>
            <w:r w:rsidRPr="008D6443">
              <w:rPr>
                <w:rFonts w:cs="Arial"/>
                <w:b w:val="0"/>
                <w:szCs w:val="16"/>
                <w:lang w:val="en-GB"/>
              </w:rPr>
              <w:t>area in m²</w:t>
            </w:r>
          </w:p>
        </w:tc>
        <w:tc>
          <w:tcPr>
            <w:tcW w:w="1407" w:type="dxa"/>
            <w:vMerge w:val="restart"/>
            <w:shd w:val="clear" w:color="auto" w:fill="auto"/>
            <w:vAlign w:val="center"/>
          </w:tcPr>
          <w:p w:rsidR="00934304" w:rsidRPr="008D6443" w:rsidRDefault="00934304" w:rsidP="00A21BD9">
            <w:pPr>
              <w:spacing w:line="233" w:lineRule="auto"/>
              <w:jc w:val="center"/>
              <w:rPr>
                <w:rFonts w:ascii="Arial" w:hAnsi="Arial" w:cs="Arial"/>
                <w:sz w:val="16"/>
                <w:szCs w:val="16"/>
              </w:rPr>
            </w:pPr>
            <w:r w:rsidRPr="008D6443">
              <w:rPr>
                <w:rFonts w:ascii="Arial" w:hAnsi="Arial" w:cs="Arial"/>
                <w:sz w:val="16"/>
                <w:szCs w:val="16"/>
              </w:rPr>
              <w:t xml:space="preserve">Price by 1 </w:t>
            </w:r>
            <w:r w:rsidRPr="008D6443">
              <w:rPr>
                <w:rFonts w:ascii="Arial" w:hAnsi="Arial" w:cs="Arial"/>
                <w:bCs/>
                <w:sz w:val="16"/>
                <w:szCs w:val="16"/>
              </w:rPr>
              <w:t>m²                             in RSD, total</w:t>
            </w:r>
          </w:p>
        </w:tc>
        <w:tc>
          <w:tcPr>
            <w:tcW w:w="4669" w:type="dxa"/>
            <w:gridSpan w:val="3"/>
            <w:tcBorders>
              <w:bottom w:val="nil"/>
              <w:right w:val="nil"/>
            </w:tcBorders>
            <w:shd w:val="clear" w:color="auto" w:fill="auto"/>
            <w:vAlign w:val="center"/>
          </w:tcPr>
          <w:p w:rsidR="00934304" w:rsidRPr="008D6443" w:rsidRDefault="00934304" w:rsidP="00A21BD9">
            <w:pPr>
              <w:pStyle w:val="Heading8"/>
              <w:spacing w:line="233" w:lineRule="auto"/>
              <w:rPr>
                <w:rFonts w:cs="Arial"/>
                <w:b w:val="0"/>
                <w:szCs w:val="16"/>
                <w:lang w:val="en-GB"/>
              </w:rPr>
            </w:pPr>
            <w:r w:rsidRPr="008D6443">
              <w:rPr>
                <w:rFonts w:cs="Arial"/>
                <w:b w:val="0"/>
                <w:szCs w:val="16"/>
                <w:lang w:val="en-GB"/>
              </w:rPr>
              <w:t xml:space="preserve">Оf which: </w:t>
            </w:r>
          </w:p>
        </w:tc>
      </w:tr>
      <w:tr w:rsidR="008D6443" w:rsidRPr="008D6443">
        <w:trPr>
          <w:trHeight w:val="553"/>
          <w:jc w:val="center"/>
        </w:trPr>
        <w:tc>
          <w:tcPr>
            <w:tcW w:w="2508" w:type="dxa"/>
            <w:vMerge/>
            <w:tcBorders>
              <w:left w:val="nil"/>
              <w:bottom w:val="single" w:sz="4" w:space="0" w:color="auto"/>
            </w:tcBorders>
            <w:shd w:val="clear" w:color="auto" w:fill="auto"/>
            <w:vAlign w:val="center"/>
          </w:tcPr>
          <w:p w:rsidR="00934304" w:rsidRPr="008D6443" w:rsidRDefault="00934304" w:rsidP="00A21BD9">
            <w:pPr>
              <w:pStyle w:val="Heading8"/>
              <w:spacing w:line="233" w:lineRule="auto"/>
              <w:rPr>
                <w:rFonts w:cs="Arial"/>
                <w:b w:val="0"/>
                <w:szCs w:val="16"/>
                <w:lang w:val="en-GB"/>
              </w:rPr>
            </w:pPr>
          </w:p>
        </w:tc>
        <w:tc>
          <w:tcPr>
            <w:tcW w:w="1111" w:type="dxa"/>
            <w:vMerge/>
            <w:tcBorders>
              <w:bottom w:val="single" w:sz="4" w:space="0" w:color="auto"/>
            </w:tcBorders>
            <w:shd w:val="clear" w:color="auto" w:fill="auto"/>
            <w:vAlign w:val="center"/>
          </w:tcPr>
          <w:p w:rsidR="00934304" w:rsidRPr="008D6443" w:rsidRDefault="00934304" w:rsidP="00A21BD9">
            <w:pPr>
              <w:pStyle w:val="Heading8"/>
              <w:spacing w:line="233" w:lineRule="auto"/>
              <w:rPr>
                <w:rFonts w:cs="Arial"/>
                <w:b w:val="0"/>
                <w:szCs w:val="16"/>
                <w:lang w:val="en-GB"/>
              </w:rPr>
            </w:pPr>
          </w:p>
        </w:tc>
        <w:tc>
          <w:tcPr>
            <w:tcW w:w="1407" w:type="dxa"/>
            <w:vMerge/>
            <w:tcBorders>
              <w:bottom w:val="single" w:sz="4" w:space="0" w:color="auto"/>
            </w:tcBorders>
            <w:shd w:val="clear" w:color="auto" w:fill="auto"/>
            <w:vAlign w:val="center"/>
          </w:tcPr>
          <w:p w:rsidR="00934304" w:rsidRPr="008D6443" w:rsidRDefault="00934304" w:rsidP="00A21BD9">
            <w:pPr>
              <w:pStyle w:val="Heading8"/>
              <w:spacing w:line="233" w:lineRule="auto"/>
              <w:rPr>
                <w:rFonts w:cs="Arial"/>
                <w:b w:val="0"/>
                <w:szCs w:val="16"/>
                <w:lang w:val="en-GB"/>
              </w:rPr>
            </w:pPr>
          </w:p>
        </w:tc>
        <w:tc>
          <w:tcPr>
            <w:tcW w:w="1599" w:type="dxa"/>
            <w:tcBorders>
              <w:bottom w:val="single" w:sz="4" w:space="0" w:color="auto"/>
            </w:tcBorders>
            <w:shd w:val="clear" w:color="auto" w:fill="auto"/>
            <w:vAlign w:val="center"/>
          </w:tcPr>
          <w:p w:rsidR="00934304" w:rsidRPr="008D6443" w:rsidRDefault="00B82FCC" w:rsidP="00A21BD9">
            <w:pPr>
              <w:pStyle w:val="Heading8"/>
              <w:spacing w:line="233" w:lineRule="auto"/>
              <w:rPr>
                <w:rFonts w:cs="Arial"/>
                <w:b w:val="0"/>
                <w:szCs w:val="16"/>
                <w:lang w:val="en-GB"/>
              </w:rPr>
            </w:pPr>
            <w:r w:rsidRPr="008D6443">
              <w:rPr>
                <w:rFonts w:cs="Arial"/>
                <w:b w:val="0"/>
                <w:szCs w:val="16"/>
                <w:lang w:val="en-GB"/>
              </w:rPr>
              <w:t>P</w:t>
            </w:r>
            <w:r w:rsidR="00934304" w:rsidRPr="008D6443">
              <w:rPr>
                <w:rFonts w:cs="Arial"/>
                <w:b w:val="0"/>
                <w:szCs w:val="16"/>
                <w:lang w:val="en-GB"/>
              </w:rPr>
              <w:t>rice of construction            land</w:t>
            </w:r>
          </w:p>
        </w:tc>
        <w:tc>
          <w:tcPr>
            <w:tcW w:w="1645" w:type="dxa"/>
            <w:tcBorders>
              <w:bottom w:val="single" w:sz="4" w:space="0" w:color="auto"/>
            </w:tcBorders>
            <w:shd w:val="clear" w:color="auto" w:fill="auto"/>
            <w:vAlign w:val="center"/>
          </w:tcPr>
          <w:p w:rsidR="00934304" w:rsidRPr="008D6443" w:rsidRDefault="00B82FCC" w:rsidP="00A21BD9">
            <w:pPr>
              <w:pStyle w:val="Heading8"/>
              <w:spacing w:line="233" w:lineRule="auto"/>
              <w:rPr>
                <w:rFonts w:cs="Arial"/>
                <w:b w:val="0"/>
                <w:szCs w:val="16"/>
                <w:lang w:val="en-GB"/>
              </w:rPr>
            </w:pPr>
            <w:r w:rsidRPr="008D6443">
              <w:rPr>
                <w:rFonts w:cs="Arial"/>
                <w:b w:val="0"/>
                <w:szCs w:val="16"/>
                <w:lang w:val="en-GB"/>
              </w:rPr>
              <w:t>P</w:t>
            </w:r>
            <w:r w:rsidR="00934304" w:rsidRPr="008D6443">
              <w:rPr>
                <w:rFonts w:cs="Arial"/>
                <w:b w:val="0"/>
                <w:szCs w:val="16"/>
                <w:lang w:val="en-GB"/>
              </w:rPr>
              <w:t xml:space="preserve">rice of construction </w:t>
            </w:r>
            <w:r w:rsidR="00934304" w:rsidRPr="008D6443">
              <w:rPr>
                <w:rFonts w:cs="Arial"/>
                <w:b w:val="0"/>
                <w:bCs w:val="0"/>
                <w:szCs w:val="16"/>
                <w:lang w:val="en-GB"/>
              </w:rPr>
              <w:t>works</w:t>
            </w:r>
          </w:p>
        </w:tc>
        <w:tc>
          <w:tcPr>
            <w:tcW w:w="1425" w:type="dxa"/>
            <w:tcBorders>
              <w:bottom w:val="single" w:sz="4" w:space="0" w:color="auto"/>
              <w:right w:val="nil"/>
            </w:tcBorders>
            <w:shd w:val="clear" w:color="auto" w:fill="auto"/>
            <w:vAlign w:val="center"/>
          </w:tcPr>
          <w:p w:rsidR="00934304" w:rsidRPr="008D6443" w:rsidRDefault="00B82FCC" w:rsidP="00A21BD9">
            <w:pPr>
              <w:pStyle w:val="Heading8"/>
              <w:spacing w:line="233" w:lineRule="auto"/>
              <w:rPr>
                <w:rFonts w:cs="Arial"/>
                <w:b w:val="0"/>
                <w:szCs w:val="16"/>
                <w:lang w:val="en-GB"/>
              </w:rPr>
            </w:pPr>
            <w:r w:rsidRPr="008D6443">
              <w:rPr>
                <w:rFonts w:cs="Arial"/>
                <w:b w:val="0"/>
                <w:szCs w:val="16"/>
                <w:lang w:val="en-GB"/>
              </w:rPr>
              <w:t>O</w:t>
            </w:r>
            <w:r w:rsidR="00934304" w:rsidRPr="008D6443">
              <w:rPr>
                <w:rFonts w:cs="Arial"/>
                <w:b w:val="0"/>
                <w:szCs w:val="16"/>
                <w:lang w:val="en-GB"/>
              </w:rPr>
              <w:t xml:space="preserve">ther </w:t>
            </w:r>
            <w:r w:rsidR="0082330C">
              <w:rPr>
                <w:rFonts w:cs="Arial"/>
                <w:b w:val="0"/>
                <w:szCs w:val="16"/>
                <w:lang w:val="en-GB"/>
              </w:rPr>
              <w:t xml:space="preserve">                                </w:t>
            </w:r>
            <w:r w:rsidR="00934304" w:rsidRPr="008D6443">
              <w:rPr>
                <w:rFonts w:cs="Arial"/>
                <w:b w:val="0"/>
                <w:bCs w:val="0"/>
                <w:szCs w:val="16"/>
                <w:lang w:val="en-GB"/>
              </w:rPr>
              <w:t>expenditures</w:t>
            </w:r>
            <w:r w:rsidR="00934304" w:rsidRPr="008D6443">
              <w:rPr>
                <w:rFonts w:cs="Arial"/>
                <w:b w:val="0"/>
                <w:szCs w:val="16"/>
                <w:lang w:val="en-GB"/>
              </w:rPr>
              <w:t xml:space="preserve"> </w:t>
            </w:r>
          </w:p>
        </w:tc>
      </w:tr>
      <w:tr w:rsidR="008D6443" w:rsidRPr="008D6443">
        <w:trPr>
          <w:jc w:val="center"/>
        </w:trPr>
        <w:tc>
          <w:tcPr>
            <w:tcW w:w="2508" w:type="dxa"/>
            <w:tcBorders>
              <w:top w:val="nil"/>
              <w:left w:val="nil"/>
              <w:bottom w:val="nil"/>
              <w:right w:val="single" w:sz="4" w:space="0" w:color="auto"/>
            </w:tcBorders>
            <w:shd w:val="clear" w:color="auto" w:fill="auto"/>
            <w:vAlign w:val="bottom"/>
          </w:tcPr>
          <w:p w:rsidR="00934304" w:rsidRPr="008D6443" w:rsidRDefault="00934304" w:rsidP="00A32090">
            <w:pPr>
              <w:spacing w:line="233" w:lineRule="auto"/>
              <w:rPr>
                <w:rFonts w:ascii="Arial" w:hAnsi="Arial" w:cs="Arial"/>
                <w:sz w:val="16"/>
                <w:szCs w:val="16"/>
              </w:rPr>
            </w:pPr>
          </w:p>
        </w:tc>
        <w:tc>
          <w:tcPr>
            <w:tcW w:w="1111" w:type="dxa"/>
            <w:tcBorders>
              <w:top w:val="nil"/>
              <w:left w:val="single" w:sz="4" w:space="0" w:color="auto"/>
              <w:bottom w:val="nil"/>
              <w:right w:val="nil"/>
            </w:tcBorders>
            <w:shd w:val="clear" w:color="auto" w:fill="auto"/>
            <w:vAlign w:val="bottom"/>
          </w:tcPr>
          <w:p w:rsidR="00934304" w:rsidRPr="008D6443" w:rsidRDefault="00934304" w:rsidP="00A32090">
            <w:pPr>
              <w:spacing w:line="233" w:lineRule="auto"/>
              <w:rPr>
                <w:rFonts w:ascii="Arial" w:hAnsi="Arial" w:cs="Arial"/>
                <w:sz w:val="16"/>
                <w:szCs w:val="16"/>
              </w:rPr>
            </w:pPr>
          </w:p>
        </w:tc>
        <w:tc>
          <w:tcPr>
            <w:tcW w:w="1407" w:type="dxa"/>
            <w:tcBorders>
              <w:top w:val="nil"/>
              <w:left w:val="nil"/>
              <w:bottom w:val="nil"/>
              <w:right w:val="nil"/>
            </w:tcBorders>
            <w:shd w:val="clear" w:color="auto" w:fill="auto"/>
          </w:tcPr>
          <w:p w:rsidR="00934304" w:rsidRPr="008D6443" w:rsidRDefault="00934304" w:rsidP="00A32090">
            <w:pPr>
              <w:pStyle w:val="Heading8"/>
              <w:spacing w:before="0" w:after="0" w:line="233" w:lineRule="auto"/>
              <w:jc w:val="left"/>
              <w:rPr>
                <w:rFonts w:cs="Arial"/>
                <w:b w:val="0"/>
                <w:szCs w:val="16"/>
                <w:lang w:val="en-GB"/>
              </w:rPr>
            </w:pPr>
          </w:p>
        </w:tc>
        <w:tc>
          <w:tcPr>
            <w:tcW w:w="1599" w:type="dxa"/>
            <w:tcBorders>
              <w:top w:val="nil"/>
              <w:left w:val="nil"/>
              <w:bottom w:val="nil"/>
              <w:right w:val="nil"/>
            </w:tcBorders>
            <w:shd w:val="clear" w:color="auto" w:fill="auto"/>
          </w:tcPr>
          <w:p w:rsidR="00934304" w:rsidRPr="008D6443" w:rsidRDefault="00934304" w:rsidP="00A32090">
            <w:pPr>
              <w:pStyle w:val="Heading8"/>
              <w:spacing w:before="0" w:after="0" w:line="233" w:lineRule="auto"/>
              <w:jc w:val="left"/>
              <w:rPr>
                <w:rFonts w:cs="Arial"/>
                <w:b w:val="0"/>
                <w:szCs w:val="16"/>
                <w:lang w:val="en-GB"/>
              </w:rPr>
            </w:pPr>
          </w:p>
        </w:tc>
        <w:tc>
          <w:tcPr>
            <w:tcW w:w="1645" w:type="dxa"/>
            <w:tcBorders>
              <w:top w:val="nil"/>
              <w:left w:val="nil"/>
              <w:bottom w:val="nil"/>
              <w:right w:val="nil"/>
            </w:tcBorders>
            <w:shd w:val="clear" w:color="auto" w:fill="auto"/>
          </w:tcPr>
          <w:p w:rsidR="00934304" w:rsidRPr="008D6443" w:rsidRDefault="00934304" w:rsidP="00A32090">
            <w:pPr>
              <w:pStyle w:val="Heading8"/>
              <w:spacing w:before="0" w:after="0" w:line="233" w:lineRule="auto"/>
              <w:jc w:val="left"/>
              <w:rPr>
                <w:rFonts w:cs="Arial"/>
                <w:b w:val="0"/>
                <w:szCs w:val="16"/>
                <w:lang w:val="en-GB"/>
              </w:rPr>
            </w:pPr>
          </w:p>
        </w:tc>
        <w:tc>
          <w:tcPr>
            <w:tcW w:w="1425" w:type="dxa"/>
            <w:tcBorders>
              <w:top w:val="nil"/>
              <w:left w:val="nil"/>
              <w:bottom w:val="nil"/>
              <w:right w:val="nil"/>
            </w:tcBorders>
            <w:shd w:val="clear" w:color="auto" w:fill="auto"/>
          </w:tcPr>
          <w:p w:rsidR="00934304" w:rsidRPr="008D6443" w:rsidRDefault="00934304" w:rsidP="00A32090">
            <w:pPr>
              <w:pStyle w:val="Heading8"/>
              <w:spacing w:before="0" w:after="0" w:line="233" w:lineRule="auto"/>
              <w:jc w:val="left"/>
              <w:rPr>
                <w:rFonts w:cs="Arial"/>
                <w:b w:val="0"/>
                <w:szCs w:val="16"/>
                <w:lang w:val="en-GB"/>
              </w:rPr>
            </w:pP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Petrovac na Mlavi</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61</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62752</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2000</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57452</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3300</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Pirot</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81094</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9005</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55971</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16118</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Ruma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47</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74885</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14471</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46610</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13805</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Smederevo</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69</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91395</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11416</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70735</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9244</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Sokobanja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36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94412</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18445</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66526</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9441</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Sombor</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63</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72603</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7396</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56089</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9117</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Sremska Mitrovica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51</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87922</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13316</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56229</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18377</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Stara Pazova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77483</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8991</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57244</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11248</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Subotica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89048</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9776</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73569</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5703</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Trstenik</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76430</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7647</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61136</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7647</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Tutin</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68</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47643</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17215</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24473</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5955</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Ćuprija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72124</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8929</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59035</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4159</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Ub</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49</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77944</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12415</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55222</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10307</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Čajetina</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44</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160270</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25262</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94200</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40807</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Čačak</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52</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89206</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7605</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65542</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16060</w:t>
            </w:r>
          </w:p>
        </w:tc>
      </w:tr>
      <w:tr w:rsidR="008D6443" w:rsidRPr="008D6443">
        <w:trPr>
          <w:jc w:val="center"/>
        </w:trPr>
        <w:tc>
          <w:tcPr>
            <w:tcW w:w="2508" w:type="dxa"/>
            <w:tcBorders>
              <w:top w:val="nil"/>
              <w:left w:val="nil"/>
              <w:bottom w:val="nil"/>
              <w:right w:val="single" w:sz="4" w:space="0" w:color="auto"/>
            </w:tcBorders>
            <w:shd w:val="clear" w:color="auto" w:fill="auto"/>
          </w:tcPr>
          <w:p w:rsidR="00997405" w:rsidRPr="008D6443" w:rsidRDefault="00997405" w:rsidP="00997405">
            <w:pPr>
              <w:rPr>
                <w:rFonts w:ascii="Arial" w:hAnsi="Arial" w:cs="Arial"/>
                <w:sz w:val="16"/>
                <w:szCs w:val="16"/>
              </w:rPr>
            </w:pPr>
            <w:r w:rsidRPr="008D6443">
              <w:rPr>
                <w:rFonts w:ascii="Arial" w:hAnsi="Arial" w:cs="Arial"/>
                <w:sz w:val="16"/>
                <w:szCs w:val="16"/>
              </w:rPr>
              <w:t>Šabac</w:t>
            </w:r>
          </w:p>
        </w:tc>
        <w:tc>
          <w:tcPr>
            <w:tcW w:w="1111" w:type="dxa"/>
            <w:tcBorders>
              <w:top w:val="nil"/>
              <w:left w:val="single" w:sz="4" w:space="0" w:color="auto"/>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56</w:t>
            </w:r>
          </w:p>
        </w:tc>
        <w:tc>
          <w:tcPr>
            <w:tcW w:w="1407"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85260</w:t>
            </w:r>
          </w:p>
        </w:tc>
        <w:tc>
          <w:tcPr>
            <w:tcW w:w="1599"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14192</w:t>
            </w:r>
          </w:p>
        </w:tc>
        <w:tc>
          <w:tcPr>
            <w:tcW w:w="164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53060</w:t>
            </w:r>
          </w:p>
        </w:tc>
        <w:tc>
          <w:tcPr>
            <w:tcW w:w="1425" w:type="dxa"/>
            <w:tcBorders>
              <w:top w:val="nil"/>
              <w:left w:val="nil"/>
              <w:bottom w:val="nil"/>
              <w:right w:val="nil"/>
            </w:tcBorders>
            <w:shd w:val="clear" w:color="auto" w:fill="auto"/>
          </w:tcPr>
          <w:p w:rsidR="00997405" w:rsidRPr="008D6443" w:rsidRDefault="00997405" w:rsidP="00153B50">
            <w:pPr>
              <w:ind w:right="284"/>
              <w:jc w:val="right"/>
              <w:rPr>
                <w:rFonts w:ascii="Arial" w:hAnsi="Arial" w:cs="Arial"/>
                <w:sz w:val="16"/>
                <w:szCs w:val="16"/>
              </w:rPr>
            </w:pPr>
            <w:r w:rsidRPr="008D6443">
              <w:rPr>
                <w:rFonts w:ascii="Arial" w:hAnsi="Arial" w:cs="Arial"/>
                <w:sz w:val="16"/>
                <w:szCs w:val="16"/>
              </w:rPr>
              <w:t>18008</w:t>
            </w:r>
          </w:p>
        </w:tc>
      </w:tr>
    </w:tbl>
    <w:p w:rsidR="0066478F" w:rsidRPr="008D6443" w:rsidRDefault="008D6443" w:rsidP="0066478F">
      <w:pPr>
        <w:pStyle w:val="Heading8"/>
        <w:spacing w:before="0"/>
        <w:rPr>
          <w:rFonts w:cs="Arial"/>
          <w:bCs w:val="0"/>
          <w:i/>
          <w:sz w:val="14"/>
          <w:szCs w:val="14"/>
          <w:lang w:val="en-GB"/>
        </w:rPr>
      </w:pPr>
      <w:r w:rsidRPr="008D6443">
        <w:rPr>
          <w:i/>
          <w:noProof/>
          <w:sz w:val="14"/>
          <w:szCs w:val="14"/>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59690</wp:posOffset>
                </wp:positionV>
                <wp:extent cx="1032510" cy="0"/>
                <wp:effectExtent l="5715"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64E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8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eVEQIAACkEAAAOAAAAZHJzL2Uyb0RvYy54bWysU82O2jAQvlfqO1i+QxLIUj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" strokeweight=".25pt"/>
            </w:pict>
          </mc:Fallback>
        </mc:AlternateContent>
      </w:r>
    </w:p>
    <w:p w:rsidR="00710ABF" w:rsidRPr="008D6443" w:rsidRDefault="0066478F" w:rsidP="00710ABF">
      <w:pPr>
        <w:pStyle w:val="Heading8"/>
        <w:jc w:val="left"/>
        <w:rPr>
          <w:rFonts w:cs="Arial"/>
          <w:b w:val="0"/>
          <w:sz w:val="14"/>
          <w:szCs w:val="14"/>
          <w:lang w:val="en-GB"/>
        </w:rPr>
      </w:pPr>
      <w:r w:rsidRPr="008D6443">
        <w:rPr>
          <w:rFonts w:cs="Arial"/>
          <w:b w:val="0"/>
          <w:sz w:val="14"/>
          <w:szCs w:val="14"/>
          <w:vertAlign w:val="superscript"/>
          <w:lang w:val="en-GB"/>
        </w:rPr>
        <w:t>1)</w:t>
      </w:r>
      <w:r w:rsidRPr="008D6443">
        <w:rPr>
          <w:rFonts w:cs="Arial"/>
          <w:b w:val="0"/>
          <w:sz w:val="14"/>
          <w:szCs w:val="14"/>
          <w:lang w:val="en-GB"/>
        </w:rPr>
        <w:t xml:space="preserve"> </w:t>
      </w:r>
      <w:r w:rsidR="00710ABF" w:rsidRPr="008D6443">
        <w:rPr>
          <w:rFonts w:cs="Arial"/>
          <w:b w:val="0"/>
          <w:sz w:val="14"/>
          <w:szCs w:val="14"/>
          <w:lang w:val="en-GB"/>
        </w:rPr>
        <w:t>Presented are only the data for selected cities where buying and selling has been carried out.</w:t>
      </w:r>
    </w:p>
    <w:p w:rsidR="00317380" w:rsidRPr="008D6443" w:rsidRDefault="00317380" w:rsidP="00856C14">
      <w:pPr>
        <w:spacing w:line="228" w:lineRule="auto"/>
        <w:rPr>
          <w:rFonts w:ascii="Arial" w:hAnsi="Arial" w:cs="Arial"/>
          <w:b/>
          <w:sz w:val="20"/>
          <w:szCs w:val="20"/>
        </w:rPr>
      </w:pPr>
    </w:p>
    <w:p w:rsidR="003C13F3" w:rsidRPr="008D6443" w:rsidRDefault="003C13F3" w:rsidP="00856C14">
      <w:pPr>
        <w:spacing w:line="228" w:lineRule="auto"/>
        <w:rPr>
          <w:rFonts w:ascii="Arial" w:hAnsi="Arial" w:cs="Arial"/>
          <w:b/>
          <w:sz w:val="20"/>
          <w:szCs w:val="20"/>
        </w:rPr>
      </w:pPr>
    </w:p>
    <w:p w:rsidR="00317380" w:rsidRPr="008D6443" w:rsidRDefault="00317380" w:rsidP="00856C14">
      <w:pPr>
        <w:spacing w:line="228" w:lineRule="auto"/>
        <w:rPr>
          <w:rFonts w:ascii="Arial" w:hAnsi="Arial" w:cs="Arial"/>
          <w:b/>
          <w:sz w:val="20"/>
          <w:szCs w:val="20"/>
        </w:rPr>
      </w:pPr>
    </w:p>
    <w:p w:rsidR="00856C14" w:rsidRPr="008D6443" w:rsidRDefault="00856C14" w:rsidP="00A342B9">
      <w:pPr>
        <w:spacing w:line="228" w:lineRule="auto"/>
        <w:ind w:left="227" w:hanging="227"/>
        <w:rPr>
          <w:rFonts w:ascii="Arial" w:hAnsi="Arial" w:cs="Arial"/>
          <w:b/>
          <w:sz w:val="20"/>
          <w:szCs w:val="20"/>
        </w:rPr>
      </w:pPr>
      <w:r w:rsidRPr="008D6443">
        <w:rPr>
          <w:rFonts w:ascii="Arial" w:hAnsi="Arial" w:cs="Arial"/>
          <w:b/>
          <w:sz w:val="20"/>
          <w:szCs w:val="20"/>
        </w:rPr>
        <w:t>2.</w:t>
      </w:r>
      <w:r w:rsidRPr="008D6443">
        <w:rPr>
          <w:rFonts w:ascii="Arial" w:hAnsi="Arial" w:cs="Arial"/>
        </w:rPr>
        <w:t xml:space="preserve"> </w:t>
      </w:r>
      <w:r w:rsidRPr="008D6443">
        <w:rPr>
          <w:rFonts w:ascii="Arial" w:hAnsi="Arial" w:cs="Arial"/>
          <w:b/>
          <w:sz w:val="20"/>
          <w:szCs w:val="20"/>
        </w:rPr>
        <w:t xml:space="preserve">Average price of dwellings of new construction by </w:t>
      </w:r>
      <w:r w:rsidR="0082330C">
        <w:rPr>
          <w:rFonts w:ascii="Arial" w:hAnsi="Arial" w:cs="Arial"/>
          <w:b/>
          <w:sz w:val="20"/>
          <w:szCs w:val="20"/>
        </w:rPr>
        <w:t xml:space="preserve">                                                                                  </w:t>
      </w:r>
      <w:bookmarkStart w:id="0" w:name="_GoBack"/>
      <w:bookmarkEnd w:id="0"/>
      <w:r w:rsidRPr="008D6443">
        <w:rPr>
          <w:rFonts w:ascii="Arial" w:hAnsi="Arial" w:cs="Arial"/>
          <w:b/>
          <w:sz w:val="20"/>
          <w:szCs w:val="20"/>
        </w:rPr>
        <w:t>development level of local self-government units</w:t>
      </w:r>
      <w:r w:rsidR="0082330C" w:rsidRPr="008D6443">
        <w:rPr>
          <w:rFonts w:ascii="Arial" w:hAnsi="Arial" w:cs="Arial"/>
          <w:b/>
          <w:bCs/>
          <w:sz w:val="20"/>
          <w:szCs w:val="20"/>
          <w:vertAlign w:val="superscript"/>
        </w:rPr>
        <w:t>1)</w:t>
      </w:r>
      <w:r w:rsidR="008D6443" w:rsidRPr="008D6443">
        <w:rPr>
          <w:rFonts w:ascii="Arial" w:hAnsi="Arial" w:cs="Arial"/>
          <w:b/>
          <w:sz w:val="20"/>
          <w:szCs w:val="20"/>
        </w:rPr>
        <w:t>, 2017</w:t>
      </w:r>
    </w:p>
    <w:p w:rsidR="00856C14" w:rsidRPr="00EC4AD3" w:rsidRDefault="00856C14" w:rsidP="00856C14">
      <w:pPr>
        <w:spacing w:line="228" w:lineRule="auto"/>
        <w:rPr>
          <w:rFonts w:ascii="Arial" w:hAnsi="Arial" w:cs="Arial"/>
          <w:b/>
          <w:sz w:val="6"/>
          <w:szCs w:val="6"/>
        </w:rPr>
      </w:pPr>
    </w:p>
    <w:tbl>
      <w:tblPr>
        <w:tblW w:w="3515" w:type="dxa"/>
        <w:tblInd w:w="57" w:type="dxa"/>
        <w:tblCellMar>
          <w:left w:w="28" w:type="dxa"/>
          <w:right w:w="28" w:type="dxa"/>
        </w:tblCellMar>
        <w:tblLook w:val="0000" w:firstRow="0" w:lastRow="0" w:firstColumn="0" w:lastColumn="0" w:noHBand="0" w:noVBand="0"/>
      </w:tblPr>
      <w:tblGrid>
        <w:gridCol w:w="1240"/>
        <w:gridCol w:w="2275"/>
      </w:tblGrid>
      <w:tr w:rsidR="00856C14" w:rsidRPr="00EC4AD3">
        <w:trPr>
          <w:trHeight w:val="300"/>
        </w:trPr>
        <w:tc>
          <w:tcPr>
            <w:tcW w:w="1240" w:type="dxa"/>
            <w:tcBorders>
              <w:top w:val="single" w:sz="6" w:space="0" w:color="auto"/>
              <w:bottom w:val="single" w:sz="6" w:space="0" w:color="auto"/>
              <w:right w:val="single" w:sz="6" w:space="0" w:color="auto"/>
            </w:tcBorders>
            <w:shd w:val="clear" w:color="auto" w:fill="auto"/>
            <w:noWrap/>
            <w:vAlign w:val="bottom"/>
          </w:tcPr>
          <w:p w:rsidR="00856C14" w:rsidRPr="00EC4AD3" w:rsidRDefault="00856C14" w:rsidP="005F0C48">
            <w:pPr>
              <w:spacing w:before="120" w:after="120" w:line="228" w:lineRule="auto"/>
              <w:rPr>
                <w:rFonts w:ascii="Arial" w:hAnsi="Arial" w:cs="Arial"/>
                <w:sz w:val="16"/>
                <w:szCs w:val="16"/>
              </w:rPr>
            </w:pPr>
            <w:r w:rsidRPr="00EC4AD3">
              <w:rPr>
                <w:rFonts w:ascii="Arial" w:hAnsi="Arial" w:cs="Arial"/>
                <w:sz w:val="16"/>
                <w:szCs w:val="16"/>
              </w:rPr>
              <w:t> </w:t>
            </w:r>
          </w:p>
        </w:tc>
        <w:tc>
          <w:tcPr>
            <w:tcW w:w="2275" w:type="dxa"/>
            <w:tcBorders>
              <w:top w:val="single" w:sz="6" w:space="0" w:color="auto"/>
              <w:left w:val="single" w:sz="6" w:space="0" w:color="auto"/>
              <w:bottom w:val="single" w:sz="6" w:space="0" w:color="auto"/>
            </w:tcBorders>
            <w:shd w:val="clear" w:color="auto" w:fill="auto"/>
            <w:vAlign w:val="center"/>
          </w:tcPr>
          <w:p w:rsidR="00856C14" w:rsidRPr="00EC4AD3" w:rsidRDefault="00856C14" w:rsidP="005F0C48">
            <w:pPr>
              <w:spacing w:line="228" w:lineRule="auto"/>
              <w:jc w:val="center"/>
              <w:rPr>
                <w:rFonts w:ascii="Arial" w:hAnsi="Arial" w:cs="Arial"/>
                <w:sz w:val="16"/>
                <w:szCs w:val="16"/>
              </w:rPr>
            </w:pPr>
            <w:r w:rsidRPr="00EC4AD3">
              <w:rPr>
                <w:rFonts w:ascii="Arial" w:hAnsi="Arial" w:cs="Arial"/>
                <w:sz w:val="16"/>
                <w:szCs w:val="16"/>
              </w:rPr>
              <w:t>Average price by m², RSD</w:t>
            </w:r>
          </w:p>
        </w:tc>
      </w:tr>
      <w:tr w:rsidR="00856C14" w:rsidRPr="00EC4AD3">
        <w:trPr>
          <w:trHeight w:val="20"/>
        </w:trPr>
        <w:tc>
          <w:tcPr>
            <w:tcW w:w="1240" w:type="dxa"/>
            <w:tcBorders>
              <w:top w:val="single" w:sz="6" w:space="0" w:color="auto"/>
              <w:right w:val="single" w:sz="6" w:space="0" w:color="auto"/>
            </w:tcBorders>
            <w:shd w:val="clear" w:color="auto" w:fill="auto"/>
            <w:noWrap/>
            <w:vAlign w:val="bottom"/>
          </w:tcPr>
          <w:p w:rsidR="00856C14" w:rsidRPr="00EC4AD3" w:rsidRDefault="00856C14" w:rsidP="005F0C48">
            <w:pPr>
              <w:spacing w:line="228" w:lineRule="auto"/>
              <w:rPr>
                <w:rFonts w:ascii="Arial" w:hAnsi="Arial" w:cs="Arial"/>
                <w:sz w:val="16"/>
                <w:szCs w:val="16"/>
              </w:rPr>
            </w:pPr>
          </w:p>
        </w:tc>
        <w:tc>
          <w:tcPr>
            <w:tcW w:w="2275" w:type="dxa"/>
            <w:tcBorders>
              <w:top w:val="single" w:sz="6" w:space="0" w:color="auto"/>
              <w:left w:val="single" w:sz="6" w:space="0" w:color="auto"/>
            </w:tcBorders>
            <w:shd w:val="clear" w:color="auto" w:fill="auto"/>
            <w:noWrap/>
            <w:vAlign w:val="bottom"/>
          </w:tcPr>
          <w:p w:rsidR="00856C14" w:rsidRPr="00EC4AD3" w:rsidRDefault="00856C14" w:rsidP="005F0C48">
            <w:pPr>
              <w:spacing w:line="228" w:lineRule="auto"/>
              <w:ind w:right="567"/>
              <w:jc w:val="right"/>
              <w:rPr>
                <w:rFonts w:ascii="Arial" w:hAnsi="Arial" w:cs="Arial"/>
                <w:sz w:val="16"/>
                <w:szCs w:val="16"/>
              </w:rPr>
            </w:pPr>
          </w:p>
        </w:tc>
      </w:tr>
      <w:tr w:rsidR="00997405" w:rsidRPr="00EC4AD3">
        <w:trPr>
          <w:trHeight w:val="20"/>
        </w:trPr>
        <w:tc>
          <w:tcPr>
            <w:tcW w:w="1240" w:type="dxa"/>
            <w:tcBorders>
              <w:right w:val="single" w:sz="6" w:space="0" w:color="auto"/>
            </w:tcBorders>
            <w:shd w:val="clear" w:color="auto" w:fill="auto"/>
            <w:noWrap/>
            <w:vAlign w:val="bottom"/>
          </w:tcPr>
          <w:p w:rsidR="00997405" w:rsidRPr="00EC4AD3" w:rsidRDefault="00997405" w:rsidP="00997405">
            <w:pPr>
              <w:spacing w:line="228" w:lineRule="auto"/>
              <w:rPr>
                <w:rFonts w:ascii="Arial" w:hAnsi="Arial" w:cs="Arial"/>
                <w:sz w:val="16"/>
                <w:szCs w:val="16"/>
              </w:rPr>
            </w:pPr>
            <w:r w:rsidRPr="00EC4AD3">
              <w:rPr>
                <w:rFonts w:ascii="Arial" w:hAnsi="Arial" w:cs="Arial"/>
                <w:sz w:val="16"/>
                <w:szCs w:val="16"/>
              </w:rPr>
              <w:t>I group</w:t>
            </w:r>
          </w:p>
        </w:tc>
        <w:tc>
          <w:tcPr>
            <w:tcW w:w="2275" w:type="dxa"/>
            <w:tcBorders>
              <w:left w:val="single" w:sz="6" w:space="0" w:color="auto"/>
            </w:tcBorders>
            <w:shd w:val="clear" w:color="auto" w:fill="auto"/>
            <w:noWrap/>
          </w:tcPr>
          <w:p w:rsidR="00997405" w:rsidRPr="00EC4AD3" w:rsidRDefault="00997405" w:rsidP="00153B50">
            <w:pPr>
              <w:ind w:right="284"/>
              <w:jc w:val="right"/>
              <w:rPr>
                <w:rFonts w:ascii="Arial" w:hAnsi="Arial" w:cs="Arial"/>
                <w:sz w:val="16"/>
                <w:szCs w:val="16"/>
              </w:rPr>
            </w:pPr>
            <w:r w:rsidRPr="00EC4AD3">
              <w:rPr>
                <w:rFonts w:ascii="Arial" w:hAnsi="Arial" w:cs="Arial"/>
                <w:sz w:val="16"/>
                <w:szCs w:val="16"/>
              </w:rPr>
              <w:t>177510</w:t>
            </w:r>
          </w:p>
        </w:tc>
      </w:tr>
      <w:tr w:rsidR="00997405" w:rsidRPr="00EC4AD3">
        <w:trPr>
          <w:trHeight w:val="20"/>
        </w:trPr>
        <w:tc>
          <w:tcPr>
            <w:tcW w:w="1240" w:type="dxa"/>
            <w:tcBorders>
              <w:right w:val="single" w:sz="6" w:space="0" w:color="auto"/>
            </w:tcBorders>
            <w:shd w:val="clear" w:color="auto" w:fill="auto"/>
            <w:noWrap/>
            <w:vAlign w:val="bottom"/>
          </w:tcPr>
          <w:p w:rsidR="00997405" w:rsidRPr="00EC4AD3" w:rsidRDefault="00997405" w:rsidP="00997405">
            <w:pPr>
              <w:spacing w:line="228" w:lineRule="auto"/>
              <w:rPr>
                <w:rFonts w:ascii="Arial" w:hAnsi="Arial" w:cs="Arial"/>
                <w:sz w:val="16"/>
                <w:szCs w:val="16"/>
              </w:rPr>
            </w:pPr>
            <w:r w:rsidRPr="00EC4AD3">
              <w:rPr>
                <w:rFonts w:ascii="Arial" w:hAnsi="Arial" w:cs="Arial"/>
                <w:sz w:val="16"/>
                <w:szCs w:val="16"/>
              </w:rPr>
              <w:t>II group</w:t>
            </w:r>
          </w:p>
        </w:tc>
        <w:tc>
          <w:tcPr>
            <w:tcW w:w="2275" w:type="dxa"/>
            <w:tcBorders>
              <w:left w:val="single" w:sz="6" w:space="0" w:color="auto"/>
            </w:tcBorders>
            <w:shd w:val="clear" w:color="auto" w:fill="auto"/>
            <w:noWrap/>
          </w:tcPr>
          <w:p w:rsidR="00997405" w:rsidRPr="00EC4AD3" w:rsidRDefault="00997405" w:rsidP="00153B50">
            <w:pPr>
              <w:ind w:right="284"/>
              <w:jc w:val="right"/>
              <w:rPr>
                <w:rFonts w:ascii="Arial" w:hAnsi="Arial" w:cs="Arial"/>
                <w:sz w:val="16"/>
                <w:szCs w:val="16"/>
              </w:rPr>
            </w:pPr>
            <w:r w:rsidRPr="00EC4AD3">
              <w:rPr>
                <w:rFonts w:ascii="Arial" w:hAnsi="Arial" w:cs="Arial"/>
                <w:sz w:val="16"/>
                <w:szCs w:val="16"/>
              </w:rPr>
              <w:t>91308</w:t>
            </w:r>
          </w:p>
        </w:tc>
      </w:tr>
      <w:tr w:rsidR="00997405" w:rsidRPr="00EC4AD3">
        <w:trPr>
          <w:trHeight w:val="20"/>
        </w:trPr>
        <w:tc>
          <w:tcPr>
            <w:tcW w:w="1240" w:type="dxa"/>
            <w:tcBorders>
              <w:right w:val="single" w:sz="6" w:space="0" w:color="auto"/>
            </w:tcBorders>
            <w:shd w:val="clear" w:color="auto" w:fill="auto"/>
            <w:noWrap/>
            <w:vAlign w:val="bottom"/>
          </w:tcPr>
          <w:p w:rsidR="00997405" w:rsidRPr="00EC4AD3" w:rsidRDefault="00997405" w:rsidP="00997405">
            <w:pPr>
              <w:spacing w:line="228" w:lineRule="auto"/>
              <w:rPr>
                <w:rFonts w:ascii="Arial" w:hAnsi="Arial" w:cs="Arial"/>
                <w:sz w:val="16"/>
                <w:szCs w:val="16"/>
              </w:rPr>
            </w:pPr>
            <w:r w:rsidRPr="00EC4AD3">
              <w:rPr>
                <w:rFonts w:ascii="Arial" w:hAnsi="Arial" w:cs="Arial"/>
                <w:sz w:val="16"/>
                <w:szCs w:val="16"/>
              </w:rPr>
              <w:t>III group</w:t>
            </w:r>
          </w:p>
        </w:tc>
        <w:tc>
          <w:tcPr>
            <w:tcW w:w="2275" w:type="dxa"/>
            <w:tcBorders>
              <w:left w:val="single" w:sz="6" w:space="0" w:color="auto"/>
            </w:tcBorders>
            <w:shd w:val="clear" w:color="auto" w:fill="auto"/>
            <w:noWrap/>
          </w:tcPr>
          <w:p w:rsidR="00997405" w:rsidRPr="00EC4AD3" w:rsidRDefault="00997405" w:rsidP="00153B50">
            <w:pPr>
              <w:ind w:right="284"/>
              <w:jc w:val="right"/>
              <w:rPr>
                <w:rFonts w:ascii="Arial" w:hAnsi="Arial" w:cs="Arial"/>
                <w:sz w:val="16"/>
                <w:szCs w:val="16"/>
              </w:rPr>
            </w:pPr>
            <w:r w:rsidRPr="00EC4AD3">
              <w:rPr>
                <w:rFonts w:ascii="Arial" w:hAnsi="Arial" w:cs="Arial"/>
                <w:sz w:val="16"/>
                <w:szCs w:val="16"/>
              </w:rPr>
              <w:t>75093</w:t>
            </w:r>
          </w:p>
        </w:tc>
      </w:tr>
      <w:tr w:rsidR="00997405" w:rsidRPr="00EC4AD3">
        <w:trPr>
          <w:trHeight w:val="20"/>
        </w:trPr>
        <w:tc>
          <w:tcPr>
            <w:tcW w:w="1240" w:type="dxa"/>
            <w:tcBorders>
              <w:right w:val="single" w:sz="6" w:space="0" w:color="auto"/>
            </w:tcBorders>
            <w:shd w:val="clear" w:color="auto" w:fill="auto"/>
            <w:noWrap/>
            <w:vAlign w:val="bottom"/>
          </w:tcPr>
          <w:p w:rsidR="00997405" w:rsidRPr="00EC4AD3" w:rsidRDefault="00997405" w:rsidP="00997405">
            <w:pPr>
              <w:spacing w:line="228" w:lineRule="auto"/>
              <w:rPr>
                <w:rFonts w:ascii="Arial" w:hAnsi="Arial" w:cs="Arial"/>
                <w:sz w:val="16"/>
                <w:szCs w:val="16"/>
              </w:rPr>
            </w:pPr>
            <w:r w:rsidRPr="00EC4AD3">
              <w:rPr>
                <w:rFonts w:ascii="Arial" w:hAnsi="Arial" w:cs="Arial"/>
                <w:sz w:val="16"/>
                <w:szCs w:val="16"/>
              </w:rPr>
              <w:t>IV group</w:t>
            </w:r>
          </w:p>
        </w:tc>
        <w:tc>
          <w:tcPr>
            <w:tcW w:w="2275" w:type="dxa"/>
            <w:tcBorders>
              <w:left w:val="single" w:sz="6" w:space="0" w:color="auto"/>
            </w:tcBorders>
            <w:shd w:val="clear" w:color="auto" w:fill="auto"/>
            <w:noWrap/>
          </w:tcPr>
          <w:p w:rsidR="00997405" w:rsidRPr="00EC4AD3" w:rsidRDefault="00997405" w:rsidP="00153B50">
            <w:pPr>
              <w:ind w:right="284"/>
              <w:jc w:val="right"/>
              <w:rPr>
                <w:rFonts w:ascii="Arial" w:hAnsi="Arial" w:cs="Arial"/>
                <w:sz w:val="16"/>
                <w:szCs w:val="16"/>
              </w:rPr>
            </w:pPr>
            <w:r w:rsidRPr="00EC4AD3">
              <w:rPr>
                <w:rFonts w:ascii="Arial" w:hAnsi="Arial" w:cs="Arial"/>
                <w:sz w:val="16"/>
                <w:szCs w:val="16"/>
              </w:rPr>
              <w:t>58714</w:t>
            </w:r>
          </w:p>
        </w:tc>
      </w:tr>
    </w:tbl>
    <w:p w:rsidR="00856C14" w:rsidRPr="00EC4AD3" w:rsidRDefault="00856C14" w:rsidP="00856C14">
      <w:pPr>
        <w:spacing w:line="228" w:lineRule="auto"/>
        <w:rPr>
          <w:rFonts w:ascii="Arial" w:hAnsi="Arial" w:cs="Arial"/>
          <w:b/>
          <w:sz w:val="6"/>
          <w:szCs w:val="6"/>
        </w:rPr>
      </w:pPr>
    </w:p>
    <w:p w:rsidR="00856C14" w:rsidRPr="00EC4AD3" w:rsidRDefault="00856C14" w:rsidP="00856C14">
      <w:pPr>
        <w:pStyle w:val="Heading8"/>
        <w:spacing w:before="0" w:line="228" w:lineRule="auto"/>
        <w:rPr>
          <w:rFonts w:cs="Arial"/>
          <w:b w:val="0"/>
          <w:bCs w:val="0"/>
          <w:color w:val="000000"/>
          <w:sz w:val="14"/>
          <w:szCs w:val="14"/>
          <w:vertAlign w:val="superscript"/>
          <w:lang w:val="en-GB"/>
        </w:rPr>
      </w:pPr>
    </w:p>
    <w:p w:rsidR="00856C14" w:rsidRPr="00EC4AD3" w:rsidRDefault="00856C14" w:rsidP="003C13F3">
      <w:pPr>
        <w:pStyle w:val="Heading8"/>
        <w:spacing w:before="0" w:line="228" w:lineRule="auto"/>
        <w:ind w:left="142" w:hanging="142"/>
        <w:jc w:val="left"/>
        <w:rPr>
          <w:rFonts w:cs="Arial"/>
          <w:sz w:val="14"/>
          <w:szCs w:val="14"/>
          <w:lang w:val="en-GB"/>
        </w:rPr>
      </w:pPr>
      <w:r w:rsidRPr="00EC4AD3">
        <w:rPr>
          <w:rFonts w:cs="Arial"/>
          <w:b w:val="0"/>
          <w:bCs w:val="0"/>
          <w:color w:val="000000"/>
          <w:sz w:val="14"/>
          <w:szCs w:val="14"/>
          <w:vertAlign w:val="superscript"/>
          <w:lang w:val="en-GB"/>
        </w:rPr>
        <w:t>1)</w:t>
      </w:r>
      <w:r w:rsidR="008D6443" w:rsidRPr="00EC4AD3">
        <w:rPr>
          <w:rFonts w:cs="Arial"/>
          <w:b w:val="0"/>
          <w:bCs w:val="0"/>
          <w:noProof/>
          <w:color w:val="000000"/>
          <w:sz w:val="14"/>
          <w:szCs w:val="14"/>
          <w:vertAlign w:val="superscript"/>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-87630</wp:posOffset>
                </wp:positionV>
                <wp:extent cx="1032510" cy="0"/>
                <wp:effectExtent l="571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B47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8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fM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" strokeweight=".25pt"/>
            </w:pict>
          </mc:Fallback>
        </mc:AlternateContent>
      </w:r>
      <w:r w:rsidRPr="00EC4AD3">
        <w:rPr>
          <w:rFonts w:cs="Arial"/>
          <w:b w:val="0"/>
          <w:bCs w:val="0"/>
          <w:color w:val="000000"/>
          <w:sz w:val="14"/>
          <w:szCs w:val="14"/>
          <w:vertAlign w:val="superscript"/>
          <w:lang w:val="en-GB"/>
        </w:rPr>
        <w:t xml:space="preserve"> </w:t>
      </w:r>
      <w:r w:rsidRPr="00EC4AD3">
        <w:rPr>
          <w:rFonts w:cs="Arial"/>
          <w:b w:val="0"/>
          <w:sz w:val="14"/>
          <w:szCs w:val="14"/>
          <w:lang w:val="en-GB"/>
        </w:rPr>
        <w:t>Development level is set by the Regulation for determining the unique list of regions and local self-government units development for 2014</w:t>
      </w:r>
      <w:r w:rsidRPr="00EC4AD3">
        <w:rPr>
          <w:rFonts w:cs="Arial"/>
          <w:sz w:val="14"/>
          <w:szCs w:val="14"/>
          <w:lang w:val="en-GB"/>
        </w:rPr>
        <w:t xml:space="preserve">.  </w:t>
      </w:r>
    </w:p>
    <w:p w:rsidR="00856C14" w:rsidRPr="00EC4AD3" w:rsidRDefault="00856C14" w:rsidP="00856C14">
      <w:pPr>
        <w:spacing w:line="228" w:lineRule="auto"/>
        <w:rPr>
          <w:rFonts w:ascii="Arial" w:hAnsi="Arial" w:cs="Arial"/>
        </w:rPr>
      </w:pPr>
    </w:p>
    <w:p w:rsidR="00CF08A2" w:rsidRPr="00EC4AD3" w:rsidRDefault="00CF08A2" w:rsidP="00CF08A2">
      <w:pPr>
        <w:spacing w:line="233" w:lineRule="auto"/>
        <w:rPr>
          <w:rFonts w:cs="Arial"/>
          <w:b/>
          <w:sz w:val="6"/>
          <w:szCs w:val="6"/>
        </w:rPr>
      </w:pPr>
    </w:p>
    <w:p w:rsidR="00317380" w:rsidRPr="00EC4AD3" w:rsidRDefault="00317380" w:rsidP="00CF08A2">
      <w:pPr>
        <w:spacing w:line="233" w:lineRule="auto"/>
        <w:rPr>
          <w:rFonts w:ascii="Arial" w:hAnsi="Arial" w:cs="Arial"/>
          <w:sz w:val="20"/>
          <w:szCs w:val="20"/>
        </w:rPr>
      </w:pPr>
    </w:p>
    <w:p w:rsidR="00934304" w:rsidRPr="00EC4AD3" w:rsidRDefault="00934304" w:rsidP="00CF08A2">
      <w:pPr>
        <w:spacing w:line="233" w:lineRule="auto"/>
        <w:rPr>
          <w:rFonts w:ascii="Arial" w:hAnsi="Arial" w:cs="Arial"/>
          <w:sz w:val="20"/>
          <w:szCs w:val="20"/>
        </w:rPr>
      </w:pPr>
      <w:r w:rsidRPr="00EC4AD3">
        <w:rPr>
          <w:rFonts w:ascii="Arial" w:hAnsi="Arial" w:cs="Arial"/>
          <w:sz w:val="20"/>
          <w:szCs w:val="20"/>
        </w:rPr>
        <w:t>NOTES:</w:t>
      </w:r>
    </w:p>
    <w:p w:rsidR="00934304" w:rsidRPr="00EC4AD3" w:rsidRDefault="00934304" w:rsidP="00CF08A2">
      <w:pPr>
        <w:spacing w:line="233" w:lineRule="auto"/>
        <w:jc w:val="both"/>
        <w:rPr>
          <w:rFonts w:ascii="Arial" w:hAnsi="Arial" w:cs="Arial"/>
          <w:sz w:val="18"/>
          <w:szCs w:val="18"/>
        </w:rPr>
      </w:pPr>
    </w:p>
    <w:p w:rsidR="00934304" w:rsidRPr="00EC4AD3" w:rsidRDefault="00934304" w:rsidP="00CF08A2">
      <w:pPr>
        <w:spacing w:before="60" w:after="60" w:line="233" w:lineRule="auto"/>
        <w:ind w:firstLine="397"/>
        <w:jc w:val="both"/>
        <w:rPr>
          <w:rFonts w:ascii="Arial" w:hAnsi="Arial" w:cs="Arial"/>
          <w:sz w:val="18"/>
          <w:szCs w:val="18"/>
        </w:rPr>
      </w:pPr>
      <w:r w:rsidRPr="00EC4AD3">
        <w:rPr>
          <w:rFonts w:ascii="Arial" w:hAnsi="Arial" w:cs="Arial"/>
          <w:sz w:val="18"/>
          <w:szCs w:val="18"/>
        </w:rPr>
        <w:t xml:space="preserve">Data presented are being collected in the scope of semi-annual survey on prices of </w:t>
      </w:r>
      <w:r w:rsidRPr="00EC4AD3">
        <w:rPr>
          <w:rFonts w:ascii="Arial" w:hAnsi="Arial" w:cs="Arial"/>
          <w:bCs/>
          <w:sz w:val="18"/>
          <w:szCs w:val="18"/>
        </w:rPr>
        <w:t xml:space="preserve">dwellings of new construction. </w:t>
      </w:r>
      <w:r w:rsidR="00710ABF" w:rsidRPr="00EC4AD3">
        <w:rPr>
          <w:rFonts w:ascii="Arial" w:hAnsi="Arial" w:cs="Arial"/>
          <w:bCs/>
          <w:sz w:val="18"/>
          <w:szCs w:val="18"/>
        </w:rPr>
        <w:t xml:space="preserve">Average price of a dwelling in the observed year is calculated as an average of </w:t>
      </w:r>
      <w:r w:rsidR="00E719B7" w:rsidRPr="00EC4AD3">
        <w:rPr>
          <w:rFonts w:ascii="Arial" w:hAnsi="Arial" w:cs="Arial"/>
          <w:bCs/>
          <w:sz w:val="18"/>
          <w:szCs w:val="18"/>
        </w:rPr>
        <w:t>all prices</w:t>
      </w:r>
      <w:r w:rsidR="00710ABF" w:rsidRPr="00EC4AD3">
        <w:rPr>
          <w:rFonts w:ascii="Arial" w:hAnsi="Arial" w:cs="Arial"/>
          <w:bCs/>
          <w:sz w:val="18"/>
          <w:szCs w:val="18"/>
        </w:rPr>
        <w:t xml:space="preserve"> </w:t>
      </w:r>
      <w:r w:rsidR="00E719B7" w:rsidRPr="00EC4AD3">
        <w:rPr>
          <w:rFonts w:ascii="Arial" w:hAnsi="Arial" w:cs="Arial"/>
          <w:bCs/>
          <w:sz w:val="18"/>
          <w:szCs w:val="18"/>
        </w:rPr>
        <w:t xml:space="preserve">of the sold </w:t>
      </w:r>
      <w:r w:rsidR="00710ABF" w:rsidRPr="00EC4AD3">
        <w:rPr>
          <w:rFonts w:ascii="Arial" w:hAnsi="Arial" w:cs="Arial"/>
          <w:bCs/>
          <w:sz w:val="18"/>
          <w:szCs w:val="18"/>
        </w:rPr>
        <w:t xml:space="preserve">dwellings in the referent year. </w:t>
      </w:r>
    </w:p>
    <w:p w:rsidR="00934304" w:rsidRPr="00EC4AD3" w:rsidRDefault="00934304" w:rsidP="00CF08A2">
      <w:pPr>
        <w:spacing w:before="60" w:after="60" w:line="233" w:lineRule="auto"/>
        <w:ind w:firstLine="397"/>
        <w:jc w:val="both"/>
        <w:rPr>
          <w:rFonts w:ascii="Arial" w:hAnsi="Arial" w:cs="Arial"/>
          <w:sz w:val="18"/>
          <w:szCs w:val="18"/>
        </w:rPr>
      </w:pPr>
      <w:r w:rsidRPr="00EC4AD3">
        <w:rPr>
          <w:rFonts w:ascii="Arial" w:hAnsi="Arial" w:cs="Arial"/>
          <w:sz w:val="18"/>
          <w:szCs w:val="18"/>
        </w:rPr>
        <w:t>Average price for Belgrade includes urban parts of municipalities Vozdovac, Vracar, Zvezdara, Zemun, New Belgrade, Palilula, Rakovica, Savski venac</w:t>
      </w:r>
      <w:r w:rsidR="00B82FCC" w:rsidRPr="00EC4AD3">
        <w:rPr>
          <w:rFonts w:ascii="Arial" w:hAnsi="Arial" w:cs="Arial"/>
          <w:sz w:val="18"/>
          <w:szCs w:val="18"/>
        </w:rPr>
        <w:t>, Stari grad</w:t>
      </w:r>
      <w:r w:rsidRPr="00EC4AD3">
        <w:rPr>
          <w:rFonts w:ascii="Arial" w:hAnsi="Arial" w:cs="Arial"/>
          <w:sz w:val="18"/>
          <w:szCs w:val="18"/>
        </w:rPr>
        <w:t xml:space="preserve"> and Cukarica. </w:t>
      </w:r>
    </w:p>
    <w:p w:rsidR="00934304" w:rsidRPr="00EC4AD3" w:rsidRDefault="00934304" w:rsidP="00CF08A2">
      <w:pPr>
        <w:spacing w:before="60" w:after="60" w:line="233" w:lineRule="auto"/>
        <w:ind w:firstLine="397"/>
        <w:jc w:val="both"/>
        <w:rPr>
          <w:rFonts w:ascii="Arial" w:hAnsi="Arial" w:cs="Arial"/>
          <w:sz w:val="18"/>
          <w:szCs w:val="18"/>
        </w:rPr>
      </w:pPr>
      <w:r w:rsidRPr="00EC4AD3">
        <w:rPr>
          <w:rFonts w:ascii="Arial" w:hAnsi="Arial" w:cs="Arial"/>
          <w:sz w:val="18"/>
          <w:szCs w:val="18"/>
        </w:rPr>
        <w:t xml:space="preserve">All prices present nominal expression of value from sales contracts (without value adjustment) and are presented </w:t>
      </w:r>
      <w:r w:rsidR="00B82FCC" w:rsidRPr="00EC4AD3">
        <w:rPr>
          <w:rFonts w:ascii="Arial" w:hAnsi="Arial" w:cs="Arial"/>
          <w:sz w:val="18"/>
          <w:szCs w:val="18"/>
        </w:rPr>
        <w:t>per</w:t>
      </w:r>
      <w:r w:rsidRPr="00EC4AD3">
        <w:rPr>
          <w:rFonts w:ascii="Arial" w:hAnsi="Arial" w:cs="Arial"/>
          <w:sz w:val="18"/>
          <w:szCs w:val="18"/>
        </w:rPr>
        <w:t xml:space="preserve"> one square meter of useful (residential) area. The EUR rate is determined by average height of official (mean) rate of RSD in the observed period. As an average of the period (semi-annual and annual period) arithmetic mean of official (mean) rates is being taken, published by the National Bank of Serbia.      </w:t>
      </w:r>
    </w:p>
    <w:p w:rsidR="005511F1" w:rsidRPr="00EC4AD3" w:rsidRDefault="005511F1" w:rsidP="00CF08A2">
      <w:pPr>
        <w:spacing w:before="60" w:after="60" w:line="233" w:lineRule="auto"/>
        <w:ind w:firstLine="397"/>
        <w:jc w:val="both"/>
        <w:rPr>
          <w:rFonts w:ascii="Arial" w:hAnsi="Arial" w:cs="Arial"/>
          <w:sz w:val="18"/>
          <w:szCs w:val="18"/>
        </w:rPr>
      </w:pPr>
      <w:r w:rsidRPr="00EC4AD3">
        <w:rPr>
          <w:rFonts w:ascii="Arial" w:hAnsi="Arial" w:cs="Arial"/>
          <w:sz w:val="18"/>
          <w:szCs w:val="18"/>
        </w:rPr>
        <w:t xml:space="preserve">Detailed methodological explanations can be found </w:t>
      </w:r>
      <w:r w:rsidR="006E7917" w:rsidRPr="00EC4AD3">
        <w:rPr>
          <w:rFonts w:ascii="Arial" w:hAnsi="Arial" w:cs="Arial"/>
          <w:sz w:val="18"/>
          <w:szCs w:val="18"/>
        </w:rPr>
        <w:t>on the website</w:t>
      </w:r>
      <w:r w:rsidRPr="00EC4AD3">
        <w:rPr>
          <w:rFonts w:ascii="Arial" w:hAnsi="Arial" w:cs="Arial"/>
          <w:sz w:val="18"/>
          <w:szCs w:val="18"/>
        </w:rPr>
        <w:t xml:space="preserve"> of the Statistical Office of the Republic of Serbia </w:t>
      </w:r>
      <w:hyperlink r:id="rId8" w:history="1">
        <w:r w:rsidRPr="00EC4AD3">
          <w:rPr>
            <w:rStyle w:val="Hyperlink"/>
            <w:rFonts w:ascii="Arial" w:hAnsi="Arial" w:cs="Arial"/>
            <w:sz w:val="18"/>
            <w:szCs w:val="18"/>
          </w:rPr>
          <w:t>http://webrzs.stat.gov.rs</w:t>
        </w:r>
      </w:hyperlink>
      <w:r w:rsidRPr="00EC4AD3">
        <w:rPr>
          <w:rFonts w:ascii="Arial" w:hAnsi="Arial" w:cs="Arial"/>
          <w:sz w:val="18"/>
          <w:szCs w:val="18"/>
        </w:rPr>
        <w:t xml:space="preserve">. </w:t>
      </w:r>
    </w:p>
    <w:p w:rsidR="00B82FCC" w:rsidRPr="00EC4AD3" w:rsidRDefault="00B82FCC" w:rsidP="00CF08A2">
      <w:pPr>
        <w:spacing w:before="60" w:after="60" w:line="233" w:lineRule="auto"/>
        <w:ind w:firstLine="397"/>
        <w:jc w:val="both"/>
        <w:rPr>
          <w:rFonts w:ascii="Arial" w:hAnsi="Arial" w:cs="Arial"/>
          <w:sz w:val="18"/>
          <w:szCs w:val="18"/>
        </w:rPr>
      </w:pPr>
      <w:r w:rsidRPr="00EC4AD3">
        <w:rPr>
          <w:rFonts w:ascii="Arial" w:hAnsi="Arial" w:cs="Arial"/>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3C13F3" w:rsidRPr="00EC4AD3" w:rsidRDefault="003C13F3" w:rsidP="00CF08A2">
      <w:pPr>
        <w:spacing w:before="60" w:after="60" w:line="233" w:lineRule="auto"/>
        <w:ind w:firstLine="397"/>
        <w:jc w:val="both"/>
        <w:rPr>
          <w:rFonts w:ascii="Arial" w:hAnsi="Arial" w:cs="Arial"/>
          <w:sz w:val="18"/>
          <w:szCs w:val="18"/>
        </w:rPr>
      </w:pPr>
    </w:p>
    <w:p w:rsidR="00E719B7" w:rsidRPr="00EC4AD3" w:rsidRDefault="00E719B7" w:rsidP="00934304">
      <w:pPr>
        <w:ind w:firstLine="720"/>
        <w:jc w:val="both"/>
        <w:rPr>
          <w:rStyle w:val="Emphasis"/>
          <w:rFonts w:ascii="Arial" w:hAnsi="Arial" w:cs="Arial"/>
          <w:bCs/>
          <w:i w:val="0"/>
          <w:iCs w:val="0"/>
          <w:sz w:val="20"/>
          <w:szCs w:val="20"/>
        </w:rPr>
      </w:pPr>
    </w:p>
    <w:p w:rsidR="00934304" w:rsidRPr="00EC4AD3" w:rsidRDefault="008D6443" w:rsidP="00934304">
      <w:pPr>
        <w:ind w:firstLine="720"/>
        <w:jc w:val="both"/>
        <w:rPr>
          <w:rStyle w:val="Emphasis"/>
          <w:rFonts w:ascii="Arial" w:hAnsi="Arial" w:cs="Arial"/>
          <w:bCs/>
          <w:i w:val="0"/>
          <w:iCs w:val="0"/>
          <w:sz w:val="20"/>
          <w:szCs w:val="20"/>
        </w:rPr>
      </w:pPr>
      <w:r w:rsidRPr="00EC4AD3">
        <w:rPr>
          <w:rFonts w:ascii="Arial" w:hAnsi="Arial" w:cs="Arial"/>
          <w:noProof/>
          <w:sz w:val="20"/>
          <w:lang w:val="en-US"/>
        </w:rPr>
        <mc:AlternateContent>
          <mc:Choice Requires="wps">
            <w:drawing>
              <wp:anchor distT="0" distB="0" distL="114300" distR="114300" simplePos="0" relativeHeight="251655680" behindDoc="0" locked="0" layoutInCell="1" allowOverlap="1">
                <wp:simplePos x="0" y="0"/>
                <wp:positionH relativeFrom="column">
                  <wp:posOffset>161290</wp:posOffset>
                </wp:positionH>
                <wp:positionV relativeFrom="paragraph">
                  <wp:posOffset>102870</wp:posOffset>
                </wp:positionV>
                <wp:extent cx="5760085" cy="0"/>
                <wp:effectExtent l="14605" t="8890" r="698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5DD0"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8.1pt" to="466.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7FAIAACk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" strokecolor="gray" strokeweight="1pt"/>
            </w:pict>
          </mc:Fallback>
        </mc:AlternateContent>
      </w:r>
    </w:p>
    <w:p w:rsidR="0000517D" w:rsidRPr="00EC4AD3" w:rsidRDefault="0000517D" w:rsidP="00CF08A2">
      <w:pPr>
        <w:spacing w:before="60"/>
        <w:jc w:val="center"/>
        <w:rPr>
          <w:rFonts w:ascii="Arial" w:hAnsi="Arial" w:cs="Arial"/>
          <w:color w:val="FF0000"/>
          <w:sz w:val="18"/>
          <w:szCs w:val="18"/>
        </w:rPr>
      </w:pPr>
      <w:r w:rsidRPr="00EC4AD3">
        <w:rPr>
          <w:rFonts w:ascii="Arial" w:hAnsi="Arial" w:cs="Arial"/>
          <w:sz w:val="18"/>
          <w:szCs w:val="18"/>
        </w:rPr>
        <w:t>Contact:</w:t>
      </w:r>
      <w:r w:rsidRPr="00EC4AD3">
        <w:rPr>
          <w:rFonts w:ascii="Arial" w:hAnsi="Arial" w:cs="Arial"/>
          <w:color w:val="FF0000"/>
          <w:sz w:val="18"/>
          <w:szCs w:val="18"/>
        </w:rPr>
        <w:t xml:space="preserve">  </w:t>
      </w:r>
      <w:r w:rsidRPr="00EC4AD3">
        <w:rPr>
          <w:rFonts w:ascii="Arial" w:hAnsi="Arial" w:cs="Arial"/>
          <w:color w:val="0000FF"/>
          <w:sz w:val="18"/>
          <w:szCs w:val="18"/>
        </w:rPr>
        <w:t>dejana.djordjevic@stat.gov.rs</w:t>
      </w:r>
      <w:r w:rsidRPr="00EC4AD3">
        <w:rPr>
          <w:rFonts w:ascii="Arial" w:hAnsi="Arial" w:cs="Arial"/>
          <w:sz w:val="18"/>
          <w:szCs w:val="18"/>
        </w:rPr>
        <w:t xml:space="preserve"> Phone: 011 2412-922</w:t>
      </w:r>
      <w:r w:rsidR="00C20D85" w:rsidRPr="00EC4AD3">
        <w:rPr>
          <w:rFonts w:ascii="Arial" w:hAnsi="Arial" w:cs="Arial"/>
          <w:sz w:val="18"/>
          <w:szCs w:val="18"/>
        </w:rPr>
        <w:t>,</w:t>
      </w:r>
      <w:r w:rsidRPr="00EC4AD3">
        <w:rPr>
          <w:rFonts w:ascii="Arial" w:hAnsi="Arial" w:cs="Arial"/>
          <w:sz w:val="18"/>
          <w:szCs w:val="18"/>
        </w:rPr>
        <w:t xml:space="preserve"> ext. 260</w:t>
      </w:r>
    </w:p>
    <w:p w:rsidR="0066478F" w:rsidRPr="00EC4AD3" w:rsidRDefault="0066478F" w:rsidP="0066478F">
      <w:pPr>
        <w:jc w:val="center"/>
        <w:rPr>
          <w:rFonts w:ascii="Arial" w:hAnsi="Arial" w:cs="Arial"/>
          <w:iCs/>
          <w:sz w:val="18"/>
          <w:szCs w:val="18"/>
        </w:rPr>
      </w:pPr>
      <w:r w:rsidRPr="00EC4AD3">
        <w:rPr>
          <w:rFonts w:ascii="Arial" w:hAnsi="Arial" w:cs="Arial"/>
          <w:iCs/>
          <w:sz w:val="18"/>
          <w:szCs w:val="18"/>
        </w:rPr>
        <w:t>Published and printed by: Statistical Office of the Republic of Serbia, 11 050 Belgrade, Milana Rakica 5</w:t>
      </w:r>
    </w:p>
    <w:p w:rsidR="0066478F" w:rsidRPr="00EC4AD3" w:rsidRDefault="0066478F" w:rsidP="0066478F">
      <w:pPr>
        <w:jc w:val="center"/>
        <w:rPr>
          <w:rFonts w:ascii="Arial" w:hAnsi="Arial" w:cs="Arial"/>
          <w:iCs/>
          <w:sz w:val="18"/>
          <w:szCs w:val="18"/>
        </w:rPr>
      </w:pPr>
      <w:r w:rsidRPr="00EC4AD3">
        <w:rPr>
          <w:rFonts w:ascii="Arial" w:hAnsi="Arial" w:cs="Arial"/>
          <w:iCs/>
          <w:sz w:val="18"/>
          <w:szCs w:val="18"/>
        </w:rPr>
        <w:t xml:space="preserve">Phone: +381 11 2412922 </w:t>
      </w:r>
      <w:r w:rsidRPr="00EC4AD3">
        <w:rPr>
          <w:rFonts w:ascii="Arial" w:hAnsi="Arial" w:cs="Arial"/>
          <w:sz w:val="18"/>
          <w:szCs w:val="18"/>
        </w:rPr>
        <w:t>(telephone exchange)</w:t>
      </w:r>
      <w:r w:rsidRPr="00EC4AD3">
        <w:rPr>
          <w:rFonts w:ascii="Arial" w:hAnsi="Arial" w:cs="Arial"/>
        </w:rPr>
        <w:t xml:space="preserve"> </w:t>
      </w:r>
      <w:r w:rsidRPr="00EC4AD3">
        <w:rPr>
          <w:rFonts w:ascii="Arial" w:hAnsi="Arial" w:cs="Arial"/>
          <w:iCs/>
          <w:sz w:val="18"/>
          <w:szCs w:val="18"/>
        </w:rPr>
        <w:t xml:space="preserve">● Fax: +381 11 2411260 ● www.stat.gov.rs  </w:t>
      </w:r>
    </w:p>
    <w:p w:rsidR="0066478F" w:rsidRPr="00EC4AD3" w:rsidRDefault="0066478F" w:rsidP="0066478F">
      <w:pPr>
        <w:jc w:val="center"/>
        <w:rPr>
          <w:rFonts w:ascii="Arial" w:hAnsi="Arial" w:cs="Arial"/>
          <w:iCs/>
          <w:sz w:val="18"/>
          <w:szCs w:val="18"/>
        </w:rPr>
      </w:pPr>
      <w:r w:rsidRPr="00EC4AD3">
        <w:rPr>
          <w:rFonts w:ascii="Arial" w:hAnsi="Arial" w:cs="Arial"/>
          <w:iCs/>
          <w:sz w:val="18"/>
          <w:szCs w:val="18"/>
        </w:rPr>
        <w:t>Responsible: Dr Miladin Kovačević, Director</w:t>
      </w:r>
    </w:p>
    <w:p w:rsidR="0066478F" w:rsidRPr="00EC4AD3" w:rsidRDefault="0066478F" w:rsidP="0066478F">
      <w:pPr>
        <w:jc w:val="center"/>
        <w:rPr>
          <w:rFonts w:ascii="Arial" w:hAnsi="Arial" w:cs="Arial"/>
          <w:bCs/>
          <w:sz w:val="18"/>
          <w:szCs w:val="18"/>
        </w:rPr>
      </w:pPr>
      <w:r w:rsidRPr="00EC4AD3">
        <w:rPr>
          <w:rFonts w:ascii="Arial" w:hAnsi="Arial" w:cs="Arial"/>
          <w:iCs/>
          <w:sz w:val="18"/>
          <w:szCs w:val="18"/>
        </w:rPr>
        <w:t xml:space="preserve">Circulation: 20 ● Issued </w:t>
      </w:r>
      <w:r w:rsidRPr="00EC4AD3">
        <w:rPr>
          <w:rFonts w:ascii="Arial" w:hAnsi="Arial" w:cs="Arial"/>
          <w:bCs/>
          <w:sz w:val="18"/>
          <w:szCs w:val="18"/>
        </w:rPr>
        <w:t>annually</w:t>
      </w:r>
    </w:p>
    <w:sectPr w:rsidR="0066478F" w:rsidRPr="00EC4AD3" w:rsidSect="00934304">
      <w:footerReference w:type="even" r:id="rId9"/>
      <w:footerReference w:type="default" r:id="rId10"/>
      <w:pgSz w:w="11907" w:h="16840" w:code="9"/>
      <w:pgMar w:top="1097"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F0" w:rsidRDefault="001F64F0">
      <w:r>
        <w:separator/>
      </w:r>
    </w:p>
  </w:endnote>
  <w:endnote w:type="continuationSeparator" w:id="0">
    <w:p w:rsidR="001F64F0" w:rsidRDefault="001F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A6" w:rsidRDefault="008667A6" w:rsidP="00934304">
    <w:pPr>
      <w:pStyle w:val="Footer"/>
      <w:pBdr>
        <w:top w:val="single" w:sz="4" w:space="1" w:color="auto"/>
      </w:pBdr>
      <w:tabs>
        <w:tab w:val="clear" w:pos="8640"/>
        <w:tab w:val="right" w:pos="9624"/>
        <w:tab w:val="right" w:pos="10206"/>
      </w:tabs>
      <w:rPr>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r>
    <w:r>
      <w:rPr>
        <w:rStyle w:val="PageNumber"/>
        <w:rFonts w:ascii="Arial" w:hAnsi="Arial" w:cs="Arial"/>
        <w:sz w:val="16"/>
        <w:lang w:val="sr-Latn-CS"/>
      </w:rPr>
      <w:t xml:space="preserve">SERB </w:t>
    </w:r>
    <w:r>
      <w:rPr>
        <w:rStyle w:val="PageNumber"/>
        <w:rFonts w:ascii="Arial" w:hAnsi="Arial" w:cs="Arial"/>
        <w:sz w:val="16"/>
      </w:rPr>
      <w:t>259</w:t>
    </w:r>
    <w:r>
      <w:rPr>
        <w:rStyle w:val="PageNumber"/>
        <w:rFonts w:ascii="Arial" w:hAnsi="Arial" w:cs="Arial"/>
        <w:sz w:val="16"/>
        <w:lang w:val="sr-Cyrl-CS"/>
      </w:rPr>
      <w:t xml:space="preserve"> </w:t>
    </w:r>
    <w:r>
      <w:rPr>
        <w:rStyle w:val="PageNumber"/>
        <w:rFonts w:ascii="Arial" w:hAnsi="Arial" w:cs="Arial"/>
        <w:sz w:val="16"/>
        <w:lang w:val="sr-Latn-CS"/>
      </w:rPr>
      <w:t>GR</w:t>
    </w:r>
    <w:r>
      <w:rPr>
        <w:rFonts w:ascii="Arial" w:hAnsi="Arial" w:cs="Arial"/>
        <w:sz w:val="16"/>
      </w:rPr>
      <w:t>20</w:t>
    </w:r>
    <w:r>
      <w:rPr>
        <w:rFonts w:ascii="Arial" w:hAnsi="Arial" w:cs="Arial"/>
        <w:sz w:val="16"/>
        <w:lang w:val="sr-Cyrl-CS"/>
      </w:rPr>
      <w:t xml:space="preserve"> 1</w:t>
    </w:r>
    <w:r>
      <w:rPr>
        <w:rFonts w:ascii="Arial" w:hAnsi="Arial" w:cs="Arial"/>
        <w:sz w:val="16"/>
      </w:rPr>
      <w:t>50</w:t>
    </w:r>
    <w:r>
      <w:rPr>
        <w:rFonts w:ascii="Arial" w:hAnsi="Arial" w:cs="Arial"/>
        <w:sz w:val="16"/>
        <w:lang w:val="sr-Latn-CS"/>
      </w:rPr>
      <w:t>9</w:t>
    </w:r>
    <w:r>
      <w:rPr>
        <w:rFonts w:ascii="Arial" w:hAnsi="Arial" w:cs="Arial"/>
        <w:sz w:val="16"/>
      </w:rPr>
      <w:t>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A6" w:rsidRPr="00A32090" w:rsidRDefault="008667A6" w:rsidP="004D0997">
    <w:pPr>
      <w:pStyle w:val="Footer"/>
      <w:pBdr>
        <w:top w:val="single" w:sz="4" w:space="1" w:color="auto"/>
      </w:pBdr>
      <w:tabs>
        <w:tab w:val="clear" w:pos="8640"/>
        <w:tab w:val="right" w:pos="9636"/>
        <w:tab w:val="right" w:pos="10206"/>
      </w:tabs>
      <w:rPr>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A342B9">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r>
    <w:r>
      <w:rPr>
        <w:rStyle w:val="PageNumber"/>
        <w:rFonts w:ascii="Arial" w:hAnsi="Arial" w:cs="Arial"/>
        <w:sz w:val="16"/>
        <w:lang w:val="sr-Latn-CS"/>
      </w:rPr>
      <w:t>SERB</w:t>
    </w:r>
    <w:r>
      <w:rPr>
        <w:rStyle w:val="PageNumber"/>
        <w:rFonts w:ascii="Arial" w:hAnsi="Arial" w:cs="Arial"/>
        <w:sz w:val="16"/>
      </w:rPr>
      <w:t>06</w:t>
    </w:r>
    <w:r w:rsidR="00997405">
      <w:rPr>
        <w:rStyle w:val="PageNumber"/>
        <w:rFonts w:ascii="Arial" w:hAnsi="Arial" w:cs="Arial"/>
        <w:sz w:val="16"/>
      </w:rPr>
      <w:t>9</w:t>
    </w:r>
    <w:r>
      <w:rPr>
        <w:rStyle w:val="PageNumber"/>
        <w:rFonts w:ascii="Arial" w:hAnsi="Arial" w:cs="Arial"/>
        <w:sz w:val="16"/>
        <w:lang w:val="sr-Cyrl-CS"/>
      </w:rPr>
      <w:t xml:space="preserve"> </w:t>
    </w:r>
    <w:r>
      <w:rPr>
        <w:rStyle w:val="PageNumber"/>
        <w:rFonts w:ascii="Arial" w:hAnsi="Arial" w:cs="Arial"/>
        <w:sz w:val="16"/>
        <w:lang w:val="sr-Latn-CS"/>
      </w:rPr>
      <w:t>GR</w:t>
    </w:r>
    <w:r>
      <w:rPr>
        <w:rFonts w:ascii="Arial" w:hAnsi="Arial" w:cs="Arial"/>
        <w:sz w:val="16"/>
      </w:rPr>
      <w:t>21</w:t>
    </w:r>
    <w:r>
      <w:rPr>
        <w:rFonts w:ascii="Arial" w:hAnsi="Arial" w:cs="Arial"/>
        <w:sz w:val="16"/>
        <w:lang w:val="sr-Cyrl-CS"/>
      </w:rPr>
      <w:t xml:space="preserve"> </w:t>
    </w:r>
    <w:r>
      <w:rPr>
        <w:rFonts w:ascii="Arial" w:hAnsi="Arial" w:cs="Arial"/>
        <w:sz w:val="16"/>
      </w:rPr>
      <w:t>15031</w:t>
    </w:r>
    <w:r w:rsidR="00997405">
      <w:rPr>
        <w:rFonts w:ascii="Arial" w:hAnsi="Arial" w:cs="Arial"/>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F0" w:rsidRDefault="001F64F0">
      <w:r>
        <w:separator/>
      </w:r>
    </w:p>
  </w:footnote>
  <w:footnote w:type="continuationSeparator" w:id="0">
    <w:p w:rsidR="001F64F0" w:rsidRDefault="001F6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ECB"/>
    <w:multiLevelType w:val="hybridMultilevel"/>
    <w:tmpl w:val="91A62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887A57"/>
    <w:multiLevelType w:val="hybridMultilevel"/>
    <w:tmpl w:val="3DEA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B68E8"/>
    <w:multiLevelType w:val="hybridMultilevel"/>
    <w:tmpl w:val="077C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04"/>
    <w:rsid w:val="0000517D"/>
    <w:rsid w:val="000743DC"/>
    <w:rsid w:val="0009142C"/>
    <w:rsid w:val="000979A2"/>
    <w:rsid w:val="000E60D0"/>
    <w:rsid w:val="001141F8"/>
    <w:rsid w:val="00153B50"/>
    <w:rsid w:val="0019114A"/>
    <w:rsid w:val="00193036"/>
    <w:rsid w:val="001A3454"/>
    <w:rsid w:val="001F64F0"/>
    <w:rsid w:val="001F6CC1"/>
    <w:rsid w:val="00212C3E"/>
    <w:rsid w:val="00216B1D"/>
    <w:rsid w:val="002375F2"/>
    <w:rsid w:val="0028484F"/>
    <w:rsid w:val="002972AA"/>
    <w:rsid w:val="002B3DFB"/>
    <w:rsid w:val="00317380"/>
    <w:rsid w:val="00320D51"/>
    <w:rsid w:val="00327EED"/>
    <w:rsid w:val="00336FFE"/>
    <w:rsid w:val="00341276"/>
    <w:rsid w:val="003C13F3"/>
    <w:rsid w:val="003E047C"/>
    <w:rsid w:val="004149BC"/>
    <w:rsid w:val="00431689"/>
    <w:rsid w:val="004D0997"/>
    <w:rsid w:val="004F4AFE"/>
    <w:rsid w:val="00521687"/>
    <w:rsid w:val="005231E8"/>
    <w:rsid w:val="005511F1"/>
    <w:rsid w:val="00563ECD"/>
    <w:rsid w:val="005A2382"/>
    <w:rsid w:val="005B5014"/>
    <w:rsid w:val="005F0C48"/>
    <w:rsid w:val="00610BD1"/>
    <w:rsid w:val="0061221D"/>
    <w:rsid w:val="006133DD"/>
    <w:rsid w:val="00627F15"/>
    <w:rsid w:val="006623D3"/>
    <w:rsid w:val="0066478F"/>
    <w:rsid w:val="006906D0"/>
    <w:rsid w:val="006A4DE9"/>
    <w:rsid w:val="006E4C39"/>
    <w:rsid w:val="006E7917"/>
    <w:rsid w:val="00710ABF"/>
    <w:rsid w:val="007A506B"/>
    <w:rsid w:val="007C74F1"/>
    <w:rsid w:val="007D087C"/>
    <w:rsid w:val="007E1592"/>
    <w:rsid w:val="007E537D"/>
    <w:rsid w:val="0082330C"/>
    <w:rsid w:val="008447D8"/>
    <w:rsid w:val="00856C14"/>
    <w:rsid w:val="00863ED4"/>
    <w:rsid w:val="008667A6"/>
    <w:rsid w:val="008D6443"/>
    <w:rsid w:val="008D78DF"/>
    <w:rsid w:val="00923B62"/>
    <w:rsid w:val="00934304"/>
    <w:rsid w:val="00953C63"/>
    <w:rsid w:val="00967169"/>
    <w:rsid w:val="00997405"/>
    <w:rsid w:val="009A4FC5"/>
    <w:rsid w:val="009F34E3"/>
    <w:rsid w:val="00A03795"/>
    <w:rsid w:val="00A21BD9"/>
    <w:rsid w:val="00A32090"/>
    <w:rsid w:val="00A342B9"/>
    <w:rsid w:val="00A60461"/>
    <w:rsid w:val="00A83135"/>
    <w:rsid w:val="00A95B14"/>
    <w:rsid w:val="00AD7408"/>
    <w:rsid w:val="00B00A42"/>
    <w:rsid w:val="00B278A8"/>
    <w:rsid w:val="00B407BD"/>
    <w:rsid w:val="00B82FCC"/>
    <w:rsid w:val="00BB10EC"/>
    <w:rsid w:val="00BB2C75"/>
    <w:rsid w:val="00BB7B7F"/>
    <w:rsid w:val="00BD2E67"/>
    <w:rsid w:val="00BD7F63"/>
    <w:rsid w:val="00BE6988"/>
    <w:rsid w:val="00BF1375"/>
    <w:rsid w:val="00BF7F65"/>
    <w:rsid w:val="00C00C85"/>
    <w:rsid w:val="00C20D85"/>
    <w:rsid w:val="00C24A11"/>
    <w:rsid w:val="00C36B48"/>
    <w:rsid w:val="00C44497"/>
    <w:rsid w:val="00C52270"/>
    <w:rsid w:val="00C55A17"/>
    <w:rsid w:val="00C5731F"/>
    <w:rsid w:val="00C675A0"/>
    <w:rsid w:val="00C74081"/>
    <w:rsid w:val="00CB4482"/>
    <w:rsid w:val="00CF08A2"/>
    <w:rsid w:val="00D21187"/>
    <w:rsid w:val="00D80E2A"/>
    <w:rsid w:val="00D9093C"/>
    <w:rsid w:val="00DB5819"/>
    <w:rsid w:val="00DF1AE8"/>
    <w:rsid w:val="00E42E63"/>
    <w:rsid w:val="00E719B7"/>
    <w:rsid w:val="00E80AAF"/>
    <w:rsid w:val="00E87412"/>
    <w:rsid w:val="00EC4AD3"/>
    <w:rsid w:val="00EF059D"/>
    <w:rsid w:val="00EF0E79"/>
    <w:rsid w:val="00F53260"/>
    <w:rsid w:val="00FB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746AC"/>
  <w15:docId w15:val="{E8D6F3D6-B6D3-4997-A086-CAB2A7B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04"/>
    <w:rPr>
      <w:sz w:val="24"/>
      <w:szCs w:val="24"/>
      <w:lang w:val="en-GB"/>
    </w:rPr>
  </w:style>
  <w:style w:type="paragraph" w:styleId="Heading3">
    <w:name w:val="heading 3"/>
    <w:basedOn w:val="Normal"/>
    <w:next w:val="Normal"/>
    <w:qFormat/>
    <w:rsid w:val="00934304"/>
    <w:pPr>
      <w:keepNext/>
      <w:outlineLvl w:val="2"/>
    </w:pPr>
    <w:rPr>
      <w:rFonts w:ascii="Arial" w:hAnsi="Arial"/>
      <w:b/>
      <w:bCs/>
      <w:noProof/>
      <w:sz w:val="72"/>
    </w:rPr>
  </w:style>
  <w:style w:type="paragraph" w:styleId="Heading5">
    <w:name w:val="heading 5"/>
    <w:basedOn w:val="Normal"/>
    <w:next w:val="Normal"/>
    <w:qFormat/>
    <w:rsid w:val="00D9093C"/>
    <w:pPr>
      <w:spacing w:before="240" w:after="60"/>
      <w:outlineLvl w:val="4"/>
    </w:pPr>
    <w:rPr>
      <w:b/>
      <w:bCs/>
      <w:i/>
      <w:iCs/>
      <w:sz w:val="26"/>
      <w:szCs w:val="26"/>
    </w:rPr>
  </w:style>
  <w:style w:type="paragraph" w:styleId="Heading6">
    <w:name w:val="heading 6"/>
    <w:basedOn w:val="Normal"/>
    <w:next w:val="Normal"/>
    <w:qFormat/>
    <w:rsid w:val="00934304"/>
    <w:pPr>
      <w:keepNext/>
      <w:jc w:val="center"/>
      <w:outlineLvl w:val="5"/>
    </w:pPr>
    <w:rPr>
      <w:rFonts w:ascii="Arial" w:hAnsi="Arial" w:cs="Arial"/>
      <w:b/>
      <w:bCs/>
      <w:noProof/>
      <w:szCs w:val="20"/>
      <w:lang w:val="en-AU"/>
    </w:rPr>
  </w:style>
  <w:style w:type="paragraph" w:styleId="Heading8">
    <w:name w:val="heading 8"/>
    <w:basedOn w:val="Normal"/>
    <w:next w:val="Normal"/>
    <w:qFormat/>
    <w:rsid w:val="00934304"/>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934304"/>
    <w:pPr>
      <w:widowControl w:val="0"/>
      <w:jc w:val="both"/>
    </w:pPr>
    <w:rPr>
      <w:rFonts w:ascii="Arial" w:hAnsi="Arial"/>
      <w:snapToGrid w:val="0"/>
      <w:sz w:val="28"/>
      <w:lang w:val="en-GB"/>
    </w:rPr>
  </w:style>
  <w:style w:type="character" w:styleId="FootnoteReference">
    <w:name w:val="footnote reference"/>
    <w:semiHidden/>
    <w:rsid w:val="00934304"/>
    <w:rPr>
      <w:vertAlign w:val="superscript"/>
    </w:rPr>
  </w:style>
  <w:style w:type="paragraph" w:styleId="Footer">
    <w:name w:val="footer"/>
    <w:basedOn w:val="Normal"/>
    <w:rsid w:val="00934304"/>
    <w:pPr>
      <w:tabs>
        <w:tab w:val="center" w:pos="4320"/>
        <w:tab w:val="right" w:pos="8640"/>
      </w:tabs>
    </w:pPr>
  </w:style>
  <w:style w:type="character" w:styleId="PageNumber">
    <w:name w:val="page number"/>
    <w:basedOn w:val="DefaultParagraphFont"/>
    <w:rsid w:val="00934304"/>
  </w:style>
  <w:style w:type="table" w:styleId="TableGrid">
    <w:name w:val="Table Grid"/>
    <w:basedOn w:val="TableNormal"/>
    <w:rsid w:val="0093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304"/>
    <w:rPr>
      <w:color w:val="0000FF"/>
      <w:u w:val="single"/>
    </w:rPr>
  </w:style>
  <w:style w:type="character" w:styleId="Emphasis">
    <w:name w:val="Emphasis"/>
    <w:qFormat/>
    <w:rsid w:val="00934304"/>
    <w:rPr>
      <w:i/>
      <w:iCs/>
    </w:rPr>
  </w:style>
  <w:style w:type="paragraph" w:styleId="BodyText">
    <w:name w:val="Body Text"/>
    <w:basedOn w:val="Normal"/>
    <w:rsid w:val="00C675A0"/>
    <w:pPr>
      <w:tabs>
        <w:tab w:val="left" w:pos="142"/>
      </w:tabs>
      <w:jc w:val="both"/>
    </w:pPr>
    <w:rPr>
      <w:rFonts w:ascii="Arial" w:hAnsi="Arial"/>
      <w:sz w:val="22"/>
      <w:szCs w:val="20"/>
      <w:lang w:val="sr-Cyrl-CS"/>
    </w:rPr>
  </w:style>
  <w:style w:type="paragraph" w:styleId="Header">
    <w:name w:val="header"/>
    <w:basedOn w:val="Normal"/>
    <w:rsid w:val="004F4AFE"/>
    <w:pPr>
      <w:tabs>
        <w:tab w:val="center" w:pos="4702"/>
        <w:tab w:val="right" w:pos="9405"/>
      </w:tabs>
    </w:pPr>
  </w:style>
  <w:style w:type="paragraph" w:customStyle="1" w:styleId="CharChar">
    <w:name w:val="Char Char"/>
    <w:basedOn w:val="Normal"/>
    <w:rsid w:val="00E42E63"/>
    <w:pPr>
      <w:tabs>
        <w:tab w:val="left" w:pos="567"/>
      </w:tabs>
      <w:spacing w:before="120" w:after="160" w:line="240" w:lineRule="exact"/>
      <w:ind w:left="1584" w:hanging="504"/>
    </w:pPr>
    <w:rPr>
      <w:rFonts w:ascii="Arial" w:hAnsi="Arial"/>
      <w:b/>
      <w:bCs/>
      <w:color w:val="000000"/>
    </w:rPr>
  </w:style>
  <w:style w:type="paragraph" w:styleId="Subtitle">
    <w:name w:val="Subtitle"/>
    <w:basedOn w:val="Normal"/>
    <w:qFormat/>
    <w:rsid w:val="00341276"/>
    <w:pPr>
      <w:spacing w:after="60"/>
      <w:jc w:val="center"/>
      <w:outlineLvl w:val="1"/>
    </w:pPr>
    <w:rPr>
      <w:rFonts w:ascii="Arial" w:hAnsi="Arial" w:cs="Arial"/>
      <w:sz w:val="20"/>
    </w:rPr>
  </w:style>
  <w:style w:type="paragraph" w:styleId="BalloonText">
    <w:name w:val="Balloon Text"/>
    <w:basedOn w:val="Normal"/>
    <w:semiHidden/>
    <w:rsid w:val="00521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rzs.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Republic of Serbia</vt:lpstr>
    </vt:vector>
  </TitlesOfParts>
  <Company>.</Company>
  <LinksUpToDate>false</LinksUpToDate>
  <CharactersWithSpaces>5715</CharactersWithSpaces>
  <SharedDoc>false</SharedDoc>
  <HLinks>
    <vt:vector size="6" baseType="variant">
      <vt:variant>
        <vt:i4>2490467</vt:i4>
      </vt:variant>
      <vt:variant>
        <vt:i4>3</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d44mk01</dc:creator>
  <cp:keywords/>
  <cp:lastModifiedBy>Irena Dimic</cp:lastModifiedBy>
  <cp:revision>7</cp:revision>
  <cp:lastPrinted>2018-03-15T08:17:00Z</cp:lastPrinted>
  <dcterms:created xsi:type="dcterms:W3CDTF">2018-03-15T06:48:00Z</dcterms:created>
  <dcterms:modified xsi:type="dcterms:W3CDTF">2018-03-15T08:17:00Z</dcterms:modified>
</cp:coreProperties>
</file>