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066E6C" w:rsidRPr="004433B1">
        <w:trPr>
          <w:cantSplit/>
          <w:trHeight w:val="631"/>
        </w:trPr>
        <w:tc>
          <w:tcPr>
            <w:tcW w:w="812" w:type="pct"/>
            <w:tcBorders>
              <w:top w:val="single" w:sz="12" w:space="0" w:color="808080"/>
              <w:left w:val="nil"/>
              <w:bottom w:val="nil"/>
            </w:tcBorders>
            <w:vAlign w:val="center"/>
          </w:tcPr>
          <w:p w:rsidR="00066E6C" w:rsidRPr="004433B1" w:rsidRDefault="001A2C58" w:rsidP="00385077">
            <w:pPr>
              <w:spacing w:after="0" w:line="240" w:lineRule="auto"/>
              <w:jc w:val="center"/>
              <w:rPr>
                <w:rFonts w:ascii="Arial" w:hAnsi="Arial" w:cs="Arial"/>
                <w:b/>
                <w:bCs/>
                <w:sz w:val="20"/>
                <w:szCs w:val="20"/>
              </w:rPr>
            </w:pPr>
            <w:r w:rsidRPr="004433B1">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4433B1">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AC6E0"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4433B1" w:rsidRDefault="00066E6C" w:rsidP="00385077">
            <w:pPr>
              <w:spacing w:after="0" w:line="240" w:lineRule="auto"/>
              <w:rPr>
                <w:rFonts w:ascii="Arial" w:hAnsi="Arial" w:cs="Arial"/>
                <w:sz w:val="20"/>
                <w:szCs w:val="20"/>
              </w:rPr>
            </w:pPr>
            <w:r w:rsidRPr="004433B1">
              <w:rPr>
                <w:rFonts w:ascii="Arial" w:hAnsi="Arial" w:cs="Arial"/>
                <w:sz w:val="20"/>
                <w:szCs w:val="20"/>
              </w:rPr>
              <w:t>Republic of Serbia</w:t>
            </w:r>
          </w:p>
          <w:p w:rsidR="00066E6C" w:rsidRPr="004433B1" w:rsidRDefault="00066E6C" w:rsidP="00385077">
            <w:pPr>
              <w:spacing w:after="0" w:line="240" w:lineRule="auto"/>
              <w:rPr>
                <w:rFonts w:ascii="Arial" w:hAnsi="Arial" w:cs="Arial"/>
                <w:sz w:val="20"/>
                <w:szCs w:val="20"/>
              </w:rPr>
            </w:pPr>
            <w:r w:rsidRPr="004433B1">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4433B1" w:rsidRDefault="00066E6C" w:rsidP="00385077">
            <w:pPr>
              <w:spacing w:after="0" w:line="240" w:lineRule="auto"/>
              <w:jc w:val="right"/>
              <w:rPr>
                <w:rFonts w:ascii="Arial" w:hAnsi="Arial" w:cs="Arial"/>
                <w:b/>
                <w:bCs/>
                <w:color w:val="808080"/>
                <w:sz w:val="20"/>
                <w:szCs w:val="20"/>
              </w:rPr>
            </w:pPr>
            <w:r w:rsidRPr="004433B1">
              <w:rPr>
                <w:rFonts w:ascii="Arial" w:hAnsi="Arial" w:cs="Arial"/>
                <w:sz w:val="20"/>
                <w:szCs w:val="20"/>
              </w:rPr>
              <w:t>ISSN 0353-9555</w:t>
            </w:r>
          </w:p>
        </w:tc>
      </w:tr>
      <w:tr w:rsidR="00066E6C" w:rsidRPr="004433B1">
        <w:trPr>
          <w:cantSplit/>
          <w:trHeight w:val="836"/>
        </w:trPr>
        <w:tc>
          <w:tcPr>
            <w:tcW w:w="0" w:type="auto"/>
            <w:gridSpan w:val="2"/>
            <w:tcBorders>
              <w:top w:val="nil"/>
              <w:left w:val="nil"/>
              <w:right w:val="nil"/>
            </w:tcBorders>
            <w:vAlign w:val="center"/>
          </w:tcPr>
          <w:p w:rsidR="00066E6C" w:rsidRPr="004433B1" w:rsidRDefault="00066E6C" w:rsidP="00385077">
            <w:pPr>
              <w:spacing w:after="0" w:line="240" w:lineRule="auto"/>
              <w:rPr>
                <w:rFonts w:ascii="Arial" w:hAnsi="Arial" w:cs="Arial"/>
                <w:color w:val="808080"/>
                <w:sz w:val="20"/>
                <w:szCs w:val="20"/>
              </w:rPr>
            </w:pPr>
            <w:r w:rsidRPr="004433B1">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4433B1" w:rsidRDefault="00066E6C" w:rsidP="00385077">
            <w:pPr>
              <w:spacing w:after="0" w:line="240" w:lineRule="auto"/>
              <w:jc w:val="right"/>
              <w:rPr>
                <w:rFonts w:ascii="Arial" w:hAnsi="Arial" w:cs="Arial"/>
                <w:b/>
                <w:bCs/>
                <w:color w:val="808080"/>
                <w:sz w:val="12"/>
                <w:szCs w:val="12"/>
              </w:rPr>
            </w:pPr>
            <w:r w:rsidRPr="004433B1">
              <w:rPr>
                <w:rFonts w:ascii="Arial" w:hAnsi="Arial" w:cs="Arial"/>
                <w:b/>
                <w:bCs/>
                <w:color w:val="808080"/>
                <w:sz w:val="48"/>
                <w:szCs w:val="48"/>
              </w:rPr>
              <w:t>RS10</w:t>
            </w:r>
          </w:p>
        </w:tc>
      </w:tr>
      <w:tr w:rsidR="00066E6C" w:rsidRPr="004433B1">
        <w:trPr>
          <w:cantSplit/>
          <w:trHeight w:hRule="exact" w:val="279"/>
        </w:trPr>
        <w:tc>
          <w:tcPr>
            <w:tcW w:w="0" w:type="auto"/>
            <w:gridSpan w:val="2"/>
            <w:tcBorders>
              <w:top w:val="nil"/>
              <w:left w:val="nil"/>
              <w:bottom w:val="nil"/>
              <w:right w:val="nil"/>
            </w:tcBorders>
            <w:vAlign w:val="center"/>
          </w:tcPr>
          <w:p w:rsidR="00066E6C" w:rsidRPr="004433B1" w:rsidRDefault="00066E6C" w:rsidP="00654F6A">
            <w:pPr>
              <w:spacing w:after="0" w:line="240" w:lineRule="auto"/>
              <w:rPr>
                <w:rFonts w:ascii="Arial" w:hAnsi="Arial" w:cs="Arial"/>
                <w:color w:val="FF0000"/>
                <w:sz w:val="20"/>
                <w:szCs w:val="20"/>
              </w:rPr>
            </w:pPr>
            <w:r w:rsidRPr="004433B1">
              <w:rPr>
                <w:rFonts w:ascii="Arial" w:hAnsi="Arial" w:cs="Arial"/>
                <w:sz w:val="20"/>
                <w:szCs w:val="20"/>
              </w:rPr>
              <w:t xml:space="preserve">Number </w:t>
            </w:r>
            <w:r w:rsidR="00F735B3" w:rsidRPr="004433B1">
              <w:rPr>
                <w:rFonts w:ascii="Arial" w:hAnsi="Arial" w:cs="Arial"/>
                <w:sz w:val="20"/>
                <w:szCs w:val="20"/>
              </w:rPr>
              <w:t>45</w:t>
            </w:r>
            <w:r w:rsidRPr="004433B1">
              <w:rPr>
                <w:rFonts w:ascii="Arial" w:hAnsi="Arial" w:cs="Arial"/>
                <w:sz w:val="20"/>
                <w:szCs w:val="20"/>
              </w:rPr>
              <w:t xml:space="preserve"> - Year LXV</w:t>
            </w:r>
            <w:r w:rsidR="000A50B8" w:rsidRPr="004433B1">
              <w:rPr>
                <w:rFonts w:ascii="Arial" w:hAnsi="Arial" w:cs="Arial"/>
                <w:sz w:val="20"/>
                <w:szCs w:val="20"/>
              </w:rPr>
              <w:t>I</w:t>
            </w:r>
            <w:r w:rsidR="00F735B3" w:rsidRPr="004433B1">
              <w:rPr>
                <w:rFonts w:ascii="Arial" w:hAnsi="Arial" w:cs="Arial"/>
                <w:sz w:val="20"/>
                <w:szCs w:val="20"/>
              </w:rPr>
              <w:t>I</w:t>
            </w:r>
            <w:r w:rsidRPr="004433B1">
              <w:rPr>
                <w:rFonts w:ascii="Arial" w:hAnsi="Arial" w:cs="Arial"/>
                <w:sz w:val="20"/>
                <w:szCs w:val="20"/>
              </w:rPr>
              <w:t xml:space="preserve">I, </w:t>
            </w:r>
            <w:r w:rsidR="00654F6A">
              <w:rPr>
                <w:rFonts w:ascii="Arial" w:hAnsi="Arial" w:cs="Arial"/>
                <w:sz w:val="20"/>
                <w:szCs w:val="20"/>
              </w:rPr>
              <w:t>05</w:t>
            </w:r>
            <w:r w:rsidR="000A50B8" w:rsidRPr="004433B1">
              <w:rPr>
                <w:rFonts w:ascii="Arial" w:hAnsi="Arial" w:cs="Arial"/>
                <w:sz w:val="20"/>
                <w:szCs w:val="20"/>
              </w:rPr>
              <w:t>/</w:t>
            </w:r>
            <w:r w:rsidR="00F735B3" w:rsidRPr="004433B1">
              <w:rPr>
                <w:rFonts w:ascii="Arial" w:hAnsi="Arial" w:cs="Arial"/>
                <w:sz w:val="20"/>
                <w:szCs w:val="20"/>
              </w:rPr>
              <w:t>0</w:t>
            </w:r>
            <w:r w:rsidR="00654F6A">
              <w:rPr>
                <w:rFonts w:ascii="Arial" w:hAnsi="Arial" w:cs="Arial"/>
                <w:sz w:val="20"/>
                <w:szCs w:val="20"/>
              </w:rPr>
              <w:t>3</w:t>
            </w:r>
            <w:r w:rsidR="000A50B8" w:rsidRPr="004433B1">
              <w:rPr>
                <w:rFonts w:ascii="Arial" w:hAnsi="Arial" w:cs="Arial"/>
                <w:sz w:val="20"/>
                <w:szCs w:val="20"/>
              </w:rPr>
              <w:t>/201</w:t>
            </w:r>
            <w:r w:rsidR="00F735B3" w:rsidRPr="004433B1">
              <w:rPr>
                <w:rFonts w:ascii="Arial" w:hAnsi="Arial" w:cs="Arial"/>
                <w:sz w:val="20"/>
                <w:szCs w:val="20"/>
              </w:rPr>
              <w:t>8</w:t>
            </w:r>
          </w:p>
        </w:tc>
        <w:tc>
          <w:tcPr>
            <w:tcW w:w="0" w:type="auto"/>
            <w:tcBorders>
              <w:left w:val="nil"/>
              <w:bottom w:val="nil"/>
              <w:right w:val="nil"/>
            </w:tcBorders>
            <w:vAlign w:val="center"/>
          </w:tcPr>
          <w:p w:rsidR="00066E6C" w:rsidRPr="004433B1" w:rsidRDefault="00066E6C" w:rsidP="00385077">
            <w:pPr>
              <w:spacing w:after="0" w:line="240" w:lineRule="auto"/>
              <w:jc w:val="right"/>
              <w:rPr>
                <w:rFonts w:ascii="Arial" w:hAnsi="Arial" w:cs="Arial"/>
                <w:b/>
                <w:bCs/>
                <w:color w:val="FF0000"/>
                <w:sz w:val="48"/>
                <w:szCs w:val="48"/>
              </w:rPr>
            </w:pPr>
          </w:p>
        </w:tc>
      </w:tr>
      <w:tr w:rsidR="00066E6C" w:rsidRPr="004433B1">
        <w:trPr>
          <w:cantSplit/>
          <w:trHeight w:val="411"/>
        </w:trPr>
        <w:tc>
          <w:tcPr>
            <w:tcW w:w="0" w:type="auto"/>
            <w:gridSpan w:val="2"/>
            <w:tcBorders>
              <w:top w:val="nil"/>
              <w:left w:val="nil"/>
              <w:bottom w:val="single" w:sz="12" w:space="0" w:color="808080"/>
              <w:right w:val="nil"/>
            </w:tcBorders>
            <w:vAlign w:val="center"/>
          </w:tcPr>
          <w:p w:rsidR="00066E6C" w:rsidRPr="004433B1" w:rsidRDefault="00066E6C" w:rsidP="00385077">
            <w:pPr>
              <w:spacing w:after="0" w:line="240" w:lineRule="auto"/>
              <w:rPr>
                <w:rFonts w:ascii="Arial" w:hAnsi="Arial" w:cs="Arial"/>
                <w:b/>
                <w:bCs/>
                <w:sz w:val="24"/>
                <w:szCs w:val="24"/>
              </w:rPr>
            </w:pPr>
            <w:r w:rsidRPr="004433B1">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4433B1" w:rsidRDefault="00066E6C" w:rsidP="00654F6A">
            <w:pPr>
              <w:spacing w:after="0" w:line="240" w:lineRule="auto"/>
              <w:jc w:val="right"/>
              <w:rPr>
                <w:rFonts w:ascii="Arial" w:hAnsi="Arial" w:cs="Arial"/>
                <w:b/>
                <w:bCs/>
                <w:sz w:val="20"/>
                <w:szCs w:val="20"/>
              </w:rPr>
            </w:pPr>
            <w:r w:rsidRPr="004433B1">
              <w:rPr>
                <w:rFonts w:ascii="Arial" w:hAnsi="Arial" w:cs="Arial"/>
                <w:sz w:val="20"/>
                <w:szCs w:val="20"/>
              </w:rPr>
              <w:t>SERB</w:t>
            </w:r>
            <w:r w:rsidR="00F735B3" w:rsidRPr="004433B1">
              <w:rPr>
                <w:rFonts w:ascii="Arial" w:hAnsi="Arial" w:cs="Arial"/>
                <w:sz w:val="20"/>
                <w:szCs w:val="20"/>
              </w:rPr>
              <w:t>45</w:t>
            </w:r>
            <w:r w:rsidR="00487B9A" w:rsidRPr="004433B1">
              <w:rPr>
                <w:rFonts w:ascii="Arial" w:hAnsi="Arial" w:cs="Arial"/>
                <w:sz w:val="20"/>
                <w:szCs w:val="20"/>
              </w:rPr>
              <w:t xml:space="preserve"> </w:t>
            </w:r>
            <w:r w:rsidRPr="004433B1">
              <w:rPr>
                <w:rFonts w:ascii="Arial" w:hAnsi="Arial" w:cs="Arial"/>
                <w:sz w:val="20"/>
                <w:szCs w:val="20"/>
              </w:rPr>
              <w:t xml:space="preserve">RS10 </w:t>
            </w:r>
            <w:r w:rsidR="00654F6A">
              <w:rPr>
                <w:rFonts w:ascii="Arial" w:hAnsi="Arial" w:cs="Arial"/>
                <w:sz w:val="20"/>
                <w:szCs w:val="20"/>
              </w:rPr>
              <w:t>050318</w:t>
            </w:r>
          </w:p>
        </w:tc>
      </w:tr>
    </w:tbl>
    <w:p w:rsidR="00066E6C" w:rsidRPr="004433B1" w:rsidRDefault="00066E6C" w:rsidP="00385077">
      <w:pPr>
        <w:spacing w:before="80" w:after="120" w:line="240" w:lineRule="auto"/>
        <w:jc w:val="center"/>
        <w:rPr>
          <w:rFonts w:ascii="Arial" w:hAnsi="Arial" w:cs="Arial"/>
          <w:b/>
          <w:bCs/>
          <w:sz w:val="28"/>
          <w:szCs w:val="28"/>
        </w:rPr>
      </w:pPr>
    </w:p>
    <w:p w:rsidR="00066E6C" w:rsidRPr="004433B1" w:rsidRDefault="00066E6C" w:rsidP="00385077">
      <w:pPr>
        <w:spacing w:before="80" w:after="120" w:line="240" w:lineRule="auto"/>
        <w:jc w:val="center"/>
        <w:rPr>
          <w:rFonts w:ascii="Arial" w:hAnsi="Arial" w:cs="Arial"/>
          <w:b/>
          <w:bCs/>
          <w:sz w:val="24"/>
          <w:szCs w:val="24"/>
        </w:rPr>
      </w:pPr>
      <w:r w:rsidRPr="004433B1">
        <w:rPr>
          <w:rFonts w:ascii="Arial" w:hAnsi="Arial" w:cs="Arial"/>
          <w:b/>
          <w:bCs/>
          <w:sz w:val="24"/>
          <w:szCs w:val="24"/>
        </w:rPr>
        <w:t>Labour Force Survey, I</w:t>
      </w:r>
      <w:r w:rsidR="008E1B11" w:rsidRPr="004433B1">
        <w:rPr>
          <w:rFonts w:ascii="Arial" w:hAnsi="Arial" w:cs="Arial"/>
          <w:b/>
          <w:bCs/>
          <w:sz w:val="24"/>
          <w:szCs w:val="24"/>
        </w:rPr>
        <w:t>V</w:t>
      </w:r>
      <w:r w:rsidRPr="004433B1">
        <w:rPr>
          <w:rFonts w:ascii="Arial" w:hAnsi="Arial" w:cs="Arial"/>
          <w:b/>
          <w:bCs/>
          <w:sz w:val="24"/>
          <w:szCs w:val="24"/>
        </w:rPr>
        <w:t xml:space="preserve"> quarter 201</w:t>
      </w:r>
      <w:r w:rsidR="00203C7C" w:rsidRPr="004433B1">
        <w:rPr>
          <w:rFonts w:ascii="Arial" w:hAnsi="Arial" w:cs="Arial"/>
          <w:b/>
          <w:bCs/>
          <w:sz w:val="24"/>
          <w:szCs w:val="24"/>
        </w:rPr>
        <w:t>7</w:t>
      </w:r>
      <w:r w:rsidRPr="004433B1">
        <w:rPr>
          <w:rFonts w:ascii="Arial" w:hAnsi="Arial" w:cs="Arial"/>
          <w:b/>
          <w:bCs/>
          <w:sz w:val="24"/>
          <w:szCs w:val="24"/>
        </w:rPr>
        <w:t xml:space="preserve"> </w:t>
      </w:r>
    </w:p>
    <w:p w:rsidR="00066E6C" w:rsidRPr="004433B1" w:rsidRDefault="00066E6C" w:rsidP="0098672C">
      <w:pPr>
        <w:spacing w:before="80" w:after="240" w:line="240" w:lineRule="auto"/>
        <w:jc w:val="center"/>
        <w:rPr>
          <w:rFonts w:ascii="Arial" w:hAnsi="Arial" w:cs="Arial"/>
        </w:rPr>
      </w:pPr>
      <w:r w:rsidRPr="004433B1">
        <w:rPr>
          <w:rFonts w:ascii="Arial" w:hAnsi="Arial" w:cs="Arial"/>
        </w:rPr>
        <w:t>– Preliminary results –</w:t>
      </w:r>
    </w:p>
    <w:p w:rsidR="0031687A" w:rsidRPr="004433B1" w:rsidRDefault="00066E6C" w:rsidP="008C3F4B">
      <w:pPr>
        <w:pStyle w:val="NormalWeb"/>
        <w:spacing w:beforeLines="0" w:before="120" w:afterLines="0" w:after="120" w:line="300" w:lineRule="auto"/>
        <w:ind w:firstLine="397"/>
        <w:jc w:val="both"/>
        <w:rPr>
          <w:rFonts w:ascii="Arial" w:hAnsi="Arial" w:cs="Arial"/>
          <w:lang w:val="en-GB"/>
        </w:rPr>
      </w:pPr>
      <w:r w:rsidRPr="004433B1">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4433B1">
        <w:rPr>
          <w:rFonts w:ascii="Arial" w:hAnsi="Arial" w:cs="Arial"/>
          <w:lang w:val="en-GB"/>
        </w:rPr>
        <w:t>n labour market.</w:t>
      </w:r>
    </w:p>
    <w:p w:rsidR="00BF0214" w:rsidRPr="004433B1" w:rsidRDefault="0098672C" w:rsidP="008C3F4B">
      <w:pPr>
        <w:pStyle w:val="NormalWeb"/>
        <w:spacing w:beforeLines="0" w:before="120" w:afterLines="0" w:after="120" w:line="300" w:lineRule="auto"/>
        <w:ind w:firstLine="397"/>
        <w:jc w:val="both"/>
        <w:rPr>
          <w:rFonts w:ascii="Arial" w:hAnsi="Arial" w:cs="Arial"/>
          <w:lang w:val="en-GB"/>
        </w:rPr>
      </w:pPr>
      <w:r w:rsidRPr="004433B1">
        <w:rPr>
          <w:rFonts w:ascii="Arial" w:hAnsi="Arial" w:cs="Arial"/>
          <w:lang w:val="en-GB"/>
        </w:rPr>
        <w:t xml:space="preserve">In the </w:t>
      </w:r>
      <w:r w:rsidR="008E1B11" w:rsidRPr="004433B1">
        <w:rPr>
          <w:rFonts w:ascii="Arial" w:hAnsi="Arial" w:cs="Arial"/>
          <w:lang w:val="en-GB"/>
        </w:rPr>
        <w:t>fourth</w:t>
      </w:r>
      <w:r w:rsidRPr="004433B1">
        <w:rPr>
          <w:rFonts w:ascii="Arial" w:hAnsi="Arial" w:cs="Arial"/>
          <w:lang w:val="en-GB"/>
        </w:rPr>
        <w:t xml:space="preserve"> quarter of 2017, </w:t>
      </w:r>
      <w:r w:rsidR="008E1B11" w:rsidRPr="004433B1">
        <w:rPr>
          <w:rFonts w:ascii="Arial" w:hAnsi="Arial" w:cs="Arial"/>
          <w:lang w:val="en-GB"/>
        </w:rPr>
        <w:t>number of the employed amounted to 2</w:t>
      </w:r>
      <w:r w:rsidR="008F6EC5">
        <w:rPr>
          <w:rFonts w:ascii="Arial" w:hAnsi="Arial" w:cs="Arial"/>
          <w:lang w:val="en-GB"/>
        </w:rPr>
        <w:t> </w:t>
      </w:r>
      <w:r w:rsidR="008E1B11" w:rsidRPr="004433B1">
        <w:rPr>
          <w:rFonts w:ascii="Arial" w:hAnsi="Arial" w:cs="Arial"/>
          <w:lang w:val="en-GB"/>
        </w:rPr>
        <w:t>763</w:t>
      </w:r>
      <w:r w:rsidR="008F6EC5">
        <w:rPr>
          <w:rFonts w:ascii="Arial" w:hAnsi="Arial" w:cs="Arial"/>
          <w:lang w:val="en-GB"/>
        </w:rPr>
        <w:t> </w:t>
      </w:r>
      <w:r w:rsidR="008E1B11" w:rsidRPr="004433B1">
        <w:rPr>
          <w:rFonts w:ascii="Arial" w:hAnsi="Arial" w:cs="Arial"/>
          <w:lang w:val="en-GB"/>
        </w:rPr>
        <w:t>600, and number of the unemployed to 475</w:t>
      </w:r>
      <w:r w:rsidR="008F6EC5">
        <w:rPr>
          <w:rFonts w:ascii="Arial" w:hAnsi="Arial" w:cs="Arial"/>
          <w:lang w:val="en-GB"/>
        </w:rPr>
        <w:t> </w:t>
      </w:r>
      <w:r w:rsidR="008E1B11" w:rsidRPr="004433B1">
        <w:rPr>
          <w:rFonts w:ascii="Arial" w:hAnsi="Arial" w:cs="Arial"/>
          <w:lang w:val="en-GB"/>
        </w:rPr>
        <w:t>600. E</w:t>
      </w:r>
      <w:r w:rsidRPr="004433B1">
        <w:rPr>
          <w:rFonts w:ascii="Arial" w:hAnsi="Arial" w:cs="Arial"/>
          <w:lang w:val="en-GB"/>
        </w:rPr>
        <w:t>mployment rate of population aged 15 and over amounted to 4</w:t>
      </w:r>
      <w:r w:rsidR="008E1B11" w:rsidRPr="004433B1">
        <w:rPr>
          <w:rFonts w:ascii="Arial" w:hAnsi="Arial" w:cs="Arial"/>
          <w:lang w:val="en-GB"/>
        </w:rPr>
        <w:t>6</w:t>
      </w:r>
      <w:r w:rsidRPr="004433B1">
        <w:rPr>
          <w:rFonts w:ascii="Arial" w:hAnsi="Arial" w:cs="Arial"/>
          <w:lang w:val="en-GB"/>
        </w:rPr>
        <w:t>.</w:t>
      </w:r>
      <w:r w:rsidR="008E1B11" w:rsidRPr="004433B1">
        <w:rPr>
          <w:rFonts w:ascii="Arial" w:hAnsi="Arial" w:cs="Arial"/>
          <w:lang w:val="en-GB"/>
        </w:rPr>
        <w:t>3</w:t>
      </w:r>
      <w:r w:rsidRPr="004433B1">
        <w:rPr>
          <w:rFonts w:ascii="Arial" w:hAnsi="Arial" w:cs="Arial"/>
          <w:lang w:val="en-GB"/>
        </w:rPr>
        <w:t>%, unemployment rate to 1</w:t>
      </w:r>
      <w:r w:rsidR="008E1B11" w:rsidRPr="004433B1">
        <w:rPr>
          <w:rFonts w:ascii="Arial" w:hAnsi="Arial" w:cs="Arial"/>
          <w:lang w:val="en-GB"/>
        </w:rPr>
        <w:t>4</w:t>
      </w:r>
      <w:r w:rsidRPr="004433B1">
        <w:rPr>
          <w:rFonts w:ascii="Arial" w:hAnsi="Arial" w:cs="Arial"/>
          <w:lang w:val="en-GB"/>
        </w:rPr>
        <w:t>.</w:t>
      </w:r>
      <w:r w:rsidR="008E1B11" w:rsidRPr="004433B1">
        <w:rPr>
          <w:rFonts w:ascii="Arial" w:hAnsi="Arial" w:cs="Arial"/>
          <w:lang w:val="en-GB"/>
        </w:rPr>
        <w:t>7</w:t>
      </w:r>
      <w:r w:rsidRPr="004433B1">
        <w:rPr>
          <w:rFonts w:ascii="Arial" w:hAnsi="Arial" w:cs="Arial"/>
          <w:lang w:val="en-GB"/>
        </w:rPr>
        <w:t xml:space="preserve">%, </w:t>
      </w:r>
      <w:r w:rsidR="008E1B11" w:rsidRPr="004433B1">
        <w:rPr>
          <w:rFonts w:ascii="Arial" w:hAnsi="Arial" w:cs="Arial"/>
          <w:lang w:val="en-GB"/>
        </w:rPr>
        <w:t xml:space="preserve">resulting in activity rate of 54.2%, while </w:t>
      </w:r>
      <w:r w:rsidRPr="004433B1">
        <w:rPr>
          <w:rFonts w:ascii="Arial" w:hAnsi="Arial" w:cs="Arial"/>
          <w:lang w:val="en-GB"/>
        </w:rPr>
        <w:t xml:space="preserve">inactivity rate </w:t>
      </w:r>
      <w:r w:rsidR="008E1B11" w:rsidRPr="004433B1">
        <w:rPr>
          <w:rFonts w:ascii="Arial" w:hAnsi="Arial" w:cs="Arial"/>
          <w:lang w:val="en-GB"/>
        </w:rPr>
        <w:t>was</w:t>
      </w:r>
      <w:r w:rsidRPr="004433B1">
        <w:rPr>
          <w:rFonts w:ascii="Arial" w:hAnsi="Arial" w:cs="Arial"/>
          <w:lang w:val="en-GB"/>
        </w:rPr>
        <w:t xml:space="preserve"> 4</w:t>
      </w:r>
      <w:r w:rsidR="008E1B11" w:rsidRPr="004433B1">
        <w:rPr>
          <w:rFonts w:ascii="Arial" w:hAnsi="Arial" w:cs="Arial"/>
          <w:lang w:val="en-GB"/>
        </w:rPr>
        <w:t>5</w:t>
      </w:r>
      <w:r w:rsidRPr="004433B1">
        <w:rPr>
          <w:rFonts w:ascii="Arial" w:hAnsi="Arial" w:cs="Arial"/>
          <w:lang w:val="en-GB"/>
        </w:rPr>
        <w:t>.</w:t>
      </w:r>
      <w:r w:rsidR="008E1B11" w:rsidRPr="004433B1">
        <w:rPr>
          <w:rFonts w:ascii="Arial" w:hAnsi="Arial" w:cs="Arial"/>
          <w:lang w:val="en-GB"/>
        </w:rPr>
        <w:t>8</w:t>
      </w:r>
      <w:r w:rsidRPr="004433B1">
        <w:rPr>
          <w:rFonts w:ascii="Arial" w:hAnsi="Arial" w:cs="Arial"/>
          <w:lang w:val="en-GB"/>
        </w:rPr>
        <w:t>%.</w:t>
      </w:r>
    </w:p>
    <w:p w:rsidR="00066E6C" w:rsidRPr="004433B1" w:rsidRDefault="00066E6C" w:rsidP="007951B3">
      <w:pPr>
        <w:pStyle w:val="NormalWeb"/>
        <w:spacing w:beforeLines="0" w:before="360" w:after="2"/>
        <w:jc w:val="center"/>
        <w:rPr>
          <w:rFonts w:ascii="Arial" w:hAnsi="Arial" w:cs="Arial"/>
          <w:lang w:val="en-GB"/>
        </w:rPr>
      </w:pPr>
      <w:r w:rsidRPr="004433B1">
        <w:rPr>
          <w:rFonts w:ascii="Arial" w:hAnsi="Arial" w:cs="Arial"/>
          <w:b/>
          <w:bCs/>
          <w:lang w:val="en-GB"/>
        </w:rPr>
        <w:t>Graph 1</w:t>
      </w:r>
      <w:r w:rsidR="00D636F1" w:rsidRPr="004433B1">
        <w:rPr>
          <w:rFonts w:ascii="Arial" w:hAnsi="Arial" w:cs="Arial"/>
          <w:lang w:val="en-GB"/>
        </w:rPr>
        <w:t xml:space="preserve"> Trend of employment/</w:t>
      </w:r>
      <w:r w:rsidRPr="004433B1">
        <w:rPr>
          <w:rFonts w:ascii="Arial" w:hAnsi="Arial" w:cs="Arial"/>
          <w:lang w:val="en-GB"/>
        </w:rPr>
        <w:t>unemployment rates (in %), population 15+, 2014-201</w:t>
      </w:r>
      <w:r w:rsidR="00203C7C" w:rsidRPr="004433B1">
        <w:rPr>
          <w:rFonts w:ascii="Arial" w:hAnsi="Arial" w:cs="Arial"/>
          <w:lang w:val="en-GB"/>
        </w:rPr>
        <w:t>7</w:t>
      </w:r>
      <w:r w:rsidR="00D636F1" w:rsidRPr="004433B1">
        <w:rPr>
          <w:rFonts w:ascii="Arial" w:hAnsi="Arial" w:cs="Arial"/>
          <w:lang w:val="en-GB"/>
        </w:rPr>
        <w:t xml:space="preserve"> </w:t>
      </w:r>
    </w:p>
    <w:p w:rsidR="00066E6C" w:rsidRPr="004433B1" w:rsidRDefault="008F6EC5" w:rsidP="00E23401">
      <w:pPr>
        <w:autoSpaceDE w:val="0"/>
        <w:autoSpaceDN w:val="0"/>
        <w:adjustRightInd w:val="0"/>
        <w:spacing w:before="120" w:after="120" w:line="240" w:lineRule="auto"/>
        <w:jc w:val="center"/>
      </w:pPr>
      <w:r w:rsidRPr="008F6EC5">
        <w:rPr>
          <w:noProof/>
          <w:lang w:val="en-US"/>
        </w:rPr>
        <w:drawing>
          <wp:inline distT="0" distB="0" distL="0" distR="0">
            <wp:extent cx="6479540" cy="224111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2241114"/>
                    </a:xfrm>
                    <a:prstGeom prst="rect">
                      <a:avLst/>
                    </a:prstGeom>
                    <a:noFill/>
                    <a:ln>
                      <a:noFill/>
                    </a:ln>
                  </pic:spPr>
                </pic:pic>
              </a:graphicData>
            </a:graphic>
          </wp:inline>
        </w:drawing>
      </w:r>
    </w:p>
    <w:p w:rsidR="0098672C" w:rsidRPr="004433B1" w:rsidRDefault="0098672C" w:rsidP="00BA2E8C">
      <w:pPr>
        <w:pStyle w:val="FootnoteText"/>
        <w:spacing w:before="240" w:after="120" w:line="300" w:lineRule="auto"/>
        <w:ind w:firstLine="403"/>
        <w:jc w:val="both"/>
        <w:rPr>
          <w:rStyle w:val="IntenseEmphasis"/>
          <w:b/>
          <w:i w:val="0"/>
          <w:iCs w:val="0"/>
          <w:color w:val="auto"/>
        </w:rPr>
      </w:pPr>
      <w:r w:rsidRPr="004433B1">
        <w:rPr>
          <w:rStyle w:val="IntenseEmphasis"/>
          <w:rFonts w:ascii="Arial" w:hAnsi="Arial" w:cs="Arial"/>
          <w:b/>
          <w:i w:val="0"/>
          <w:color w:val="auto"/>
        </w:rPr>
        <w:t xml:space="preserve">Comparison with the previous quarter </w:t>
      </w:r>
    </w:p>
    <w:p w:rsidR="00901D45" w:rsidRPr="00901D45" w:rsidRDefault="00901D45" w:rsidP="00901D45">
      <w:pPr>
        <w:pStyle w:val="NormalWeb"/>
        <w:spacing w:before="2" w:after="2" w:line="288" w:lineRule="auto"/>
        <w:ind w:firstLine="403"/>
        <w:jc w:val="both"/>
        <w:rPr>
          <w:rFonts w:ascii="Arial" w:hAnsi="Arial" w:cs="Arial"/>
          <w:lang w:val="en-GB"/>
        </w:rPr>
      </w:pPr>
      <w:r w:rsidRPr="00901D45">
        <w:rPr>
          <w:rFonts w:ascii="Arial" w:hAnsi="Arial" w:cs="Arial"/>
          <w:lang w:val="en-GB"/>
        </w:rPr>
        <w:t xml:space="preserve">Relative to the third quarter 2017, employment decreased by 118 300, out of which 86% related to the activity of Agriculture, forestry and fishery and to Households producing goods and services, due to seasonal character of the jobs. Decreased employment reflected to decreased employment rate, by 1.9 p.p. relative to the previous quarter. Due to decreased employment, unemployment and inactivity were increased </w:t>
      </w:r>
      <w:r w:rsidRPr="00682F25">
        <w:rPr>
          <w:rFonts w:ascii="Arial" w:hAnsi="Arial" w:cs="Arial"/>
          <w:lang w:val="en-GB"/>
        </w:rPr>
        <w:t xml:space="preserve">by </w:t>
      </w:r>
      <w:r w:rsidR="00E04051" w:rsidRPr="00682F25">
        <w:rPr>
          <w:rFonts w:ascii="Arial" w:hAnsi="Arial" w:cs="Arial"/>
          <w:lang w:val="en-GB"/>
        </w:rPr>
        <w:t>47 4</w:t>
      </w:r>
      <w:r w:rsidRPr="00682F25">
        <w:rPr>
          <w:rFonts w:ascii="Arial" w:hAnsi="Arial" w:cs="Arial"/>
          <w:lang w:val="en-GB"/>
        </w:rPr>
        <w:t>00</w:t>
      </w:r>
      <w:r w:rsidRPr="00B16406">
        <w:rPr>
          <w:rFonts w:ascii="Arial" w:hAnsi="Arial" w:cs="Arial"/>
          <w:lang w:val="en-GB"/>
        </w:rPr>
        <w:t xml:space="preserve"> </w:t>
      </w:r>
      <w:r w:rsidRPr="00901D45">
        <w:rPr>
          <w:rFonts w:ascii="Arial" w:hAnsi="Arial" w:cs="Arial"/>
          <w:lang w:val="en-GB"/>
        </w:rPr>
        <w:t>and 63 900 respectively, whereof majority of males changed the activity status from employed into unemployed, while females became inactive after termination of employment. Unemployment rate and inactivity rate were increased by 1.7 and 1.1 p.p. respectively.</w:t>
      </w:r>
    </w:p>
    <w:p w:rsidR="00901D45" w:rsidRPr="00901D45" w:rsidRDefault="00901D45" w:rsidP="00901D45">
      <w:pPr>
        <w:pStyle w:val="NormalWeb"/>
        <w:spacing w:before="2" w:after="2" w:line="288" w:lineRule="auto"/>
        <w:ind w:firstLine="403"/>
        <w:jc w:val="both"/>
        <w:rPr>
          <w:rFonts w:ascii="Arial" w:hAnsi="Arial" w:cs="Arial"/>
          <w:lang w:val="en-GB"/>
        </w:rPr>
      </w:pPr>
      <w:r w:rsidRPr="00901D45">
        <w:rPr>
          <w:rFonts w:ascii="Arial" w:hAnsi="Arial" w:cs="Arial"/>
          <w:lang w:val="en-GB"/>
        </w:rPr>
        <w:t>Similar trend of decreased employment and increased unemployment and inactivity, recorded in overall population, affected the young population aged 15-24 as well. Among them the employment rate was decreased by 2.3 p.p, while unemployment rate and inactivity rate were increased by 4.5 and 1.2 p. p respectively.</w:t>
      </w:r>
    </w:p>
    <w:p w:rsidR="00DA31E3" w:rsidRPr="004433B1" w:rsidRDefault="00901D45" w:rsidP="00901D45">
      <w:pPr>
        <w:pStyle w:val="NormalWeb"/>
        <w:spacing w:beforeLines="0" w:before="120" w:afterLines="0" w:after="120" w:line="288" w:lineRule="auto"/>
        <w:ind w:firstLine="403"/>
        <w:jc w:val="both"/>
        <w:rPr>
          <w:rFonts w:ascii="Arial" w:hAnsi="Arial" w:cs="Arial"/>
          <w:lang w:val="en-GB"/>
        </w:rPr>
      </w:pPr>
      <w:r w:rsidRPr="00901D45">
        <w:rPr>
          <w:rFonts w:ascii="Arial" w:hAnsi="Arial" w:cs="Arial"/>
          <w:lang w:val="en-GB"/>
        </w:rPr>
        <w:lastRenderedPageBreak/>
        <w:t>Compared with other regions, Beogradski region “suffered” the lowest loss of jobs, and it is not surprising, knowing that seasonal jobs that terminated during the winter months were the least present in this region. Therefore, Beogradski region showed the best results on labour market, unlike Region Južne i Istočne Srbije, where employment rate was the lowest and unemployment and inactivity rates were the greatest, compared with other regions.</w:t>
      </w:r>
      <w:r w:rsidR="00DA31E3" w:rsidRPr="004433B1">
        <w:rPr>
          <w:rFonts w:ascii="Arial" w:hAnsi="Arial" w:cs="Arial"/>
          <w:lang w:val="en-GB"/>
        </w:rPr>
        <w:t xml:space="preserve"> </w:t>
      </w:r>
    </w:p>
    <w:p w:rsidR="0098672C" w:rsidRPr="004433B1" w:rsidRDefault="0098672C" w:rsidP="002F20C3">
      <w:pPr>
        <w:spacing w:before="360" w:after="120" w:line="288" w:lineRule="auto"/>
        <w:ind w:firstLine="403"/>
        <w:jc w:val="both"/>
        <w:rPr>
          <w:rStyle w:val="IntenseEmphasis"/>
          <w:rFonts w:ascii="Arial" w:hAnsi="Arial" w:cs="Arial"/>
          <w:b/>
          <w:i w:val="0"/>
          <w:color w:val="auto"/>
          <w:sz w:val="20"/>
          <w:szCs w:val="20"/>
        </w:rPr>
      </w:pPr>
      <w:r w:rsidRPr="004433B1">
        <w:rPr>
          <w:rStyle w:val="IntenseEmphasis"/>
          <w:rFonts w:ascii="Arial" w:hAnsi="Arial" w:cs="Arial"/>
          <w:b/>
          <w:i w:val="0"/>
          <w:color w:val="auto"/>
          <w:sz w:val="20"/>
          <w:szCs w:val="20"/>
        </w:rPr>
        <w:t xml:space="preserve">Comparison with the same period of the previous year </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Relative to the fourth quarter of the previous year, number of employed population increased by 32 200, while number of unemployed population increased by 65 700. Employment rate and unemployment rate were increased by 0.8 and 1.6 p.p.  respectively.</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Within total employment, which was increased by 32 200, informal employment was decreased by 24 300 and formal employment was increased by 56 500. Increase of formal employment was almost identical to increase of registered employment by 56 400, according to the records of Central register of compulsory social insurance in the same period.</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Employment growth mostly affected persons aged 25-44 from Beogradski region and region Vojvodine, in the following sections of activity: Manufacturing, Transport and storage, Information and communication.   </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Decreased employment and increased unemployment were recorded only in Region Južne i Istočne Srbije.</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Informal employment rate was decreased, amounting to 19.8%, and number of informally employed persons was 546 400. If 172 800 of formally employed persons, who did not exercise neither the right to health nor to pension insurance, and who therefore, according to more strict definition of formal/ informal employment do not belong to the category of formally employed, were added, number of informally employed would be 719 200 and informal employment rate would amount to 26%.   </w:t>
      </w:r>
    </w:p>
    <w:p w:rsidR="00121971" w:rsidRPr="004433B1"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Results on labour market are not influenced only by trends of employment and unemployment, but also by demographic trends, which are particularly unfavourable regarding the population aged 15-24. Namely, number of young people, relative to the same period of the previous year, has decreased by 15 100, presenting a half of total decrease of overall population. Additionally, there were no significant changes in the number of employed, while number of unemployed persons increased by 8 600, and unemployment rate increased by 2.1 p.p. Such trends resulted in employment rate of 21.4% and unemployment rate of 33.3%. NEET rate, presenting the share of young who neither work nor attend school, in total population of young aged 15-24, increased by 1.1 p.p relative to the same period last year and amounted to 17.6%.</w:t>
      </w:r>
      <w:r w:rsidR="00121971" w:rsidRPr="004433B1">
        <w:rPr>
          <w:rFonts w:ascii="Arial" w:hAnsi="Arial" w:cs="Arial"/>
          <w:sz w:val="20"/>
          <w:szCs w:val="20"/>
        </w:rPr>
        <w:t xml:space="preserve"> </w:t>
      </w:r>
    </w:p>
    <w:p w:rsidR="00066E6C" w:rsidRPr="004433B1" w:rsidRDefault="00066E6C" w:rsidP="002F20C3">
      <w:pPr>
        <w:spacing w:before="480" w:after="360" w:line="288" w:lineRule="auto"/>
        <w:ind w:firstLine="288"/>
        <w:jc w:val="center"/>
        <w:rPr>
          <w:rFonts w:ascii="Arial" w:hAnsi="Arial" w:cs="Arial"/>
          <w:b/>
          <w:bCs/>
        </w:rPr>
      </w:pPr>
      <w:r w:rsidRPr="004433B1">
        <w:rPr>
          <w:rFonts w:ascii="Arial" w:hAnsi="Arial" w:cs="Arial"/>
          <w:b/>
          <w:bCs/>
        </w:rPr>
        <w:t>Labour Force</w:t>
      </w:r>
    </w:p>
    <w:p w:rsidR="00E23401" w:rsidRPr="004433B1" w:rsidRDefault="00066E6C"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Number of active population</w:t>
      </w:r>
      <w:r w:rsidRPr="004433B1">
        <w:rPr>
          <w:rFonts w:ascii="Arial" w:hAnsi="Arial" w:cs="Arial"/>
          <w:sz w:val="20"/>
          <w:szCs w:val="20"/>
        </w:rPr>
        <w:t xml:space="preserve"> aged 15 and over amounted to 3</w:t>
      </w:r>
      <w:r w:rsidR="008F6EC5">
        <w:rPr>
          <w:rFonts w:ascii="Arial" w:hAnsi="Arial" w:cs="Arial"/>
          <w:sz w:val="20"/>
          <w:szCs w:val="20"/>
        </w:rPr>
        <w:t> </w:t>
      </w:r>
      <w:r w:rsidR="007B09CD" w:rsidRPr="004433B1">
        <w:rPr>
          <w:rFonts w:ascii="Arial" w:hAnsi="Arial" w:cs="Arial"/>
          <w:sz w:val="20"/>
          <w:szCs w:val="20"/>
        </w:rPr>
        <w:t>239</w:t>
      </w:r>
      <w:r w:rsidR="008F6EC5">
        <w:rPr>
          <w:rFonts w:ascii="Arial" w:hAnsi="Arial" w:cs="Arial"/>
          <w:sz w:val="20"/>
          <w:szCs w:val="20"/>
        </w:rPr>
        <w:t> </w:t>
      </w:r>
      <w:r w:rsidR="007B09CD" w:rsidRPr="004433B1">
        <w:rPr>
          <w:rFonts w:ascii="Arial" w:hAnsi="Arial" w:cs="Arial"/>
          <w:sz w:val="20"/>
          <w:szCs w:val="20"/>
        </w:rPr>
        <w:t>2</w:t>
      </w:r>
      <w:r w:rsidRPr="004433B1">
        <w:rPr>
          <w:rFonts w:ascii="Arial" w:hAnsi="Arial" w:cs="Arial"/>
          <w:sz w:val="20"/>
          <w:szCs w:val="20"/>
        </w:rPr>
        <w:t xml:space="preserve">00 persons in the </w:t>
      </w:r>
      <w:r w:rsidR="007B09CD" w:rsidRPr="004433B1">
        <w:rPr>
          <w:rFonts w:ascii="Arial" w:hAnsi="Arial" w:cs="Arial"/>
          <w:sz w:val="20"/>
          <w:szCs w:val="20"/>
        </w:rPr>
        <w:t>fourth</w:t>
      </w:r>
      <w:r w:rsidRPr="004433B1">
        <w:rPr>
          <w:rFonts w:ascii="Arial" w:hAnsi="Arial" w:cs="Arial"/>
          <w:sz w:val="20"/>
          <w:szCs w:val="20"/>
        </w:rPr>
        <w:t xml:space="preserve"> quarter 201</w:t>
      </w:r>
      <w:r w:rsidR="00BA4671" w:rsidRPr="004433B1">
        <w:rPr>
          <w:rFonts w:ascii="Arial" w:hAnsi="Arial" w:cs="Arial"/>
          <w:sz w:val="20"/>
          <w:szCs w:val="20"/>
        </w:rPr>
        <w:t>7</w:t>
      </w:r>
      <w:r w:rsidRPr="004433B1">
        <w:rPr>
          <w:rFonts w:ascii="Arial" w:hAnsi="Arial" w:cs="Arial"/>
          <w:sz w:val="20"/>
          <w:szCs w:val="20"/>
        </w:rPr>
        <w:t>, out of which 2</w:t>
      </w:r>
      <w:r w:rsidR="008F6EC5">
        <w:rPr>
          <w:rFonts w:ascii="Arial" w:hAnsi="Arial" w:cs="Arial"/>
          <w:sz w:val="20"/>
          <w:szCs w:val="20"/>
        </w:rPr>
        <w:t> </w:t>
      </w:r>
      <w:r w:rsidR="007B09CD" w:rsidRPr="004433B1">
        <w:rPr>
          <w:rFonts w:ascii="Arial" w:hAnsi="Arial" w:cs="Arial"/>
          <w:sz w:val="20"/>
          <w:szCs w:val="20"/>
        </w:rPr>
        <w:t>763</w:t>
      </w:r>
      <w:r w:rsidR="008F6EC5">
        <w:rPr>
          <w:rFonts w:ascii="Arial" w:hAnsi="Arial" w:cs="Arial"/>
          <w:sz w:val="20"/>
          <w:szCs w:val="20"/>
        </w:rPr>
        <w:t> </w:t>
      </w:r>
      <w:r w:rsidR="007B09CD" w:rsidRPr="004433B1">
        <w:rPr>
          <w:rFonts w:ascii="Arial" w:hAnsi="Arial" w:cs="Arial"/>
          <w:sz w:val="20"/>
          <w:szCs w:val="20"/>
        </w:rPr>
        <w:t>6</w:t>
      </w:r>
      <w:r w:rsidRPr="004433B1">
        <w:rPr>
          <w:rFonts w:ascii="Arial" w:hAnsi="Arial" w:cs="Arial"/>
          <w:sz w:val="20"/>
          <w:szCs w:val="20"/>
        </w:rPr>
        <w:t xml:space="preserve">00 related to employed and </w:t>
      </w:r>
      <w:r w:rsidR="000A5409" w:rsidRPr="004433B1">
        <w:rPr>
          <w:rFonts w:ascii="Arial" w:hAnsi="Arial" w:cs="Arial"/>
          <w:sz w:val="20"/>
          <w:szCs w:val="20"/>
        </w:rPr>
        <w:t>4</w:t>
      </w:r>
      <w:r w:rsidR="007B09CD" w:rsidRPr="004433B1">
        <w:rPr>
          <w:rFonts w:ascii="Arial" w:hAnsi="Arial" w:cs="Arial"/>
          <w:sz w:val="20"/>
          <w:szCs w:val="20"/>
        </w:rPr>
        <w:t>75</w:t>
      </w:r>
      <w:r w:rsidR="008F6EC5">
        <w:rPr>
          <w:rFonts w:ascii="Arial" w:hAnsi="Arial" w:cs="Arial"/>
          <w:sz w:val="20"/>
          <w:szCs w:val="20"/>
        </w:rPr>
        <w:t> </w:t>
      </w:r>
      <w:r w:rsidR="007B09CD" w:rsidRPr="004433B1">
        <w:rPr>
          <w:rFonts w:ascii="Arial" w:hAnsi="Arial" w:cs="Arial"/>
          <w:sz w:val="20"/>
          <w:szCs w:val="20"/>
        </w:rPr>
        <w:t>6</w:t>
      </w:r>
      <w:r w:rsidRPr="004433B1">
        <w:rPr>
          <w:rFonts w:ascii="Arial" w:hAnsi="Arial" w:cs="Arial"/>
          <w:sz w:val="20"/>
          <w:szCs w:val="20"/>
        </w:rPr>
        <w:t xml:space="preserve">00 to unemployed ones. </w:t>
      </w:r>
      <w:r w:rsidRPr="004433B1">
        <w:rPr>
          <w:rFonts w:ascii="Arial" w:hAnsi="Arial" w:cs="Arial"/>
          <w:b/>
          <w:sz w:val="20"/>
          <w:szCs w:val="20"/>
        </w:rPr>
        <w:t>Activity rate</w:t>
      </w:r>
      <w:r w:rsidRPr="004433B1">
        <w:rPr>
          <w:rFonts w:ascii="Arial" w:hAnsi="Arial" w:cs="Arial"/>
          <w:sz w:val="20"/>
          <w:szCs w:val="20"/>
        </w:rPr>
        <w:t xml:space="preserve"> was 5</w:t>
      </w:r>
      <w:r w:rsidR="007B09CD" w:rsidRPr="004433B1">
        <w:rPr>
          <w:rFonts w:ascii="Arial" w:hAnsi="Arial" w:cs="Arial"/>
          <w:sz w:val="20"/>
          <w:szCs w:val="20"/>
        </w:rPr>
        <w:t>4</w:t>
      </w:r>
      <w:r w:rsidRPr="004433B1">
        <w:rPr>
          <w:rFonts w:ascii="Arial" w:hAnsi="Arial" w:cs="Arial"/>
          <w:sz w:val="20"/>
          <w:szCs w:val="20"/>
        </w:rPr>
        <w:t>.</w:t>
      </w:r>
      <w:r w:rsidR="007B09CD" w:rsidRPr="004433B1">
        <w:rPr>
          <w:rFonts w:ascii="Arial" w:hAnsi="Arial" w:cs="Arial"/>
          <w:sz w:val="20"/>
          <w:szCs w:val="20"/>
        </w:rPr>
        <w:t>2</w:t>
      </w:r>
      <w:r w:rsidRPr="004433B1">
        <w:rPr>
          <w:rFonts w:ascii="Arial" w:hAnsi="Arial" w:cs="Arial"/>
          <w:sz w:val="20"/>
          <w:szCs w:val="20"/>
        </w:rPr>
        <w:t xml:space="preserve">%, being by </w:t>
      </w:r>
      <w:r w:rsidR="007B09CD" w:rsidRPr="004433B1">
        <w:rPr>
          <w:rFonts w:ascii="Arial" w:hAnsi="Arial" w:cs="Arial"/>
          <w:sz w:val="20"/>
          <w:szCs w:val="20"/>
        </w:rPr>
        <w:t>1</w:t>
      </w:r>
      <w:r w:rsidRPr="004433B1">
        <w:rPr>
          <w:rFonts w:ascii="Arial" w:hAnsi="Arial" w:cs="Arial"/>
          <w:sz w:val="20"/>
          <w:szCs w:val="20"/>
        </w:rPr>
        <w:t>.</w:t>
      </w:r>
      <w:r w:rsidR="007B09CD" w:rsidRPr="004433B1">
        <w:rPr>
          <w:rFonts w:ascii="Arial" w:hAnsi="Arial" w:cs="Arial"/>
          <w:sz w:val="20"/>
          <w:szCs w:val="20"/>
        </w:rPr>
        <w:t>1</w:t>
      </w:r>
      <w:r w:rsidRPr="004433B1">
        <w:rPr>
          <w:rFonts w:ascii="Arial" w:hAnsi="Arial" w:cs="Arial"/>
          <w:sz w:val="20"/>
          <w:szCs w:val="20"/>
        </w:rPr>
        <w:t xml:space="preserve"> p.p. </w:t>
      </w:r>
      <w:r w:rsidR="007B09CD" w:rsidRPr="004433B1">
        <w:rPr>
          <w:rFonts w:ascii="Arial" w:hAnsi="Arial" w:cs="Arial"/>
          <w:sz w:val="20"/>
          <w:szCs w:val="20"/>
        </w:rPr>
        <w:t>low</w:t>
      </w:r>
      <w:r w:rsidRPr="004433B1">
        <w:rPr>
          <w:rFonts w:ascii="Arial" w:hAnsi="Arial" w:cs="Arial"/>
          <w:sz w:val="20"/>
          <w:szCs w:val="20"/>
        </w:rPr>
        <w:t xml:space="preserve">er relative to the previous quarter, and by </w:t>
      </w:r>
      <w:r w:rsidR="00BF0214" w:rsidRPr="004433B1">
        <w:rPr>
          <w:rFonts w:ascii="Arial" w:hAnsi="Arial" w:cs="Arial"/>
          <w:sz w:val="20"/>
          <w:szCs w:val="20"/>
        </w:rPr>
        <w:t>1</w:t>
      </w:r>
      <w:r w:rsidRPr="004433B1">
        <w:rPr>
          <w:rFonts w:ascii="Arial" w:hAnsi="Arial" w:cs="Arial"/>
          <w:sz w:val="20"/>
          <w:szCs w:val="20"/>
        </w:rPr>
        <w:t>.</w:t>
      </w:r>
      <w:r w:rsidR="007B09CD" w:rsidRPr="004433B1">
        <w:rPr>
          <w:rFonts w:ascii="Arial" w:hAnsi="Arial" w:cs="Arial"/>
          <w:sz w:val="20"/>
          <w:szCs w:val="20"/>
        </w:rPr>
        <w:t>9</w:t>
      </w:r>
      <w:r w:rsidRPr="004433B1">
        <w:rPr>
          <w:rFonts w:ascii="Arial" w:hAnsi="Arial" w:cs="Arial"/>
          <w:sz w:val="20"/>
          <w:szCs w:val="20"/>
        </w:rPr>
        <w:t xml:space="preserve"> p.p. </w:t>
      </w:r>
      <w:r w:rsidR="000A5409" w:rsidRPr="004433B1">
        <w:rPr>
          <w:rFonts w:ascii="Arial" w:hAnsi="Arial" w:cs="Arial"/>
          <w:sz w:val="20"/>
          <w:szCs w:val="20"/>
        </w:rPr>
        <w:t>higher</w:t>
      </w:r>
      <w:r w:rsidRPr="004433B1">
        <w:rPr>
          <w:rFonts w:ascii="Arial" w:hAnsi="Arial" w:cs="Arial"/>
          <w:sz w:val="20"/>
          <w:szCs w:val="20"/>
        </w:rPr>
        <w:t xml:space="preserve"> relative to the same quarter 201</w:t>
      </w:r>
      <w:r w:rsidR="00BA4671" w:rsidRPr="004433B1">
        <w:rPr>
          <w:rFonts w:ascii="Arial" w:hAnsi="Arial" w:cs="Arial"/>
          <w:sz w:val="20"/>
          <w:szCs w:val="20"/>
        </w:rPr>
        <w:t>6</w:t>
      </w:r>
      <w:r w:rsidRPr="004433B1">
        <w:rPr>
          <w:rFonts w:ascii="Arial" w:hAnsi="Arial" w:cs="Arial"/>
          <w:sz w:val="20"/>
          <w:szCs w:val="20"/>
        </w:rPr>
        <w:t xml:space="preserve">. </w:t>
      </w:r>
    </w:p>
    <w:p w:rsidR="007B09CD" w:rsidRPr="004433B1" w:rsidRDefault="00157FD4" w:rsidP="007B09CD">
      <w:pPr>
        <w:spacing w:after="240" w:line="300" w:lineRule="auto"/>
        <w:ind w:firstLine="403"/>
        <w:jc w:val="both"/>
        <w:rPr>
          <w:rFonts w:ascii="Arial" w:hAnsi="Arial" w:cs="Arial"/>
          <w:sz w:val="20"/>
          <w:szCs w:val="20"/>
        </w:rPr>
      </w:pPr>
      <w:r w:rsidRPr="004433B1">
        <w:rPr>
          <w:rFonts w:ascii="Arial" w:hAnsi="Arial" w:cs="Arial"/>
          <w:noProof/>
          <w:color w:val="FF0000"/>
          <w:sz w:val="20"/>
          <w:szCs w:val="20"/>
          <w:lang w:val="en-US"/>
        </w:rPr>
        <mc:AlternateContent>
          <mc:Choice Requires="wps">
            <w:drawing>
              <wp:anchor distT="0" distB="0" distL="114300" distR="114300" simplePos="0" relativeHeight="251663360" behindDoc="0" locked="1" layoutInCell="1" allowOverlap="1" wp14:anchorId="337200F8" wp14:editId="379C0A01">
                <wp:simplePos x="0" y="0"/>
                <wp:positionH relativeFrom="margin">
                  <wp:posOffset>-6985</wp:posOffset>
                </wp:positionH>
                <wp:positionV relativeFrom="line">
                  <wp:posOffset>191770</wp:posOffset>
                </wp:positionV>
                <wp:extent cx="6512560" cy="857250"/>
                <wp:effectExtent l="0" t="0" r="21590"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857250"/>
                        </a:xfrm>
                        <a:prstGeom prst="roundRect">
                          <a:avLst>
                            <a:gd name="adj" fmla="val 50000"/>
                          </a:avLst>
                        </a:prstGeom>
                        <a:solidFill>
                          <a:srgbClr val="F2F2F2"/>
                        </a:solidFill>
                        <a:ln w="12700">
                          <a:solidFill>
                            <a:srgbClr val="0C5498"/>
                          </a:solidFill>
                          <a:round/>
                          <a:headEnd/>
                          <a:tailEnd/>
                        </a:ln>
                      </wps:spPr>
                      <wps:txbx>
                        <w:txbxContent>
                          <w:p w:rsidR="00B16406" w:rsidRPr="0008457F" w:rsidRDefault="00B16406" w:rsidP="00157FD4">
                            <w:pPr>
                              <w:spacing w:before="120" w:after="120"/>
                              <w:ind w:firstLine="397"/>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B16406" w:rsidRPr="0008457F" w:rsidRDefault="00B16406" w:rsidP="00157FD4">
                            <w:pPr>
                              <w:pStyle w:val="Heading4"/>
                              <w:spacing w:before="120" w:after="120" w:line="276" w:lineRule="auto"/>
                              <w:ind w:firstLine="397"/>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p w:rsidR="00B16406" w:rsidRPr="0008457F" w:rsidRDefault="00B16406" w:rsidP="00157FD4">
                            <w:pPr>
                              <w:spacing w:before="120" w:after="0"/>
                              <w:ind w:firstLine="403"/>
                              <w:rPr>
                                <w:rFonts w:ascii="Arial" w:hAnsi="Arial" w:cs="Arial"/>
                                <w:b/>
                                <w:bCs/>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200F8" id="AutoShape 24" o:spid="_x0000_s1026" style="position:absolute;left:0;text-align:left;margin-left:-.55pt;margin-top:15.1pt;width:512.8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" fillcolor="#f2f2f2" strokecolor="#0c5498" strokeweight="1pt">
                <v:textbox inset="0,0,0,0">
                  <w:txbxContent>
                    <w:p w:rsidR="00B16406" w:rsidRPr="0008457F" w:rsidRDefault="00B16406" w:rsidP="00157FD4">
                      <w:pPr>
                        <w:spacing w:before="120" w:after="120"/>
                        <w:ind w:firstLine="397"/>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B16406" w:rsidRPr="0008457F" w:rsidRDefault="00B16406" w:rsidP="00157FD4">
                      <w:pPr>
                        <w:pStyle w:val="Heading4"/>
                        <w:spacing w:before="120" w:after="120" w:line="276" w:lineRule="auto"/>
                        <w:ind w:firstLine="397"/>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p w:rsidR="00B16406" w:rsidRPr="0008457F" w:rsidRDefault="00B16406" w:rsidP="00157FD4">
                      <w:pPr>
                        <w:spacing w:before="120" w:after="0"/>
                        <w:ind w:firstLine="403"/>
                        <w:rPr>
                          <w:rFonts w:ascii="Arial" w:hAnsi="Arial" w:cs="Arial"/>
                          <w:b/>
                          <w:bCs/>
                          <w:spacing w:val="-4"/>
                          <w:sz w:val="18"/>
                          <w:szCs w:val="18"/>
                        </w:rPr>
                      </w:pPr>
                    </w:p>
                  </w:txbxContent>
                </v:textbox>
                <w10:wrap anchorx="margin" anchory="line"/>
                <w10:anchorlock/>
              </v:roundrect>
            </w:pict>
          </mc:Fallback>
        </mc:AlternateContent>
      </w:r>
    </w:p>
    <w:p w:rsidR="007B09CD" w:rsidRPr="004433B1" w:rsidRDefault="007B09CD" w:rsidP="007B09CD">
      <w:pPr>
        <w:spacing w:after="240" w:line="300" w:lineRule="auto"/>
        <w:ind w:firstLine="403"/>
        <w:jc w:val="both"/>
        <w:rPr>
          <w:rFonts w:ascii="Arial" w:hAnsi="Arial" w:cs="Arial"/>
          <w:sz w:val="20"/>
          <w:szCs w:val="20"/>
        </w:rPr>
      </w:pPr>
    </w:p>
    <w:p w:rsidR="002F20C3" w:rsidRDefault="002F20C3" w:rsidP="007B09CD">
      <w:pPr>
        <w:spacing w:after="240" w:line="300" w:lineRule="auto"/>
        <w:ind w:firstLine="403"/>
        <w:jc w:val="both"/>
        <w:rPr>
          <w:rFonts w:ascii="Arial" w:hAnsi="Arial" w:cs="Arial"/>
          <w:sz w:val="20"/>
          <w:szCs w:val="20"/>
        </w:rPr>
      </w:pPr>
    </w:p>
    <w:p w:rsidR="002F20C3" w:rsidRDefault="002F20C3" w:rsidP="007B09CD">
      <w:pPr>
        <w:spacing w:after="240" w:line="300" w:lineRule="auto"/>
        <w:ind w:firstLine="403"/>
        <w:jc w:val="both"/>
        <w:rPr>
          <w:rFonts w:ascii="Arial" w:hAnsi="Arial" w:cs="Arial"/>
          <w:sz w:val="20"/>
          <w:szCs w:val="20"/>
        </w:rPr>
      </w:pPr>
    </w:p>
    <w:p w:rsidR="007B09CD" w:rsidRPr="004433B1" w:rsidRDefault="00066E6C" w:rsidP="008F6EC5">
      <w:pPr>
        <w:spacing w:before="120" w:after="120" w:line="300" w:lineRule="auto"/>
        <w:ind w:firstLine="403"/>
        <w:jc w:val="both"/>
        <w:rPr>
          <w:rFonts w:ascii="Arial" w:hAnsi="Arial" w:cs="Arial"/>
          <w:sz w:val="20"/>
          <w:szCs w:val="20"/>
        </w:rPr>
      </w:pPr>
      <w:r w:rsidRPr="004433B1">
        <w:rPr>
          <w:rFonts w:ascii="Arial" w:hAnsi="Arial" w:cs="Arial"/>
          <w:sz w:val="20"/>
          <w:szCs w:val="20"/>
        </w:rPr>
        <w:t xml:space="preserve">Compared with the </w:t>
      </w:r>
      <w:r w:rsidR="00E6637B" w:rsidRPr="004433B1">
        <w:rPr>
          <w:rFonts w:ascii="Arial" w:hAnsi="Arial" w:cs="Arial"/>
          <w:sz w:val="20"/>
          <w:szCs w:val="20"/>
        </w:rPr>
        <w:t>previous</w:t>
      </w:r>
      <w:r w:rsidRPr="004433B1">
        <w:rPr>
          <w:rFonts w:ascii="Arial" w:hAnsi="Arial" w:cs="Arial"/>
          <w:sz w:val="20"/>
          <w:szCs w:val="20"/>
        </w:rPr>
        <w:t xml:space="preserve"> quarter</w:t>
      </w:r>
      <w:r w:rsidR="002F796A" w:rsidRPr="004433B1">
        <w:rPr>
          <w:rFonts w:ascii="Arial" w:hAnsi="Arial" w:cs="Arial"/>
          <w:sz w:val="20"/>
          <w:szCs w:val="20"/>
        </w:rPr>
        <w:t>,</w:t>
      </w:r>
      <w:r w:rsidRPr="004433B1">
        <w:rPr>
          <w:rFonts w:ascii="Arial" w:hAnsi="Arial" w:cs="Arial"/>
          <w:sz w:val="20"/>
          <w:szCs w:val="20"/>
        </w:rPr>
        <w:t xml:space="preserve"> </w:t>
      </w:r>
      <w:r w:rsidR="00CE28B8" w:rsidRPr="004433B1">
        <w:rPr>
          <w:rFonts w:ascii="Arial" w:hAnsi="Arial" w:cs="Arial"/>
          <w:sz w:val="20"/>
          <w:szCs w:val="20"/>
        </w:rPr>
        <w:t xml:space="preserve">population activity </w:t>
      </w:r>
      <w:r w:rsidR="007B09CD" w:rsidRPr="004433B1">
        <w:rPr>
          <w:rFonts w:ascii="Arial" w:hAnsi="Arial" w:cs="Arial"/>
          <w:sz w:val="20"/>
          <w:szCs w:val="20"/>
        </w:rPr>
        <w:t>de</w:t>
      </w:r>
      <w:r w:rsidR="00CE28B8" w:rsidRPr="004433B1">
        <w:rPr>
          <w:rFonts w:ascii="Arial" w:hAnsi="Arial" w:cs="Arial"/>
          <w:sz w:val="20"/>
          <w:szCs w:val="20"/>
        </w:rPr>
        <w:t xml:space="preserve">creased in all regions. </w:t>
      </w:r>
      <w:r w:rsidR="00E951F0" w:rsidRPr="004433B1">
        <w:rPr>
          <w:rFonts w:ascii="Arial" w:hAnsi="Arial" w:cs="Arial"/>
          <w:sz w:val="20"/>
          <w:szCs w:val="20"/>
        </w:rPr>
        <w:t>The greatest decrease was recorded in Region Južne i Istočne Srbije (by 25</w:t>
      </w:r>
      <w:r w:rsidR="008F6EC5">
        <w:rPr>
          <w:rFonts w:ascii="Arial" w:hAnsi="Arial" w:cs="Arial"/>
          <w:sz w:val="20"/>
          <w:szCs w:val="20"/>
        </w:rPr>
        <w:t> </w:t>
      </w:r>
      <w:r w:rsidR="00E951F0" w:rsidRPr="004433B1">
        <w:rPr>
          <w:rFonts w:ascii="Arial" w:hAnsi="Arial" w:cs="Arial"/>
          <w:sz w:val="20"/>
          <w:szCs w:val="20"/>
        </w:rPr>
        <w:t>500) and in Region Vojvodine (by 24</w:t>
      </w:r>
      <w:r w:rsidR="008F6EC5">
        <w:rPr>
          <w:rFonts w:ascii="Arial" w:hAnsi="Arial" w:cs="Arial"/>
          <w:sz w:val="20"/>
          <w:szCs w:val="20"/>
        </w:rPr>
        <w:t> </w:t>
      </w:r>
      <w:r w:rsidR="00E951F0" w:rsidRPr="004433B1">
        <w:rPr>
          <w:rFonts w:ascii="Arial" w:hAnsi="Arial" w:cs="Arial"/>
          <w:sz w:val="20"/>
          <w:szCs w:val="20"/>
        </w:rPr>
        <w:t xml:space="preserve">300). </w:t>
      </w:r>
      <w:r w:rsidR="007B09CD" w:rsidRPr="004433B1">
        <w:rPr>
          <w:rFonts w:ascii="Arial" w:hAnsi="Arial" w:cs="Arial"/>
          <w:sz w:val="20"/>
          <w:szCs w:val="20"/>
        </w:rPr>
        <w:t xml:space="preserve">Number of </w:t>
      </w:r>
      <w:r w:rsidR="00E951F0" w:rsidRPr="004433B1">
        <w:rPr>
          <w:rFonts w:ascii="Arial" w:hAnsi="Arial" w:cs="Arial"/>
          <w:sz w:val="20"/>
          <w:szCs w:val="20"/>
        </w:rPr>
        <w:t>active</w:t>
      </w:r>
      <w:r w:rsidR="007B09CD" w:rsidRPr="004433B1">
        <w:rPr>
          <w:rFonts w:ascii="Arial" w:hAnsi="Arial" w:cs="Arial"/>
          <w:sz w:val="20"/>
          <w:szCs w:val="20"/>
        </w:rPr>
        <w:t xml:space="preserve"> women was decreased by 49</w:t>
      </w:r>
      <w:r w:rsidR="008F6EC5">
        <w:rPr>
          <w:rFonts w:ascii="Arial" w:hAnsi="Arial" w:cs="Arial"/>
          <w:sz w:val="20"/>
          <w:szCs w:val="20"/>
        </w:rPr>
        <w:t> </w:t>
      </w:r>
      <w:r w:rsidR="007B09CD" w:rsidRPr="004433B1">
        <w:rPr>
          <w:rFonts w:ascii="Arial" w:hAnsi="Arial" w:cs="Arial"/>
          <w:sz w:val="20"/>
          <w:szCs w:val="20"/>
        </w:rPr>
        <w:t>700 and of active men by 21</w:t>
      </w:r>
      <w:r w:rsidR="008F6EC5">
        <w:rPr>
          <w:rFonts w:ascii="Arial" w:hAnsi="Arial" w:cs="Arial"/>
          <w:sz w:val="20"/>
          <w:szCs w:val="20"/>
        </w:rPr>
        <w:t> </w:t>
      </w:r>
      <w:r w:rsidR="007B09CD" w:rsidRPr="004433B1">
        <w:rPr>
          <w:rFonts w:ascii="Arial" w:hAnsi="Arial" w:cs="Arial"/>
          <w:sz w:val="20"/>
          <w:szCs w:val="20"/>
        </w:rPr>
        <w:t xml:space="preserve">200. </w:t>
      </w:r>
    </w:p>
    <w:p w:rsidR="00D137AA" w:rsidRPr="004433B1" w:rsidRDefault="002F796A" w:rsidP="008F6EC5">
      <w:pPr>
        <w:spacing w:before="120" w:after="120" w:line="300" w:lineRule="auto"/>
        <w:ind w:firstLine="397"/>
        <w:jc w:val="both"/>
        <w:rPr>
          <w:rFonts w:ascii="Arial" w:hAnsi="Arial" w:cs="Arial"/>
          <w:sz w:val="20"/>
          <w:szCs w:val="20"/>
        </w:rPr>
      </w:pPr>
      <w:r w:rsidRPr="004433B1">
        <w:rPr>
          <w:rFonts w:ascii="Arial" w:hAnsi="Arial" w:cs="Arial"/>
          <w:sz w:val="20"/>
          <w:szCs w:val="20"/>
        </w:rPr>
        <w:t>Relative to the same quarter 201</w:t>
      </w:r>
      <w:r w:rsidR="00BA4671" w:rsidRPr="004433B1">
        <w:rPr>
          <w:rFonts w:ascii="Arial" w:hAnsi="Arial" w:cs="Arial"/>
          <w:sz w:val="20"/>
          <w:szCs w:val="20"/>
        </w:rPr>
        <w:t>6</w:t>
      </w:r>
      <w:r w:rsidRPr="004433B1">
        <w:rPr>
          <w:rFonts w:ascii="Arial" w:hAnsi="Arial" w:cs="Arial"/>
          <w:sz w:val="20"/>
          <w:szCs w:val="20"/>
        </w:rPr>
        <w:t xml:space="preserve">, </w:t>
      </w:r>
      <w:r w:rsidR="00CE28B8" w:rsidRPr="004433B1">
        <w:rPr>
          <w:rFonts w:ascii="Arial" w:hAnsi="Arial" w:cs="Arial"/>
          <w:sz w:val="20"/>
          <w:szCs w:val="20"/>
        </w:rPr>
        <w:t>activity was increased in all regions</w:t>
      </w:r>
      <w:r w:rsidR="007B09CD" w:rsidRPr="004433B1">
        <w:rPr>
          <w:rFonts w:ascii="Arial" w:hAnsi="Arial" w:cs="Arial"/>
          <w:sz w:val="20"/>
          <w:szCs w:val="20"/>
        </w:rPr>
        <w:t xml:space="preserve">. </w:t>
      </w:r>
      <w:r w:rsidR="00CE28B8" w:rsidRPr="004433B1">
        <w:rPr>
          <w:rFonts w:ascii="Arial" w:hAnsi="Arial" w:cs="Arial"/>
          <w:sz w:val="20"/>
          <w:szCs w:val="20"/>
        </w:rPr>
        <w:t xml:space="preserve">The greatest activity increase was recorded in Beogradski Region (by </w:t>
      </w:r>
      <w:r w:rsidR="007B09CD" w:rsidRPr="004433B1">
        <w:rPr>
          <w:rFonts w:ascii="Arial" w:hAnsi="Arial" w:cs="Arial"/>
          <w:sz w:val="20"/>
          <w:szCs w:val="20"/>
        </w:rPr>
        <w:t>41</w:t>
      </w:r>
      <w:r w:rsidR="00BA2E8C" w:rsidRPr="004433B1">
        <w:rPr>
          <w:rFonts w:ascii="Arial" w:hAnsi="Arial" w:cs="Arial"/>
          <w:sz w:val="20"/>
          <w:szCs w:val="20"/>
        </w:rPr>
        <w:t> </w:t>
      </w:r>
      <w:r w:rsidR="007B09CD" w:rsidRPr="004433B1">
        <w:rPr>
          <w:rFonts w:ascii="Arial" w:hAnsi="Arial" w:cs="Arial"/>
          <w:sz w:val="20"/>
          <w:szCs w:val="20"/>
        </w:rPr>
        <w:t>0</w:t>
      </w:r>
      <w:r w:rsidR="00CE28B8" w:rsidRPr="004433B1">
        <w:rPr>
          <w:rFonts w:ascii="Arial" w:hAnsi="Arial" w:cs="Arial"/>
          <w:sz w:val="20"/>
          <w:szCs w:val="20"/>
        </w:rPr>
        <w:t>00). N</w:t>
      </w:r>
      <w:r w:rsidR="00BA4671" w:rsidRPr="004433B1">
        <w:rPr>
          <w:rFonts w:ascii="Arial" w:hAnsi="Arial" w:cs="Arial"/>
          <w:sz w:val="20"/>
          <w:szCs w:val="20"/>
        </w:rPr>
        <w:t xml:space="preserve">umber of active men was </w:t>
      </w:r>
      <w:r w:rsidR="00B12317" w:rsidRPr="004433B1">
        <w:rPr>
          <w:rFonts w:ascii="Arial" w:hAnsi="Arial" w:cs="Arial"/>
          <w:sz w:val="20"/>
          <w:szCs w:val="20"/>
        </w:rPr>
        <w:t>in</w:t>
      </w:r>
      <w:r w:rsidR="00BA4671" w:rsidRPr="004433B1">
        <w:rPr>
          <w:rFonts w:ascii="Arial" w:hAnsi="Arial" w:cs="Arial"/>
          <w:sz w:val="20"/>
          <w:szCs w:val="20"/>
        </w:rPr>
        <w:t xml:space="preserve">creased by </w:t>
      </w:r>
      <w:r w:rsidR="007B09CD" w:rsidRPr="004433B1">
        <w:rPr>
          <w:rFonts w:ascii="Arial" w:hAnsi="Arial" w:cs="Arial"/>
          <w:sz w:val="20"/>
          <w:szCs w:val="20"/>
        </w:rPr>
        <w:t>52</w:t>
      </w:r>
      <w:r w:rsidR="00BA2E8C" w:rsidRPr="004433B1">
        <w:rPr>
          <w:rFonts w:ascii="Arial" w:hAnsi="Arial" w:cs="Arial"/>
          <w:sz w:val="20"/>
          <w:szCs w:val="20"/>
        </w:rPr>
        <w:t> </w:t>
      </w:r>
      <w:r w:rsidR="007B09CD" w:rsidRPr="004433B1">
        <w:rPr>
          <w:rFonts w:ascii="Arial" w:hAnsi="Arial" w:cs="Arial"/>
          <w:sz w:val="20"/>
          <w:szCs w:val="20"/>
        </w:rPr>
        <w:t>3</w:t>
      </w:r>
      <w:r w:rsidR="00BA4671" w:rsidRPr="004433B1">
        <w:rPr>
          <w:rFonts w:ascii="Arial" w:hAnsi="Arial" w:cs="Arial"/>
          <w:sz w:val="20"/>
          <w:szCs w:val="20"/>
        </w:rPr>
        <w:t xml:space="preserve">00, and number of active </w:t>
      </w:r>
      <w:r w:rsidR="007B09CD" w:rsidRPr="004433B1">
        <w:rPr>
          <w:rFonts w:ascii="Arial" w:hAnsi="Arial" w:cs="Arial"/>
          <w:sz w:val="20"/>
          <w:szCs w:val="20"/>
        </w:rPr>
        <w:t>wo</w:t>
      </w:r>
      <w:r w:rsidR="00BA4671" w:rsidRPr="004433B1">
        <w:rPr>
          <w:rFonts w:ascii="Arial" w:hAnsi="Arial" w:cs="Arial"/>
          <w:sz w:val="20"/>
          <w:szCs w:val="20"/>
        </w:rPr>
        <w:t xml:space="preserve">men </w:t>
      </w:r>
      <w:r w:rsidR="00B12317" w:rsidRPr="004433B1">
        <w:rPr>
          <w:rFonts w:ascii="Arial" w:hAnsi="Arial" w:cs="Arial"/>
          <w:sz w:val="20"/>
          <w:szCs w:val="20"/>
        </w:rPr>
        <w:t xml:space="preserve">by </w:t>
      </w:r>
      <w:r w:rsidR="007B09CD" w:rsidRPr="004433B1">
        <w:rPr>
          <w:rFonts w:ascii="Arial" w:hAnsi="Arial" w:cs="Arial"/>
          <w:sz w:val="20"/>
          <w:szCs w:val="20"/>
        </w:rPr>
        <w:t>45</w:t>
      </w:r>
      <w:r w:rsidR="00BA2E8C" w:rsidRPr="004433B1">
        <w:rPr>
          <w:rFonts w:ascii="Arial" w:hAnsi="Arial" w:cs="Arial"/>
          <w:sz w:val="20"/>
          <w:szCs w:val="20"/>
        </w:rPr>
        <w:t> </w:t>
      </w:r>
      <w:r w:rsidR="00CE28B8" w:rsidRPr="004433B1">
        <w:rPr>
          <w:rFonts w:ascii="Arial" w:hAnsi="Arial" w:cs="Arial"/>
          <w:sz w:val="20"/>
          <w:szCs w:val="20"/>
        </w:rPr>
        <w:t>6</w:t>
      </w:r>
      <w:r w:rsidR="00B12317" w:rsidRPr="004433B1">
        <w:rPr>
          <w:rFonts w:ascii="Arial" w:hAnsi="Arial" w:cs="Arial"/>
          <w:sz w:val="20"/>
          <w:szCs w:val="20"/>
        </w:rPr>
        <w:t>00</w:t>
      </w:r>
      <w:r w:rsidR="00BA4671" w:rsidRPr="004433B1">
        <w:rPr>
          <w:rFonts w:ascii="Arial" w:hAnsi="Arial" w:cs="Arial"/>
          <w:sz w:val="20"/>
          <w:szCs w:val="20"/>
        </w:rPr>
        <w:t>.</w:t>
      </w:r>
      <w:r w:rsidR="00D137AA" w:rsidRPr="004433B1">
        <w:rPr>
          <w:rFonts w:ascii="Arial" w:hAnsi="Arial" w:cs="Arial"/>
          <w:sz w:val="20"/>
          <w:szCs w:val="20"/>
        </w:rPr>
        <w:t xml:space="preserve">  </w:t>
      </w:r>
      <w:r w:rsidRPr="004433B1">
        <w:rPr>
          <w:rFonts w:ascii="Arial" w:hAnsi="Arial" w:cs="Arial"/>
          <w:sz w:val="20"/>
          <w:szCs w:val="20"/>
        </w:rPr>
        <w:t xml:space="preserve"> </w:t>
      </w:r>
    </w:p>
    <w:p w:rsidR="00BA2E8C" w:rsidRPr="004433B1" w:rsidRDefault="00066E6C" w:rsidP="002F20C3">
      <w:pPr>
        <w:spacing w:before="120" w:after="120" w:line="288" w:lineRule="auto"/>
        <w:ind w:firstLine="403"/>
        <w:jc w:val="both"/>
        <w:rPr>
          <w:rFonts w:ascii="Arial" w:hAnsi="Arial" w:cs="Arial"/>
          <w:sz w:val="20"/>
          <w:szCs w:val="20"/>
        </w:rPr>
      </w:pPr>
      <w:r w:rsidRPr="004433B1">
        <w:rPr>
          <w:rFonts w:ascii="Arial" w:hAnsi="Arial" w:cs="Arial"/>
          <w:sz w:val="20"/>
          <w:szCs w:val="20"/>
        </w:rPr>
        <w:lastRenderedPageBreak/>
        <w:t xml:space="preserve">In the structure of population by </w:t>
      </w:r>
      <w:r w:rsidR="00F04465" w:rsidRPr="004433B1">
        <w:rPr>
          <w:rFonts w:ascii="Arial" w:hAnsi="Arial" w:cs="Arial"/>
          <w:sz w:val="20"/>
          <w:szCs w:val="20"/>
        </w:rPr>
        <w:t>employment status</w:t>
      </w:r>
      <w:r w:rsidRPr="004433B1">
        <w:rPr>
          <w:rFonts w:ascii="Arial" w:hAnsi="Arial" w:cs="Arial"/>
          <w:sz w:val="20"/>
          <w:szCs w:val="20"/>
        </w:rPr>
        <w:t xml:space="preserve">, regions have </w:t>
      </w:r>
      <w:r w:rsidR="00B12317" w:rsidRPr="004433B1">
        <w:rPr>
          <w:rFonts w:ascii="Arial" w:hAnsi="Arial" w:cs="Arial"/>
          <w:sz w:val="20"/>
          <w:szCs w:val="20"/>
        </w:rPr>
        <w:t>similar</w:t>
      </w:r>
      <w:r w:rsidRPr="004433B1">
        <w:rPr>
          <w:rFonts w:ascii="Arial" w:hAnsi="Arial" w:cs="Arial"/>
          <w:sz w:val="20"/>
          <w:szCs w:val="20"/>
        </w:rPr>
        <w:t xml:space="preserve"> distribution. Rates of activity and employment are </w:t>
      </w:r>
      <w:r w:rsidR="00B12317" w:rsidRPr="004433B1">
        <w:rPr>
          <w:rFonts w:ascii="Arial" w:hAnsi="Arial" w:cs="Arial"/>
          <w:sz w:val="20"/>
          <w:szCs w:val="20"/>
        </w:rPr>
        <w:t>somewhat</w:t>
      </w:r>
      <w:r w:rsidRPr="004433B1">
        <w:rPr>
          <w:rFonts w:ascii="Arial" w:hAnsi="Arial" w:cs="Arial"/>
          <w:sz w:val="20"/>
          <w:szCs w:val="20"/>
        </w:rPr>
        <w:t xml:space="preserve"> greate</w:t>
      </w:r>
      <w:r w:rsidR="00B12317" w:rsidRPr="004433B1">
        <w:rPr>
          <w:rFonts w:ascii="Arial" w:hAnsi="Arial" w:cs="Arial"/>
          <w:sz w:val="20"/>
          <w:szCs w:val="20"/>
        </w:rPr>
        <w:t>r</w:t>
      </w:r>
      <w:r w:rsidRPr="004433B1">
        <w:rPr>
          <w:rFonts w:ascii="Arial" w:hAnsi="Arial" w:cs="Arial"/>
          <w:sz w:val="20"/>
          <w:szCs w:val="20"/>
        </w:rPr>
        <w:t xml:space="preserve"> in</w:t>
      </w:r>
      <w:r w:rsidR="00CE28B8" w:rsidRPr="004433B1">
        <w:rPr>
          <w:rFonts w:ascii="Arial" w:hAnsi="Arial" w:cs="Arial"/>
          <w:sz w:val="20"/>
          <w:szCs w:val="20"/>
        </w:rPr>
        <w:t xml:space="preserve"> </w:t>
      </w:r>
      <w:r w:rsidR="00C9020A" w:rsidRPr="004433B1">
        <w:rPr>
          <w:rFonts w:ascii="Arial" w:hAnsi="Arial" w:cs="Arial"/>
          <w:sz w:val="20"/>
          <w:szCs w:val="20"/>
        </w:rPr>
        <w:t xml:space="preserve">Beogradski Region (56.3% and 48.3%, respectively) and in </w:t>
      </w:r>
      <w:r w:rsidR="00CE28B8" w:rsidRPr="004433B1">
        <w:rPr>
          <w:rFonts w:ascii="Arial" w:hAnsi="Arial" w:cs="Arial"/>
          <w:sz w:val="20"/>
          <w:szCs w:val="20"/>
        </w:rPr>
        <w:t>Region Šumadije i Zapadne Srbije</w:t>
      </w:r>
      <w:r w:rsidRPr="004433B1">
        <w:rPr>
          <w:rFonts w:ascii="Arial" w:hAnsi="Arial" w:cs="Arial"/>
          <w:sz w:val="20"/>
          <w:szCs w:val="20"/>
        </w:rPr>
        <w:t xml:space="preserve"> </w:t>
      </w:r>
      <w:r w:rsidR="00CE28B8" w:rsidRPr="004433B1">
        <w:rPr>
          <w:rFonts w:ascii="Arial" w:hAnsi="Arial" w:cs="Arial"/>
          <w:sz w:val="20"/>
          <w:szCs w:val="20"/>
        </w:rPr>
        <w:t>(5</w:t>
      </w:r>
      <w:r w:rsidR="00C9020A" w:rsidRPr="004433B1">
        <w:rPr>
          <w:rFonts w:ascii="Arial" w:hAnsi="Arial" w:cs="Arial"/>
          <w:sz w:val="20"/>
          <w:szCs w:val="20"/>
        </w:rPr>
        <w:t>6</w:t>
      </w:r>
      <w:r w:rsidR="00CE28B8" w:rsidRPr="004433B1">
        <w:rPr>
          <w:rFonts w:ascii="Arial" w:hAnsi="Arial" w:cs="Arial"/>
          <w:sz w:val="20"/>
          <w:szCs w:val="20"/>
        </w:rPr>
        <w:t>.</w:t>
      </w:r>
      <w:r w:rsidR="00C9020A" w:rsidRPr="004433B1">
        <w:rPr>
          <w:rFonts w:ascii="Arial" w:hAnsi="Arial" w:cs="Arial"/>
          <w:sz w:val="20"/>
          <w:szCs w:val="20"/>
        </w:rPr>
        <w:t>1</w:t>
      </w:r>
      <w:r w:rsidR="00CE28B8" w:rsidRPr="004433B1">
        <w:rPr>
          <w:rFonts w:ascii="Arial" w:hAnsi="Arial" w:cs="Arial"/>
          <w:sz w:val="20"/>
          <w:szCs w:val="20"/>
        </w:rPr>
        <w:t>% and 4</w:t>
      </w:r>
      <w:r w:rsidR="00C9020A" w:rsidRPr="004433B1">
        <w:rPr>
          <w:rFonts w:ascii="Arial" w:hAnsi="Arial" w:cs="Arial"/>
          <w:sz w:val="20"/>
          <w:szCs w:val="20"/>
        </w:rPr>
        <w:t>7</w:t>
      </w:r>
      <w:r w:rsidR="00CE28B8" w:rsidRPr="004433B1">
        <w:rPr>
          <w:rFonts w:ascii="Arial" w:hAnsi="Arial" w:cs="Arial"/>
          <w:sz w:val="20"/>
          <w:szCs w:val="20"/>
        </w:rPr>
        <w:t>.</w:t>
      </w:r>
      <w:r w:rsidR="00C9020A" w:rsidRPr="004433B1">
        <w:rPr>
          <w:rFonts w:ascii="Arial" w:hAnsi="Arial" w:cs="Arial"/>
          <w:sz w:val="20"/>
          <w:szCs w:val="20"/>
        </w:rPr>
        <w:t>6</w:t>
      </w:r>
      <w:r w:rsidR="00CE28B8" w:rsidRPr="004433B1">
        <w:rPr>
          <w:rFonts w:ascii="Arial" w:hAnsi="Arial" w:cs="Arial"/>
          <w:sz w:val="20"/>
          <w:szCs w:val="20"/>
        </w:rPr>
        <w:t>%, respectively)</w:t>
      </w:r>
      <w:r w:rsidR="00A82D21" w:rsidRPr="004433B1">
        <w:rPr>
          <w:rFonts w:ascii="Arial" w:hAnsi="Arial" w:cs="Arial"/>
          <w:sz w:val="20"/>
          <w:szCs w:val="20"/>
        </w:rPr>
        <w:t xml:space="preserve">, </w:t>
      </w:r>
      <w:r w:rsidRPr="004433B1">
        <w:rPr>
          <w:rFonts w:ascii="Arial" w:hAnsi="Arial" w:cs="Arial"/>
          <w:sz w:val="20"/>
          <w:szCs w:val="20"/>
        </w:rPr>
        <w:t xml:space="preserve">while the </w:t>
      </w:r>
      <w:r w:rsidR="00B12317" w:rsidRPr="004433B1">
        <w:rPr>
          <w:rFonts w:ascii="Arial" w:hAnsi="Arial" w:cs="Arial"/>
          <w:sz w:val="20"/>
          <w:szCs w:val="20"/>
        </w:rPr>
        <w:t>rates in Region Vojvodine (5</w:t>
      </w:r>
      <w:r w:rsidR="00C9020A" w:rsidRPr="004433B1">
        <w:rPr>
          <w:rFonts w:ascii="Arial" w:hAnsi="Arial" w:cs="Arial"/>
          <w:sz w:val="20"/>
          <w:szCs w:val="20"/>
        </w:rPr>
        <w:t>2</w:t>
      </w:r>
      <w:r w:rsidR="00B12317" w:rsidRPr="004433B1">
        <w:rPr>
          <w:rFonts w:ascii="Arial" w:hAnsi="Arial" w:cs="Arial"/>
          <w:sz w:val="20"/>
          <w:szCs w:val="20"/>
        </w:rPr>
        <w:t>.</w:t>
      </w:r>
      <w:r w:rsidR="00C9020A" w:rsidRPr="004433B1">
        <w:rPr>
          <w:rFonts w:ascii="Arial" w:hAnsi="Arial" w:cs="Arial"/>
          <w:sz w:val="20"/>
          <w:szCs w:val="20"/>
        </w:rPr>
        <w:t>5</w:t>
      </w:r>
      <w:r w:rsidR="00B12317" w:rsidRPr="004433B1">
        <w:rPr>
          <w:rFonts w:ascii="Arial" w:hAnsi="Arial" w:cs="Arial"/>
          <w:sz w:val="20"/>
          <w:szCs w:val="20"/>
        </w:rPr>
        <w:t>% and 4</w:t>
      </w:r>
      <w:r w:rsidR="00C9020A" w:rsidRPr="004433B1">
        <w:rPr>
          <w:rFonts w:ascii="Arial" w:hAnsi="Arial" w:cs="Arial"/>
          <w:sz w:val="20"/>
          <w:szCs w:val="20"/>
        </w:rPr>
        <w:t>5</w:t>
      </w:r>
      <w:r w:rsidR="00B12317" w:rsidRPr="004433B1">
        <w:rPr>
          <w:rFonts w:ascii="Arial" w:hAnsi="Arial" w:cs="Arial"/>
          <w:sz w:val="20"/>
          <w:szCs w:val="20"/>
        </w:rPr>
        <w:t>.</w:t>
      </w:r>
      <w:r w:rsidR="00C9020A" w:rsidRPr="004433B1">
        <w:rPr>
          <w:rFonts w:ascii="Arial" w:hAnsi="Arial" w:cs="Arial"/>
          <w:sz w:val="20"/>
          <w:szCs w:val="20"/>
        </w:rPr>
        <w:t>6</w:t>
      </w:r>
      <w:r w:rsidR="00B12317" w:rsidRPr="004433B1">
        <w:rPr>
          <w:rFonts w:ascii="Arial" w:hAnsi="Arial" w:cs="Arial"/>
          <w:sz w:val="20"/>
          <w:szCs w:val="20"/>
        </w:rPr>
        <w:t>%) and Region Ju</w:t>
      </w:r>
      <w:r w:rsidR="00E951F0" w:rsidRPr="004433B1">
        <w:rPr>
          <w:rFonts w:ascii="Arial" w:hAnsi="Arial" w:cs="Arial"/>
          <w:sz w:val="20"/>
          <w:szCs w:val="20"/>
        </w:rPr>
        <w:t>ž</w:t>
      </w:r>
      <w:r w:rsidR="00B12317" w:rsidRPr="004433B1">
        <w:rPr>
          <w:rFonts w:ascii="Arial" w:hAnsi="Arial" w:cs="Arial"/>
          <w:sz w:val="20"/>
          <w:szCs w:val="20"/>
        </w:rPr>
        <w:t xml:space="preserve">ne </w:t>
      </w:r>
      <w:r w:rsidR="00E951F0" w:rsidRPr="004433B1">
        <w:rPr>
          <w:rFonts w:ascii="Arial" w:hAnsi="Arial" w:cs="Arial"/>
          <w:sz w:val="20"/>
          <w:szCs w:val="20"/>
        </w:rPr>
        <w:t>i</w:t>
      </w:r>
      <w:r w:rsidR="00B12317" w:rsidRPr="004433B1">
        <w:rPr>
          <w:rFonts w:ascii="Arial" w:hAnsi="Arial" w:cs="Arial"/>
          <w:sz w:val="20"/>
          <w:szCs w:val="20"/>
        </w:rPr>
        <w:t xml:space="preserve"> Isto</w:t>
      </w:r>
      <w:r w:rsidR="00E951F0" w:rsidRPr="004433B1">
        <w:rPr>
          <w:rFonts w:ascii="Arial" w:hAnsi="Arial" w:cs="Arial"/>
          <w:sz w:val="20"/>
          <w:szCs w:val="20"/>
        </w:rPr>
        <w:t>č</w:t>
      </w:r>
      <w:r w:rsidR="00B12317" w:rsidRPr="004433B1">
        <w:rPr>
          <w:rFonts w:ascii="Arial" w:hAnsi="Arial" w:cs="Arial"/>
          <w:sz w:val="20"/>
          <w:szCs w:val="20"/>
        </w:rPr>
        <w:t>ne Srbije (5</w:t>
      </w:r>
      <w:r w:rsidR="00C9020A" w:rsidRPr="004433B1">
        <w:rPr>
          <w:rFonts w:ascii="Arial" w:hAnsi="Arial" w:cs="Arial"/>
          <w:sz w:val="20"/>
          <w:szCs w:val="20"/>
        </w:rPr>
        <w:t>1</w:t>
      </w:r>
      <w:r w:rsidR="00B12317" w:rsidRPr="004433B1">
        <w:rPr>
          <w:rFonts w:ascii="Arial" w:hAnsi="Arial" w:cs="Arial"/>
          <w:sz w:val="20"/>
          <w:szCs w:val="20"/>
        </w:rPr>
        <w:t>.</w:t>
      </w:r>
      <w:r w:rsidR="00C9020A" w:rsidRPr="004433B1">
        <w:rPr>
          <w:rFonts w:ascii="Arial" w:hAnsi="Arial" w:cs="Arial"/>
          <w:sz w:val="20"/>
          <w:szCs w:val="20"/>
        </w:rPr>
        <w:t>5</w:t>
      </w:r>
      <w:r w:rsidR="00B12317" w:rsidRPr="004433B1">
        <w:rPr>
          <w:rFonts w:ascii="Arial" w:hAnsi="Arial" w:cs="Arial"/>
          <w:sz w:val="20"/>
          <w:szCs w:val="20"/>
        </w:rPr>
        <w:t>% and 4</w:t>
      </w:r>
      <w:r w:rsidR="00C9020A" w:rsidRPr="004433B1">
        <w:rPr>
          <w:rFonts w:ascii="Arial" w:hAnsi="Arial" w:cs="Arial"/>
          <w:sz w:val="20"/>
          <w:szCs w:val="20"/>
        </w:rPr>
        <w:t>3</w:t>
      </w:r>
      <w:r w:rsidR="00B12317" w:rsidRPr="004433B1">
        <w:rPr>
          <w:rFonts w:ascii="Arial" w:hAnsi="Arial" w:cs="Arial"/>
          <w:sz w:val="20"/>
          <w:szCs w:val="20"/>
        </w:rPr>
        <w:t>.</w:t>
      </w:r>
      <w:r w:rsidR="00C9020A" w:rsidRPr="004433B1">
        <w:rPr>
          <w:rFonts w:ascii="Arial" w:hAnsi="Arial" w:cs="Arial"/>
          <w:sz w:val="20"/>
          <w:szCs w:val="20"/>
        </w:rPr>
        <w:t>1</w:t>
      </w:r>
      <w:r w:rsidR="00B12317" w:rsidRPr="004433B1">
        <w:rPr>
          <w:rFonts w:ascii="Arial" w:hAnsi="Arial" w:cs="Arial"/>
          <w:sz w:val="20"/>
          <w:szCs w:val="20"/>
        </w:rPr>
        <w:t>%, respectively) were lower. S</w:t>
      </w:r>
      <w:r w:rsidRPr="004433B1">
        <w:rPr>
          <w:rFonts w:ascii="Arial" w:hAnsi="Arial" w:cs="Arial"/>
          <w:sz w:val="20"/>
          <w:szCs w:val="20"/>
        </w:rPr>
        <w:t xml:space="preserve">hare of </w:t>
      </w:r>
      <w:r w:rsidR="00C9020A" w:rsidRPr="004433B1">
        <w:rPr>
          <w:rFonts w:ascii="Arial" w:hAnsi="Arial" w:cs="Arial"/>
          <w:sz w:val="20"/>
          <w:szCs w:val="20"/>
        </w:rPr>
        <w:t xml:space="preserve">the </w:t>
      </w:r>
      <w:r w:rsidRPr="004433B1">
        <w:rPr>
          <w:rFonts w:ascii="Arial" w:hAnsi="Arial" w:cs="Arial"/>
          <w:sz w:val="20"/>
          <w:szCs w:val="20"/>
        </w:rPr>
        <w:t xml:space="preserve">unemployed in total population </w:t>
      </w:r>
      <w:r w:rsidR="00D636F1" w:rsidRPr="004433B1">
        <w:rPr>
          <w:rFonts w:ascii="Arial" w:hAnsi="Arial" w:cs="Arial"/>
          <w:sz w:val="20"/>
          <w:szCs w:val="20"/>
        </w:rPr>
        <w:t xml:space="preserve">aged 15 and over </w:t>
      </w:r>
      <w:r w:rsidR="00C9020A" w:rsidRPr="004433B1">
        <w:rPr>
          <w:rFonts w:ascii="Arial" w:hAnsi="Arial" w:cs="Arial"/>
          <w:sz w:val="20"/>
          <w:szCs w:val="20"/>
        </w:rPr>
        <w:t xml:space="preserve">is somewhat lower in Region Vojvodine (6.9%) compared with the other regions </w:t>
      </w:r>
      <w:r w:rsidRPr="004433B1">
        <w:rPr>
          <w:rFonts w:ascii="Arial" w:hAnsi="Arial" w:cs="Arial"/>
          <w:sz w:val="20"/>
          <w:szCs w:val="20"/>
        </w:rPr>
        <w:t>(Graph 2).</w:t>
      </w:r>
      <w:r w:rsidR="00D137AA" w:rsidRPr="004433B1">
        <w:rPr>
          <w:rFonts w:ascii="Arial" w:hAnsi="Arial" w:cs="Arial"/>
          <w:sz w:val="20"/>
          <w:szCs w:val="20"/>
        </w:rPr>
        <w:t xml:space="preserve"> </w:t>
      </w:r>
    </w:p>
    <w:p w:rsidR="00C9020A" w:rsidRPr="004433B1" w:rsidRDefault="00C9020A" w:rsidP="00C14DE6">
      <w:pPr>
        <w:spacing w:before="120" w:after="120" w:line="300" w:lineRule="auto"/>
        <w:ind w:firstLine="403"/>
        <w:jc w:val="both"/>
        <w:rPr>
          <w:rFonts w:ascii="Arial" w:hAnsi="Arial" w:cs="Arial"/>
          <w:b/>
          <w:bCs/>
          <w:sz w:val="20"/>
          <w:szCs w:val="20"/>
        </w:rPr>
      </w:pPr>
    </w:p>
    <w:p w:rsidR="009670A7" w:rsidRPr="004433B1" w:rsidRDefault="00066E6C" w:rsidP="008C3F4B">
      <w:pPr>
        <w:spacing w:before="120" w:after="0" w:line="240" w:lineRule="auto"/>
        <w:jc w:val="center"/>
        <w:rPr>
          <w:rFonts w:ascii="Arial" w:eastAsia="Times New Roman" w:hAnsi="Arial" w:cs="Arial"/>
          <w:sz w:val="20"/>
          <w:szCs w:val="20"/>
        </w:rPr>
      </w:pPr>
      <w:r w:rsidRPr="004433B1">
        <w:rPr>
          <w:rFonts w:ascii="Arial" w:hAnsi="Arial" w:cs="Arial"/>
          <w:b/>
          <w:bCs/>
          <w:sz w:val="20"/>
          <w:szCs w:val="20"/>
        </w:rPr>
        <w:t>Graph 2</w:t>
      </w:r>
      <w:r w:rsidRPr="004433B1">
        <w:rPr>
          <w:rFonts w:ascii="Arial" w:hAnsi="Arial" w:cs="Arial"/>
          <w:sz w:val="20"/>
          <w:szCs w:val="20"/>
        </w:rPr>
        <w:t xml:space="preserve"> </w:t>
      </w:r>
      <w:r w:rsidR="0007378F" w:rsidRPr="004433B1">
        <w:rPr>
          <w:rFonts w:ascii="Arial" w:eastAsia="Times New Roman" w:hAnsi="Arial" w:cs="Arial"/>
          <w:sz w:val="20"/>
          <w:szCs w:val="20"/>
        </w:rPr>
        <w:t>Structure of population 15+, by activity, regions and sex, Q</w:t>
      </w:r>
      <w:r w:rsidR="00C9020A" w:rsidRPr="004433B1">
        <w:rPr>
          <w:rFonts w:ascii="Arial" w:eastAsia="Times New Roman" w:hAnsi="Arial" w:cs="Arial"/>
          <w:sz w:val="20"/>
          <w:szCs w:val="20"/>
        </w:rPr>
        <w:t>4</w:t>
      </w:r>
      <w:r w:rsidR="0007378F" w:rsidRPr="004433B1">
        <w:rPr>
          <w:rFonts w:ascii="Arial" w:eastAsia="Times New Roman" w:hAnsi="Arial" w:cs="Arial"/>
          <w:sz w:val="20"/>
          <w:szCs w:val="20"/>
        </w:rPr>
        <w:t xml:space="preserve"> 201</w:t>
      </w:r>
      <w:r w:rsidR="00A82D21" w:rsidRPr="004433B1">
        <w:rPr>
          <w:rFonts w:ascii="Arial" w:eastAsia="Times New Roman" w:hAnsi="Arial" w:cs="Arial"/>
          <w:sz w:val="20"/>
          <w:szCs w:val="20"/>
        </w:rPr>
        <w:t>7</w:t>
      </w:r>
    </w:p>
    <w:p w:rsidR="00424D87" w:rsidRPr="004433B1" w:rsidRDefault="00AA1D2E" w:rsidP="006F6C4A">
      <w:pPr>
        <w:spacing w:before="240" w:after="120" w:line="240" w:lineRule="auto"/>
        <w:jc w:val="center"/>
      </w:pPr>
      <w:r w:rsidRPr="00AA1D2E">
        <w:rPr>
          <w:noProof/>
          <w:lang w:val="en-US"/>
        </w:rPr>
        <w:drawing>
          <wp:inline distT="0" distB="0" distL="0" distR="0">
            <wp:extent cx="6479540" cy="274134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741344"/>
                    </a:xfrm>
                    <a:prstGeom prst="rect">
                      <a:avLst/>
                    </a:prstGeom>
                    <a:noFill/>
                    <a:ln>
                      <a:noFill/>
                    </a:ln>
                  </pic:spPr>
                </pic:pic>
              </a:graphicData>
            </a:graphic>
          </wp:inline>
        </w:drawing>
      </w:r>
    </w:p>
    <w:p w:rsidR="00066E6C" w:rsidRPr="004433B1" w:rsidRDefault="00B12317" w:rsidP="002F20C3">
      <w:pPr>
        <w:spacing w:before="240" w:after="120" w:line="288" w:lineRule="auto"/>
        <w:ind w:firstLine="403"/>
        <w:jc w:val="both"/>
        <w:rPr>
          <w:rFonts w:ascii="Arial" w:hAnsi="Arial" w:cs="Arial"/>
          <w:sz w:val="20"/>
          <w:szCs w:val="20"/>
        </w:rPr>
      </w:pPr>
      <w:r w:rsidRPr="004433B1">
        <w:rPr>
          <w:rFonts w:ascii="Arial" w:hAnsi="Arial" w:cs="Arial"/>
          <w:sz w:val="20"/>
          <w:szCs w:val="20"/>
        </w:rPr>
        <w:t>Gender inequality on labour market is still present.</w:t>
      </w:r>
      <w:r w:rsidR="00066E6C" w:rsidRPr="004433B1">
        <w:rPr>
          <w:rFonts w:ascii="Arial" w:hAnsi="Arial" w:cs="Arial"/>
          <w:sz w:val="20"/>
          <w:szCs w:val="20"/>
        </w:rPr>
        <w:t xml:space="preserve"> Namely, while activity rate of males aged 15 and over amounted to 6</w:t>
      </w:r>
      <w:r w:rsidR="00C9020A" w:rsidRPr="004433B1">
        <w:rPr>
          <w:rFonts w:ascii="Arial" w:hAnsi="Arial" w:cs="Arial"/>
          <w:sz w:val="20"/>
          <w:szCs w:val="20"/>
        </w:rPr>
        <w:t>2</w:t>
      </w:r>
      <w:r w:rsidR="00066E6C" w:rsidRPr="004433B1">
        <w:rPr>
          <w:rFonts w:ascii="Arial" w:hAnsi="Arial" w:cs="Arial"/>
          <w:sz w:val="20"/>
          <w:szCs w:val="20"/>
        </w:rPr>
        <w:t>.</w:t>
      </w:r>
      <w:r w:rsidR="00C9020A" w:rsidRPr="004433B1">
        <w:rPr>
          <w:rFonts w:ascii="Arial" w:hAnsi="Arial" w:cs="Arial"/>
          <w:sz w:val="20"/>
          <w:szCs w:val="20"/>
        </w:rPr>
        <w:t>8</w:t>
      </w:r>
      <w:r w:rsidR="00066E6C" w:rsidRPr="004433B1">
        <w:rPr>
          <w:rFonts w:ascii="Arial" w:hAnsi="Arial" w:cs="Arial"/>
          <w:sz w:val="20"/>
          <w:szCs w:val="20"/>
        </w:rPr>
        <w:t>%, regarding females, it amounted to only 4</w:t>
      </w:r>
      <w:r w:rsidR="00C9020A" w:rsidRPr="004433B1">
        <w:rPr>
          <w:rFonts w:ascii="Arial" w:hAnsi="Arial" w:cs="Arial"/>
          <w:sz w:val="20"/>
          <w:szCs w:val="20"/>
        </w:rPr>
        <w:t>6</w:t>
      </w:r>
      <w:r w:rsidR="0007378F" w:rsidRPr="004433B1">
        <w:rPr>
          <w:rFonts w:ascii="Arial" w:hAnsi="Arial" w:cs="Arial"/>
          <w:sz w:val="20"/>
          <w:szCs w:val="20"/>
        </w:rPr>
        <w:t>.</w:t>
      </w:r>
      <w:r w:rsidR="00C9020A" w:rsidRPr="004433B1">
        <w:rPr>
          <w:rFonts w:ascii="Arial" w:hAnsi="Arial" w:cs="Arial"/>
          <w:sz w:val="20"/>
          <w:szCs w:val="20"/>
        </w:rPr>
        <w:t>2</w:t>
      </w:r>
      <w:r w:rsidR="00066E6C" w:rsidRPr="004433B1">
        <w:rPr>
          <w:rFonts w:ascii="Arial" w:hAnsi="Arial" w:cs="Arial"/>
          <w:sz w:val="20"/>
          <w:szCs w:val="20"/>
        </w:rPr>
        <w:t>%. Employme</w:t>
      </w:r>
      <w:r w:rsidR="0007378F" w:rsidRPr="004433B1">
        <w:rPr>
          <w:rFonts w:ascii="Arial" w:hAnsi="Arial" w:cs="Arial"/>
          <w:sz w:val="20"/>
          <w:szCs w:val="20"/>
        </w:rPr>
        <w:t xml:space="preserve">nt rate of males is by even </w:t>
      </w:r>
      <w:r w:rsidR="00013536" w:rsidRPr="004433B1">
        <w:rPr>
          <w:rFonts w:ascii="Arial" w:hAnsi="Arial" w:cs="Arial"/>
          <w:sz w:val="20"/>
          <w:szCs w:val="20"/>
        </w:rPr>
        <w:t>14</w:t>
      </w:r>
      <w:r w:rsidR="0007378F" w:rsidRPr="004433B1">
        <w:rPr>
          <w:rFonts w:ascii="Arial" w:hAnsi="Arial" w:cs="Arial"/>
          <w:sz w:val="20"/>
          <w:szCs w:val="20"/>
        </w:rPr>
        <w:t>.</w:t>
      </w:r>
      <w:r w:rsidR="00C9020A" w:rsidRPr="004433B1">
        <w:rPr>
          <w:rFonts w:ascii="Arial" w:hAnsi="Arial" w:cs="Arial"/>
          <w:sz w:val="20"/>
          <w:szCs w:val="20"/>
        </w:rPr>
        <w:t>9</w:t>
      </w:r>
      <w:r w:rsidR="00066E6C" w:rsidRPr="004433B1">
        <w:rPr>
          <w:rFonts w:ascii="Arial" w:hAnsi="Arial" w:cs="Arial"/>
          <w:sz w:val="20"/>
          <w:szCs w:val="20"/>
        </w:rPr>
        <w:t xml:space="preserve"> p.p. higher than of females (Graph </w:t>
      </w:r>
      <w:r w:rsidR="0007378F" w:rsidRPr="004433B1">
        <w:rPr>
          <w:rFonts w:ascii="Arial" w:hAnsi="Arial" w:cs="Arial"/>
          <w:sz w:val="20"/>
          <w:szCs w:val="20"/>
        </w:rPr>
        <w:t>2</w:t>
      </w:r>
      <w:r w:rsidR="00066E6C" w:rsidRPr="004433B1">
        <w:rPr>
          <w:rFonts w:ascii="Arial" w:hAnsi="Arial" w:cs="Arial"/>
          <w:sz w:val="20"/>
          <w:szCs w:val="20"/>
        </w:rPr>
        <w:t xml:space="preserve">). </w:t>
      </w:r>
    </w:p>
    <w:p w:rsidR="00013560" w:rsidRPr="004433B1" w:rsidRDefault="00013560" w:rsidP="00BA2E8C">
      <w:pPr>
        <w:spacing w:before="480" w:after="360"/>
        <w:jc w:val="center"/>
        <w:rPr>
          <w:rFonts w:ascii="Arial" w:hAnsi="Arial" w:cs="Arial"/>
          <w:b/>
          <w:bCs/>
        </w:rPr>
      </w:pPr>
      <w:r w:rsidRPr="004433B1">
        <w:rPr>
          <w:rFonts w:ascii="Arial" w:hAnsi="Arial" w:cs="Arial"/>
          <w:b/>
          <w:bCs/>
        </w:rPr>
        <w:t>Employed population</w:t>
      </w:r>
    </w:p>
    <w:p w:rsidR="00013560" w:rsidRPr="004433B1" w:rsidRDefault="00013560"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Number of employed persons</w:t>
      </w:r>
      <w:r w:rsidRPr="004433B1">
        <w:rPr>
          <w:rFonts w:ascii="Arial" w:hAnsi="Arial" w:cs="Arial"/>
          <w:sz w:val="20"/>
          <w:szCs w:val="20"/>
        </w:rPr>
        <w:t xml:space="preserve"> in the </w:t>
      </w:r>
      <w:r w:rsidR="0083404B" w:rsidRPr="004433B1">
        <w:rPr>
          <w:rFonts w:ascii="Arial" w:hAnsi="Arial" w:cs="Arial"/>
          <w:sz w:val="20"/>
          <w:szCs w:val="20"/>
        </w:rPr>
        <w:t>fourth</w:t>
      </w:r>
      <w:r w:rsidRPr="004433B1">
        <w:rPr>
          <w:rFonts w:ascii="Arial" w:hAnsi="Arial" w:cs="Arial"/>
          <w:sz w:val="20"/>
          <w:szCs w:val="20"/>
        </w:rPr>
        <w:t xml:space="preserve"> quarter 201</w:t>
      </w:r>
      <w:r w:rsidR="00E6296A" w:rsidRPr="004433B1">
        <w:rPr>
          <w:rFonts w:ascii="Arial" w:hAnsi="Arial" w:cs="Arial"/>
          <w:sz w:val="20"/>
          <w:szCs w:val="20"/>
        </w:rPr>
        <w:t>7</w:t>
      </w:r>
      <w:r w:rsidRPr="004433B1">
        <w:rPr>
          <w:rFonts w:ascii="Arial" w:hAnsi="Arial" w:cs="Arial"/>
          <w:sz w:val="20"/>
          <w:szCs w:val="20"/>
        </w:rPr>
        <w:t xml:space="preserve"> </w:t>
      </w:r>
      <w:r w:rsidR="0083404B" w:rsidRPr="004433B1">
        <w:rPr>
          <w:rFonts w:ascii="Arial" w:hAnsi="Arial" w:cs="Arial"/>
          <w:sz w:val="20"/>
          <w:szCs w:val="20"/>
        </w:rPr>
        <w:t>relative to the previous quarter decreased by</w:t>
      </w:r>
      <w:r w:rsidRPr="004433B1">
        <w:rPr>
          <w:rFonts w:ascii="Arial" w:hAnsi="Arial" w:cs="Arial"/>
          <w:sz w:val="20"/>
          <w:szCs w:val="20"/>
        </w:rPr>
        <w:t xml:space="preserve"> </w:t>
      </w:r>
      <w:r w:rsidR="0083404B" w:rsidRPr="004433B1">
        <w:rPr>
          <w:rFonts w:ascii="Arial" w:hAnsi="Arial" w:cs="Arial"/>
          <w:sz w:val="20"/>
          <w:szCs w:val="20"/>
        </w:rPr>
        <w:t>118</w:t>
      </w:r>
      <w:r w:rsidR="00AA1D2E">
        <w:rPr>
          <w:rFonts w:ascii="Arial" w:hAnsi="Arial" w:cs="Arial"/>
          <w:sz w:val="20"/>
          <w:szCs w:val="20"/>
        </w:rPr>
        <w:t> </w:t>
      </w:r>
      <w:r w:rsidR="0083404B" w:rsidRPr="004433B1">
        <w:rPr>
          <w:rFonts w:ascii="Arial" w:hAnsi="Arial" w:cs="Arial"/>
          <w:sz w:val="20"/>
          <w:szCs w:val="20"/>
        </w:rPr>
        <w:t>3</w:t>
      </w:r>
      <w:r w:rsidRPr="004433B1">
        <w:rPr>
          <w:rFonts w:ascii="Arial" w:hAnsi="Arial" w:cs="Arial"/>
          <w:sz w:val="20"/>
          <w:szCs w:val="20"/>
        </w:rPr>
        <w:t>00</w:t>
      </w:r>
      <w:r w:rsidR="0083404B" w:rsidRPr="004433B1">
        <w:rPr>
          <w:rFonts w:ascii="Arial" w:hAnsi="Arial" w:cs="Arial"/>
          <w:sz w:val="20"/>
          <w:szCs w:val="20"/>
        </w:rPr>
        <w:t>.</w:t>
      </w:r>
      <w:r w:rsidR="00CA5C79" w:rsidRPr="004433B1">
        <w:rPr>
          <w:rFonts w:ascii="Arial" w:hAnsi="Arial" w:cs="Arial"/>
          <w:sz w:val="20"/>
          <w:szCs w:val="20"/>
        </w:rPr>
        <w:t xml:space="preserve"> </w:t>
      </w:r>
      <w:r w:rsidR="0083404B" w:rsidRPr="004433B1">
        <w:rPr>
          <w:rFonts w:ascii="Arial" w:hAnsi="Arial" w:cs="Arial"/>
          <w:sz w:val="20"/>
          <w:szCs w:val="20"/>
        </w:rPr>
        <w:t>R</w:t>
      </w:r>
      <w:r w:rsidRPr="004433B1">
        <w:rPr>
          <w:rFonts w:ascii="Arial" w:hAnsi="Arial" w:cs="Arial"/>
          <w:sz w:val="20"/>
          <w:szCs w:val="20"/>
        </w:rPr>
        <w:t xml:space="preserve">elative to </w:t>
      </w:r>
      <w:r w:rsidR="0083404B" w:rsidRPr="004433B1">
        <w:rPr>
          <w:rFonts w:ascii="Arial" w:hAnsi="Arial" w:cs="Arial"/>
          <w:sz w:val="20"/>
          <w:szCs w:val="20"/>
        </w:rPr>
        <w:t xml:space="preserve">the same quarter of the </w:t>
      </w:r>
      <w:r w:rsidRPr="004433B1">
        <w:rPr>
          <w:rFonts w:ascii="Arial" w:hAnsi="Arial" w:cs="Arial"/>
          <w:sz w:val="20"/>
          <w:szCs w:val="20"/>
        </w:rPr>
        <w:t xml:space="preserve">previous </w:t>
      </w:r>
      <w:r w:rsidR="0083404B" w:rsidRPr="004433B1">
        <w:rPr>
          <w:rFonts w:ascii="Arial" w:hAnsi="Arial" w:cs="Arial"/>
          <w:sz w:val="20"/>
          <w:szCs w:val="20"/>
        </w:rPr>
        <w:t>year, number of employed was increased by 32</w:t>
      </w:r>
      <w:r w:rsidR="00AA1D2E">
        <w:rPr>
          <w:rFonts w:ascii="Arial" w:hAnsi="Arial" w:cs="Arial"/>
          <w:sz w:val="20"/>
          <w:szCs w:val="20"/>
        </w:rPr>
        <w:t> </w:t>
      </w:r>
      <w:r w:rsidR="0083404B" w:rsidRPr="004433B1">
        <w:rPr>
          <w:rFonts w:ascii="Arial" w:hAnsi="Arial" w:cs="Arial"/>
          <w:sz w:val="20"/>
          <w:szCs w:val="20"/>
        </w:rPr>
        <w:t xml:space="preserve">200. </w:t>
      </w:r>
      <w:r w:rsidR="00386A4A" w:rsidRPr="004433B1">
        <w:rPr>
          <w:rFonts w:ascii="Arial" w:hAnsi="Arial" w:cs="Arial"/>
          <w:b/>
          <w:sz w:val="20"/>
          <w:szCs w:val="20"/>
        </w:rPr>
        <w:t>Employment rate</w:t>
      </w:r>
      <w:r w:rsidR="00386A4A" w:rsidRPr="004433B1">
        <w:rPr>
          <w:rFonts w:ascii="Arial" w:hAnsi="Arial" w:cs="Arial"/>
          <w:sz w:val="20"/>
          <w:szCs w:val="20"/>
        </w:rPr>
        <w:t xml:space="preserve"> was 4</w:t>
      </w:r>
      <w:r w:rsidR="0083404B" w:rsidRPr="004433B1">
        <w:rPr>
          <w:rFonts w:ascii="Arial" w:hAnsi="Arial" w:cs="Arial"/>
          <w:sz w:val="20"/>
          <w:szCs w:val="20"/>
        </w:rPr>
        <w:t>6</w:t>
      </w:r>
      <w:r w:rsidR="00386A4A" w:rsidRPr="004433B1">
        <w:rPr>
          <w:rFonts w:ascii="Arial" w:hAnsi="Arial" w:cs="Arial"/>
          <w:sz w:val="20"/>
          <w:szCs w:val="20"/>
        </w:rPr>
        <w:t>.</w:t>
      </w:r>
      <w:r w:rsidR="0083404B" w:rsidRPr="004433B1">
        <w:rPr>
          <w:rFonts w:ascii="Arial" w:hAnsi="Arial" w:cs="Arial"/>
          <w:sz w:val="20"/>
          <w:szCs w:val="20"/>
        </w:rPr>
        <w:t>3</w:t>
      </w:r>
      <w:r w:rsidR="00386A4A" w:rsidRPr="004433B1">
        <w:rPr>
          <w:rFonts w:ascii="Arial" w:hAnsi="Arial" w:cs="Arial"/>
          <w:sz w:val="20"/>
          <w:szCs w:val="20"/>
        </w:rPr>
        <w:t xml:space="preserve">%, being by </w:t>
      </w:r>
      <w:r w:rsidR="0083404B" w:rsidRPr="004433B1">
        <w:rPr>
          <w:rFonts w:ascii="Arial" w:hAnsi="Arial" w:cs="Arial"/>
          <w:sz w:val="20"/>
          <w:szCs w:val="20"/>
        </w:rPr>
        <w:t>1</w:t>
      </w:r>
      <w:r w:rsidR="00386A4A" w:rsidRPr="004433B1">
        <w:rPr>
          <w:rFonts w:ascii="Arial" w:hAnsi="Arial" w:cs="Arial"/>
          <w:sz w:val="20"/>
          <w:szCs w:val="20"/>
        </w:rPr>
        <w:t>.</w:t>
      </w:r>
      <w:r w:rsidR="0083404B" w:rsidRPr="004433B1">
        <w:rPr>
          <w:rFonts w:ascii="Arial" w:hAnsi="Arial" w:cs="Arial"/>
          <w:sz w:val="20"/>
          <w:szCs w:val="20"/>
        </w:rPr>
        <w:t>9</w:t>
      </w:r>
      <w:r w:rsidR="00386A4A" w:rsidRPr="004433B1">
        <w:rPr>
          <w:rFonts w:ascii="Arial" w:hAnsi="Arial" w:cs="Arial"/>
          <w:sz w:val="20"/>
          <w:szCs w:val="20"/>
        </w:rPr>
        <w:t xml:space="preserve"> p.p. </w:t>
      </w:r>
      <w:r w:rsidR="0083404B" w:rsidRPr="004433B1">
        <w:rPr>
          <w:rFonts w:ascii="Arial" w:hAnsi="Arial" w:cs="Arial"/>
          <w:sz w:val="20"/>
          <w:szCs w:val="20"/>
        </w:rPr>
        <w:t>less</w:t>
      </w:r>
      <w:r w:rsidR="00386A4A" w:rsidRPr="004433B1">
        <w:rPr>
          <w:rFonts w:ascii="Arial" w:hAnsi="Arial" w:cs="Arial"/>
          <w:sz w:val="20"/>
          <w:szCs w:val="20"/>
        </w:rPr>
        <w:t xml:space="preserve"> than in </w:t>
      </w:r>
      <w:r w:rsidR="005E2E52" w:rsidRPr="004433B1">
        <w:rPr>
          <w:rFonts w:ascii="Arial" w:hAnsi="Arial" w:cs="Arial"/>
          <w:sz w:val="20"/>
          <w:szCs w:val="20"/>
        </w:rPr>
        <w:t xml:space="preserve">the </w:t>
      </w:r>
      <w:r w:rsidR="00386A4A" w:rsidRPr="004433B1">
        <w:rPr>
          <w:rFonts w:ascii="Arial" w:hAnsi="Arial" w:cs="Arial"/>
          <w:sz w:val="20"/>
          <w:szCs w:val="20"/>
        </w:rPr>
        <w:t xml:space="preserve">previous quarter and by </w:t>
      </w:r>
      <w:r w:rsidR="0083404B" w:rsidRPr="004433B1">
        <w:rPr>
          <w:rFonts w:ascii="Arial" w:hAnsi="Arial" w:cs="Arial"/>
          <w:sz w:val="20"/>
          <w:szCs w:val="20"/>
        </w:rPr>
        <w:t>0</w:t>
      </w:r>
      <w:r w:rsidR="00386A4A" w:rsidRPr="004433B1">
        <w:rPr>
          <w:rFonts w:ascii="Arial" w:hAnsi="Arial" w:cs="Arial"/>
          <w:sz w:val="20"/>
          <w:szCs w:val="20"/>
        </w:rPr>
        <w:t>.</w:t>
      </w:r>
      <w:r w:rsidR="0083404B" w:rsidRPr="004433B1">
        <w:rPr>
          <w:rFonts w:ascii="Arial" w:hAnsi="Arial" w:cs="Arial"/>
          <w:sz w:val="20"/>
          <w:szCs w:val="20"/>
        </w:rPr>
        <w:t>8</w:t>
      </w:r>
      <w:r w:rsidR="00386A4A" w:rsidRPr="004433B1">
        <w:rPr>
          <w:rFonts w:ascii="Arial" w:hAnsi="Arial" w:cs="Arial"/>
          <w:sz w:val="20"/>
          <w:szCs w:val="20"/>
        </w:rPr>
        <w:t xml:space="preserve"> p.p</w:t>
      </w:r>
      <w:r w:rsidR="00884A31" w:rsidRPr="004433B1">
        <w:rPr>
          <w:rFonts w:ascii="Arial" w:hAnsi="Arial" w:cs="Arial"/>
          <w:sz w:val="20"/>
          <w:szCs w:val="20"/>
        </w:rPr>
        <w:t>.</w:t>
      </w:r>
      <w:r w:rsidR="00386A4A" w:rsidRPr="004433B1">
        <w:rPr>
          <w:rFonts w:ascii="Arial" w:hAnsi="Arial" w:cs="Arial"/>
          <w:sz w:val="20"/>
          <w:szCs w:val="20"/>
        </w:rPr>
        <w:t xml:space="preserve"> more than in the same quarter 201</w:t>
      </w:r>
      <w:r w:rsidR="00E6296A" w:rsidRPr="004433B1">
        <w:rPr>
          <w:rFonts w:ascii="Arial" w:hAnsi="Arial" w:cs="Arial"/>
          <w:sz w:val="20"/>
          <w:szCs w:val="20"/>
        </w:rPr>
        <w:t>6</w:t>
      </w:r>
      <w:r w:rsidR="00386A4A" w:rsidRPr="004433B1">
        <w:rPr>
          <w:rFonts w:ascii="Arial" w:hAnsi="Arial" w:cs="Arial"/>
          <w:sz w:val="20"/>
          <w:szCs w:val="20"/>
        </w:rPr>
        <w:t xml:space="preserve">. </w:t>
      </w:r>
      <w:r w:rsidRPr="004433B1">
        <w:rPr>
          <w:rFonts w:ascii="Arial" w:hAnsi="Arial" w:cs="Arial"/>
          <w:sz w:val="20"/>
          <w:szCs w:val="20"/>
        </w:rPr>
        <w:t xml:space="preserve"> </w:t>
      </w:r>
    </w:p>
    <w:p w:rsidR="00013560" w:rsidRPr="004433B1" w:rsidRDefault="00013560" w:rsidP="00614AA2">
      <w:pPr>
        <w:spacing w:before="240" w:after="60"/>
        <w:jc w:val="center"/>
        <w:rPr>
          <w:rFonts w:ascii="Arial" w:hAnsi="Arial" w:cs="Arial"/>
          <w:color w:val="FF0000"/>
          <w:sz w:val="20"/>
          <w:szCs w:val="20"/>
        </w:rPr>
      </w:pPr>
    </w:p>
    <w:p w:rsidR="00013560" w:rsidRPr="004433B1" w:rsidRDefault="00013560" w:rsidP="00614AA2">
      <w:pPr>
        <w:spacing w:before="240" w:after="60"/>
        <w:jc w:val="center"/>
        <w:rPr>
          <w:rFonts w:ascii="Arial" w:hAnsi="Arial" w:cs="Arial"/>
          <w:color w:val="FF0000"/>
          <w:sz w:val="20"/>
          <w:szCs w:val="20"/>
        </w:rPr>
      </w:pPr>
    </w:p>
    <w:p w:rsidR="00013560" w:rsidRPr="004433B1" w:rsidRDefault="001A2C58" w:rsidP="00614AA2">
      <w:pPr>
        <w:spacing w:before="240" w:after="60"/>
        <w:jc w:val="center"/>
        <w:rPr>
          <w:rFonts w:ascii="Arial" w:hAnsi="Arial" w:cs="Arial"/>
          <w:color w:val="FF0000"/>
          <w:sz w:val="20"/>
          <w:szCs w:val="20"/>
        </w:rPr>
      </w:pPr>
      <w:r w:rsidRPr="004433B1">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1E86709E" wp14:editId="269B0EDA">
                <wp:simplePos x="0" y="0"/>
                <wp:positionH relativeFrom="margin">
                  <wp:posOffset>-22860</wp:posOffset>
                </wp:positionH>
                <wp:positionV relativeFrom="line">
                  <wp:posOffset>-549275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B16406" w:rsidRPr="00CD1040" w:rsidRDefault="00B16406"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B16406" w:rsidRPr="00BA74B0" w:rsidRDefault="00B1640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B16406" w:rsidRPr="00BA74B0" w:rsidRDefault="00B16406"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w:t>
                            </w:r>
                            <w:r>
                              <w:rPr>
                                <w:rFonts w:ascii="Arial" w:hAnsi="Arial" w:cs="Arial"/>
                                <w:b/>
                                <w:bCs/>
                                <w:sz w:val="18"/>
                                <w:szCs w:val="18"/>
                              </w:rPr>
                              <w:t>ly</w:t>
                            </w:r>
                            <w:r w:rsidRPr="00C927F3">
                              <w:rPr>
                                <w:rFonts w:ascii="Arial" w:hAnsi="Arial" w:cs="Arial"/>
                                <w:b/>
                                <w:bCs/>
                                <w:sz w:val="18"/>
                                <w:szCs w:val="18"/>
                              </w:rPr>
                              <w:t xml:space="preserve"> employe</w:t>
                            </w:r>
                            <w:r>
                              <w:rPr>
                                <w:rFonts w:ascii="Arial" w:hAnsi="Arial" w:cs="Arial"/>
                                <w:b/>
                                <w:bCs/>
                                <w:sz w:val="18"/>
                                <w:szCs w:val="18"/>
                              </w:rPr>
                              <w:t>d</w:t>
                            </w:r>
                            <w:r w:rsidRPr="00BA74B0">
                              <w:rPr>
                                <w:rFonts w:ascii="Arial" w:hAnsi="Arial" w:cs="Arial"/>
                                <w:sz w:val="18"/>
                                <w:szCs w:val="18"/>
                              </w:rPr>
                              <w:t xml:space="preserve"> </w:t>
                            </w:r>
                            <w:r>
                              <w:rPr>
                                <w:rFonts w:ascii="Arial" w:hAnsi="Arial" w:cs="Arial"/>
                                <w:sz w:val="18"/>
                                <w:szCs w:val="18"/>
                              </w:rPr>
                              <w:t>are</w:t>
                            </w:r>
                            <w:r w:rsidRPr="00C927F3">
                              <w:rPr>
                                <w:rFonts w:ascii="Arial" w:hAnsi="Arial" w:cs="Arial"/>
                                <w:sz w:val="18"/>
                                <w:szCs w:val="18"/>
                              </w:rPr>
                              <w:t xml:space="preserve"> </w:t>
                            </w:r>
                            <w:r w:rsidRPr="00237819">
                              <w:rPr>
                                <w:rFonts w:ascii="Arial" w:hAnsi="Arial" w:cs="Arial"/>
                                <w:sz w:val="18"/>
                                <w:szCs w:val="18"/>
                              </w:rPr>
                              <w:t>employees without written contract, self-employed in unregistered business, as well as contributing family workers</w:t>
                            </w:r>
                            <w:r w:rsidRPr="00C927F3">
                              <w:rPr>
                                <w:rFonts w:ascii="Arial" w:hAnsi="Arial" w:cs="Arial"/>
                                <w:sz w:val="18"/>
                                <w:szCs w:val="18"/>
                              </w:rPr>
                              <w:t>.</w:t>
                            </w:r>
                          </w:p>
                          <w:p w:rsidR="00B16406" w:rsidRPr="0008457F" w:rsidRDefault="00B16406"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6709E" id="_x0000_s1027" style="position:absolute;left:0;text-align:left;margin-left:-1.8pt;margin-top:-43.2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" fillcolor="#f2f2f2" strokecolor="#0c5498" strokeweight="1pt">
                <v:textbox inset="0,0,0,0">
                  <w:txbxContent>
                    <w:p w:rsidR="00B16406" w:rsidRPr="00CD1040" w:rsidRDefault="00B16406"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B16406" w:rsidRPr="00BA74B0" w:rsidRDefault="00B1640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B16406" w:rsidRPr="00BA74B0" w:rsidRDefault="00B16406"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w:t>
                      </w:r>
                      <w:r>
                        <w:rPr>
                          <w:rFonts w:ascii="Arial" w:hAnsi="Arial" w:cs="Arial"/>
                          <w:b/>
                          <w:bCs/>
                          <w:sz w:val="18"/>
                          <w:szCs w:val="18"/>
                        </w:rPr>
                        <w:t>ly</w:t>
                      </w:r>
                      <w:r w:rsidRPr="00C927F3">
                        <w:rPr>
                          <w:rFonts w:ascii="Arial" w:hAnsi="Arial" w:cs="Arial"/>
                          <w:b/>
                          <w:bCs/>
                          <w:sz w:val="18"/>
                          <w:szCs w:val="18"/>
                        </w:rPr>
                        <w:t xml:space="preserve"> employe</w:t>
                      </w:r>
                      <w:r>
                        <w:rPr>
                          <w:rFonts w:ascii="Arial" w:hAnsi="Arial" w:cs="Arial"/>
                          <w:b/>
                          <w:bCs/>
                          <w:sz w:val="18"/>
                          <w:szCs w:val="18"/>
                        </w:rPr>
                        <w:t>d</w:t>
                      </w:r>
                      <w:r w:rsidRPr="00BA74B0">
                        <w:rPr>
                          <w:rFonts w:ascii="Arial" w:hAnsi="Arial" w:cs="Arial"/>
                          <w:sz w:val="18"/>
                          <w:szCs w:val="18"/>
                        </w:rPr>
                        <w:t xml:space="preserve"> </w:t>
                      </w:r>
                      <w:r>
                        <w:rPr>
                          <w:rFonts w:ascii="Arial" w:hAnsi="Arial" w:cs="Arial"/>
                          <w:sz w:val="18"/>
                          <w:szCs w:val="18"/>
                        </w:rPr>
                        <w:t>are</w:t>
                      </w:r>
                      <w:r w:rsidRPr="00C927F3">
                        <w:rPr>
                          <w:rFonts w:ascii="Arial" w:hAnsi="Arial" w:cs="Arial"/>
                          <w:sz w:val="18"/>
                          <w:szCs w:val="18"/>
                        </w:rPr>
                        <w:t xml:space="preserve"> </w:t>
                      </w:r>
                      <w:r w:rsidRPr="00237819">
                        <w:rPr>
                          <w:rFonts w:ascii="Arial" w:hAnsi="Arial" w:cs="Arial"/>
                          <w:sz w:val="18"/>
                          <w:szCs w:val="18"/>
                        </w:rPr>
                        <w:t>employees without written contract, self-employed in unregistered business, as well as contributing family workers</w:t>
                      </w:r>
                      <w:r w:rsidRPr="00C927F3">
                        <w:rPr>
                          <w:rFonts w:ascii="Arial" w:hAnsi="Arial" w:cs="Arial"/>
                          <w:sz w:val="18"/>
                          <w:szCs w:val="18"/>
                        </w:rPr>
                        <w:t>.</w:t>
                      </w:r>
                    </w:p>
                    <w:p w:rsidR="00B16406" w:rsidRPr="0008457F" w:rsidRDefault="00B16406"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v:textbox>
                <w10:wrap anchorx="margin" anchory="line"/>
                <w10:anchorlock/>
              </v:roundrect>
            </w:pict>
          </mc:Fallback>
        </mc:AlternateContent>
      </w:r>
    </w:p>
    <w:p w:rsidR="00066E6C" w:rsidRPr="004433B1" w:rsidRDefault="00066E6C" w:rsidP="00614AA2">
      <w:pPr>
        <w:spacing w:before="240" w:after="60"/>
        <w:jc w:val="center"/>
        <w:rPr>
          <w:rFonts w:ascii="Arial" w:hAnsi="Arial" w:cs="Arial"/>
          <w:sz w:val="20"/>
          <w:szCs w:val="20"/>
        </w:rPr>
      </w:pPr>
    </w:p>
    <w:p w:rsidR="00066E6C" w:rsidRPr="004433B1" w:rsidRDefault="00066E6C" w:rsidP="0080744D">
      <w:pPr>
        <w:spacing w:before="360" w:after="120" w:line="233" w:lineRule="auto"/>
        <w:ind w:firstLine="397"/>
        <w:jc w:val="both"/>
        <w:rPr>
          <w:rFonts w:ascii="Arial" w:hAnsi="Arial" w:cs="Arial"/>
          <w:b/>
          <w:bCs/>
          <w:sz w:val="20"/>
          <w:szCs w:val="20"/>
        </w:rPr>
      </w:pPr>
    </w:p>
    <w:p w:rsidR="007951B3" w:rsidRPr="004433B1" w:rsidRDefault="007951B3" w:rsidP="007951B3">
      <w:pPr>
        <w:spacing w:after="0" w:line="240" w:lineRule="auto"/>
        <w:ind w:firstLine="397"/>
        <w:jc w:val="both"/>
        <w:rPr>
          <w:rFonts w:ascii="Arial" w:hAnsi="Arial" w:cs="Arial"/>
          <w:sz w:val="20"/>
          <w:szCs w:val="20"/>
        </w:rPr>
      </w:pPr>
    </w:p>
    <w:p w:rsidR="00C36A46" w:rsidRPr="004433B1" w:rsidRDefault="0083404B"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 xml:space="preserve">Employment </w:t>
      </w:r>
      <w:r w:rsidRPr="004433B1">
        <w:rPr>
          <w:rFonts w:ascii="Arial" w:hAnsi="Arial" w:cs="Arial"/>
          <w:sz w:val="20"/>
          <w:szCs w:val="20"/>
        </w:rPr>
        <w:t>in the previous year (</w:t>
      </w:r>
      <w:r w:rsidR="00066E6C" w:rsidRPr="004433B1">
        <w:rPr>
          <w:rFonts w:ascii="Arial" w:hAnsi="Arial" w:cs="Arial"/>
          <w:sz w:val="20"/>
          <w:szCs w:val="20"/>
        </w:rPr>
        <w:t xml:space="preserve">from the </w:t>
      </w:r>
      <w:r w:rsidRPr="004433B1">
        <w:rPr>
          <w:rFonts w:ascii="Arial" w:hAnsi="Arial" w:cs="Arial"/>
          <w:sz w:val="20"/>
          <w:szCs w:val="20"/>
        </w:rPr>
        <w:t>fourth</w:t>
      </w:r>
      <w:r w:rsidR="00066E6C" w:rsidRPr="004433B1">
        <w:rPr>
          <w:rFonts w:ascii="Arial" w:hAnsi="Arial" w:cs="Arial"/>
          <w:sz w:val="20"/>
          <w:szCs w:val="20"/>
        </w:rPr>
        <w:t xml:space="preserve"> quarter 201</w:t>
      </w:r>
      <w:r w:rsidR="00E6296A" w:rsidRPr="004433B1">
        <w:rPr>
          <w:rFonts w:ascii="Arial" w:hAnsi="Arial" w:cs="Arial"/>
          <w:sz w:val="20"/>
          <w:szCs w:val="20"/>
        </w:rPr>
        <w:t>6</w:t>
      </w:r>
      <w:r w:rsidR="00066E6C" w:rsidRPr="004433B1">
        <w:rPr>
          <w:rFonts w:ascii="Arial" w:hAnsi="Arial" w:cs="Arial"/>
          <w:sz w:val="20"/>
          <w:szCs w:val="20"/>
        </w:rPr>
        <w:t xml:space="preserve"> to the </w:t>
      </w:r>
      <w:r w:rsidRPr="004433B1">
        <w:rPr>
          <w:rFonts w:ascii="Arial" w:hAnsi="Arial" w:cs="Arial"/>
          <w:sz w:val="20"/>
          <w:szCs w:val="20"/>
        </w:rPr>
        <w:t>fourth</w:t>
      </w:r>
      <w:r w:rsidR="00066E6C" w:rsidRPr="004433B1">
        <w:rPr>
          <w:rFonts w:ascii="Arial" w:hAnsi="Arial" w:cs="Arial"/>
          <w:sz w:val="20"/>
          <w:szCs w:val="20"/>
        </w:rPr>
        <w:t xml:space="preserve"> quarter 201</w:t>
      </w:r>
      <w:r w:rsidR="00E6296A" w:rsidRPr="004433B1">
        <w:rPr>
          <w:rFonts w:ascii="Arial" w:hAnsi="Arial" w:cs="Arial"/>
          <w:sz w:val="20"/>
          <w:szCs w:val="20"/>
        </w:rPr>
        <w:t>7</w:t>
      </w:r>
      <w:r w:rsidR="00066E6C" w:rsidRPr="004433B1">
        <w:rPr>
          <w:rFonts w:ascii="Arial" w:hAnsi="Arial" w:cs="Arial"/>
          <w:sz w:val="20"/>
          <w:szCs w:val="20"/>
        </w:rPr>
        <w:t xml:space="preserve">), </w:t>
      </w:r>
      <w:r w:rsidR="00066E6C" w:rsidRPr="004433B1">
        <w:rPr>
          <w:rFonts w:ascii="Arial" w:hAnsi="Arial" w:cs="Arial"/>
          <w:b/>
          <w:sz w:val="20"/>
          <w:szCs w:val="20"/>
        </w:rPr>
        <w:t>in formal sector</w:t>
      </w:r>
      <w:r w:rsidR="00066E6C" w:rsidRPr="004433B1">
        <w:rPr>
          <w:rFonts w:ascii="Arial" w:hAnsi="Arial" w:cs="Arial"/>
          <w:sz w:val="20"/>
          <w:szCs w:val="20"/>
        </w:rPr>
        <w:t xml:space="preserve"> increased by </w:t>
      </w:r>
      <w:r w:rsidRPr="004433B1">
        <w:rPr>
          <w:rFonts w:ascii="Arial" w:hAnsi="Arial" w:cs="Arial"/>
          <w:sz w:val="20"/>
          <w:szCs w:val="20"/>
        </w:rPr>
        <w:t>56</w:t>
      </w:r>
      <w:r w:rsidR="00955B8E">
        <w:rPr>
          <w:rFonts w:ascii="Arial" w:hAnsi="Arial" w:cs="Arial"/>
          <w:sz w:val="20"/>
          <w:szCs w:val="20"/>
        </w:rPr>
        <w:t> </w:t>
      </w:r>
      <w:r w:rsidRPr="004433B1">
        <w:rPr>
          <w:rFonts w:ascii="Arial" w:hAnsi="Arial" w:cs="Arial"/>
          <w:sz w:val="20"/>
          <w:szCs w:val="20"/>
        </w:rPr>
        <w:t>5</w:t>
      </w:r>
      <w:r w:rsidR="00066E6C" w:rsidRPr="004433B1">
        <w:rPr>
          <w:rFonts w:ascii="Arial" w:hAnsi="Arial" w:cs="Arial"/>
          <w:sz w:val="20"/>
          <w:szCs w:val="20"/>
        </w:rPr>
        <w:t xml:space="preserve">00, and in </w:t>
      </w:r>
      <w:r w:rsidR="00066E6C" w:rsidRPr="004433B1">
        <w:rPr>
          <w:rFonts w:ascii="Arial" w:hAnsi="Arial" w:cs="Arial"/>
          <w:b/>
          <w:sz w:val="20"/>
          <w:szCs w:val="20"/>
        </w:rPr>
        <w:t>informal sector</w:t>
      </w:r>
      <w:r w:rsidR="00066E6C" w:rsidRPr="004433B1">
        <w:rPr>
          <w:rFonts w:ascii="Arial" w:hAnsi="Arial" w:cs="Arial"/>
          <w:sz w:val="20"/>
          <w:szCs w:val="20"/>
        </w:rPr>
        <w:t xml:space="preserve"> </w:t>
      </w:r>
      <w:r w:rsidR="00C36A46" w:rsidRPr="004433B1">
        <w:rPr>
          <w:rFonts w:ascii="Arial" w:hAnsi="Arial" w:cs="Arial"/>
          <w:sz w:val="20"/>
          <w:szCs w:val="20"/>
        </w:rPr>
        <w:t xml:space="preserve">recorded was the </w:t>
      </w:r>
      <w:r w:rsidR="00CA5C79" w:rsidRPr="004433B1">
        <w:rPr>
          <w:rFonts w:ascii="Arial" w:hAnsi="Arial" w:cs="Arial"/>
          <w:sz w:val="20"/>
          <w:szCs w:val="20"/>
        </w:rPr>
        <w:t>de</w:t>
      </w:r>
      <w:r w:rsidR="00C36A46" w:rsidRPr="004433B1">
        <w:rPr>
          <w:rFonts w:ascii="Arial" w:hAnsi="Arial" w:cs="Arial"/>
          <w:sz w:val="20"/>
          <w:szCs w:val="20"/>
        </w:rPr>
        <w:t>crease</w:t>
      </w:r>
      <w:r w:rsidR="00066E6C" w:rsidRPr="004433B1">
        <w:rPr>
          <w:rFonts w:ascii="Arial" w:hAnsi="Arial" w:cs="Arial"/>
          <w:sz w:val="20"/>
          <w:szCs w:val="20"/>
        </w:rPr>
        <w:t xml:space="preserve"> </w:t>
      </w:r>
      <w:r w:rsidR="00C36A46" w:rsidRPr="004433B1">
        <w:rPr>
          <w:rFonts w:ascii="Arial" w:hAnsi="Arial" w:cs="Arial"/>
          <w:sz w:val="20"/>
          <w:szCs w:val="20"/>
        </w:rPr>
        <w:t xml:space="preserve">of </w:t>
      </w:r>
      <w:r w:rsidRPr="004433B1">
        <w:rPr>
          <w:rFonts w:ascii="Arial" w:hAnsi="Arial" w:cs="Arial"/>
          <w:sz w:val="20"/>
          <w:szCs w:val="20"/>
        </w:rPr>
        <w:t>24</w:t>
      </w:r>
      <w:r w:rsidR="00955B8E">
        <w:rPr>
          <w:rFonts w:ascii="Arial" w:hAnsi="Arial" w:cs="Arial"/>
          <w:sz w:val="20"/>
          <w:szCs w:val="20"/>
        </w:rPr>
        <w:t> </w:t>
      </w:r>
      <w:r w:rsidRPr="004433B1">
        <w:rPr>
          <w:rFonts w:ascii="Arial" w:hAnsi="Arial" w:cs="Arial"/>
          <w:sz w:val="20"/>
          <w:szCs w:val="20"/>
        </w:rPr>
        <w:t>3</w:t>
      </w:r>
      <w:r w:rsidR="00066E6C" w:rsidRPr="004433B1">
        <w:rPr>
          <w:rFonts w:ascii="Arial" w:hAnsi="Arial" w:cs="Arial"/>
          <w:sz w:val="20"/>
          <w:szCs w:val="20"/>
        </w:rPr>
        <w:t>00</w:t>
      </w:r>
      <w:r w:rsidR="00F524C1" w:rsidRPr="004433B1">
        <w:rPr>
          <w:rFonts w:ascii="Arial" w:hAnsi="Arial" w:cs="Arial"/>
          <w:sz w:val="20"/>
          <w:szCs w:val="20"/>
        </w:rPr>
        <w:t xml:space="preserve"> persons</w:t>
      </w:r>
      <w:r w:rsidR="00C36A46" w:rsidRPr="004433B1">
        <w:rPr>
          <w:rFonts w:ascii="Arial" w:hAnsi="Arial" w:cs="Arial"/>
          <w:sz w:val="20"/>
          <w:szCs w:val="20"/>
        </w:rPr>
        <w:t>.</w:t>
      </w:r>
      <w:r w:rsidR="00066E6C" w:rsidRPr="004433B1">
        <w:rPr>
          <w:rFonts w:ascii="Arial" w:hAnsi="Arial" w:cs="Arial"/>
          <w:sz w:val="20"/>
          <w:szCs w:val="20"/>
        </w:rPr>
        <w:t xml:space="preserve"> </w:t>
      </w:r>
    </w:p>
    <w:p w:rsidR="00C36A46" w:rsidRPr="004433B1" w:rsidRDefault="00066E6C"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Rate of informal employment</w:t>
      </w:r>
      <w:r w:rsidRPr="004433B1">
        <w:rPr>
          <w:rFonts w:ascii="Arial" w:hAnsi="Arial" w:cs="Arial"/>
          <w:sz w:val="20"/>
          <w:szCs w:val="20"/>
        </w:rPr>
        <w:t xml:space="preserve"> in the </w:t>
      </w:r>
      <w:r w:rsidR="0083404B" w:rsidRPr="004433B1">
        <w:rPr>
          <w:rFonts w:ascii="Arial" w:hAnsi="Arial" w:cs="Arial"/>
          <w:sz w:val="20"/>
          <w:szCs w:val="20"/>
        </w:rPr>
        <w:t>fourth</w:t>
      </w:r>
      <w:r w:rsidRPr="004433B1">
        <w:rPr>
          <w:rFonts w:ascii="Arial" w:hAnsi="Arial" w:cs="Arial"/>
          <w:sz w:val="20"/>
          <w:szCs w:val="20"/>
        </w:rPr>
        <w:t xml:space="preserve"> quarter 201</w:t>
      </w:r>
      <w:r w:rsidR="00C36A46" w:rsidRPr="004433B1">
        <w:rPr>
          <w:rFonts w:ascii="Arial" w:hAnsi="Arial" w:cs="Arial"/>
          <w:sz w:val="20"/>
          <w:szCs w:val="20"/>
        </w:rPr>
        <w:t>7</w:t>
      </w:r>
      <w:r w:rsidRPr="004433B1">
        <w:rPr>
          <w:rFonts w:ascii="Arial" w:hAnsi="Arial" w:cs="Arial"/>
          <w:sz w:val="20"/>
          <w:szCs w:val="20"/>
        </w:rPr>
        <w:t xml:space="preserve"> amounted to </w:t>
      </w:r>
      <w:r w:rsidR="0083404B" w:rsidRPr="004433B1">
        <w:rPr>
          <w:rFonts w:ascii="Arial" w:hAnsi="Arial" w:cs="Arial"/>
          <w:sz w:val="20"/>
          <w:szCs w:val="20"/>
        </w:rPr>
        <w:t>19</w:t>
      </w:r>
      <w:r w:rsidRPr="004433B1">
        <w:rPr>
          <w:rFonts w:ascii="Arial" w:hAnsi="Arial" w:cs="Arial"/>
          <w:sz w:val="20"/>
          <w:szCs w:val="20"/>
        </w:rPr>
        <w:t>.</w:t>
      </w:r>
      <w:r w:rsidR="00CA5C79" w:rsidRPr="004433B1">
        <w:rPr>
          <w:rFonts w:ascii="Arial" w:hAnsi="Arial" w:cs="Arial"/>
          <w:sz w:val="20"/>
          <w:szCs w:val="20"/>
        </w:rPr>
        <w:t>8</w:t>
      </w:r>
      <w:r w:rsidRPr="004433B1">
        <w:rPr>
          <w:rFonts w:ascii="Arial" w:hAnsi="Arial" w:cs="Arial"/>
          <w:sz w:val="20"/>
          <w:szCs w:val="20"/>
        </w:rPr>
        <w:t>% on the level of all activity sections</w:t>
      </w:r>
      <w:r w:rsidR="00EA6A2C" w:rsidRPr="004433B1">
        <w:rPr>
          <w:rFonts w:ascii="Arial" w:hAnsi="Arial" w:cs="Arial"/>
          <w:sz w:val="20"/>
          <w:szCs w:val="20"/>
        </w:rPr>
        <w:t xml:space="preserve"> (Graph 3)</w:t>
      </w:r>
      <w:r w:rsidRPr="004433B1">
        <w:rPr>
          <w:rFonts w:ascii="Arial" w:hAnsi="Arial" w:cs="Arial"/>
          <w:sz w:val="20"/>
          <w:szCs w:val="20"/>
        </w:rPr>
        <w:t xml:space="preserve">. </w:t>
      </w:r>
    </w:p>
    <w:p w:rsidR="002F20C3" w:rsidRDefault="002F20C3" w:rsidP="002F20C3">
      <w:pPr>
        <w:spacing w:before="120" w:after="120" w:line="288" w:lineRule="auto"/>
        <w:ind w:firstLine="397"/>
        <w:jc w:val="both"/>
        <w:rPr>
          <w:rFonts w:ascii="Arial" w:hAnsi="Arial" w:cs="Arial"/>
          <w:sz w:val="20"/>
          <w:szCs w:val="20"/>
        </w:rPr>
      </w:pPr>
    </w:p>
    <w:p w:rsidR="00A87AB1" w:rsidRPr="004433B1" w:rsidRDefault="00066E6C" w:rsidP="002F20C3">
      <w:pPr>
        <w:spacing w:before="120" w:after="120" w:line="288" w:lineRule="auto"/>
        <w:ind w:firstLine="397"/>
        <w:jc w:val="both"/>
        <w:rPr>
          <w:rFonts w:ascii="Arial" w:hAnsi="Arial" w:cs="Arial"/>
          <w:b/>
          <w:bCs/>
          <w:sz w:val="20"/>
          <w:szCs w:val="20"/>
          <w:highlight w:val="yellow"/>
        </w:rPr>
      </w:pPr>
      <w:r w:rsidRPr="004433B1">
        <w:rPr>
          <w:rFonts w:ascii="Arial" w:hAnsi="Arial" w:cs="Arial"/>
          <w:sz w:val="20"/>
          <w:szCs w:val="20"/>
        </w:rPr>
        <w:lastRenderedPageBreak/>
        <w:t>In</w:t>
      </w:r>
      <w:r w:rsidR="008C3469" w:rsidRPr="004433B1">
        <w:rPr>
          <w:rFonts w:ascii="Arial" w:hAnsi="Arial" w:cs="Arial"/>
          <w:sz w:val="20"/>
          <w:szCs w:val="20"/>
        </w:rPr>
        <w:t xml:space="preserve"> </w:t>
      </w:r>
      <w:r w:rsidRPr="004433B1">
        <w:rPr>
          <w:rFonts w:ascii="Arial" w:hAnsi="Arial" w:cs="Arial"/>
          <w:sz w:val="20"/>
          <w:szCs w:val="20"/>
        </w:rPr>
        <w:t xml:space="preserve">non-agriculture, informal employment rate </w:t>
      </w:r>
      <w:r w:rsidR="00CA5C79" w:rsidRPr="004433B1">
        <w:rPr>
          <w:rFonts w:ascii="Arial" w:hAnsi="Arial" w:cs="Arial"/>
          <w:sz w:val="20"/>
          <w:szCs w:val="20"/>
        </w:rPr>
        <w:t xml:space="preserve">is </w:t>
      </w:r>
      <w:r w:rsidRPr="004433B1">
        <w:rPr>
          <w:rFonts w:ascii="Arial" w:hAnsi="Arial" w:cs="Arial"/>
          <w:sz w:val="20"/>
          <w:szCs w:val="20"/>
        </w:rPr>
        <w:t xml:space="preserve">significantly </w:t>
      </w:r>
      <w:r w:rsidR="00CA5C79" w:rsidRPr="004433B1">
        <w:rPr>
          <w:rFonts w:ascii="Arial" w:hAnsi="Arial" w:cs="Arial"/>
          <w:sz w:val="20"/>
          <w:szCs w:val="20"/>
        </w:rPr>
        <w:t>lower</w:t>
      </w:r>
      <w:r w:rsidRPr="004433B1">
        <w:rPr>
          <w:rFonts w:ascii="Arial" w:hAnsi="Arial" w:cs="Arial"/>
          <w:sz w:val="20"/>
          <w:szCs w:val="20"/>
        </w:rPr>
        <w:t xml:space="preserve">, amounting to </w:t>
      </w:r>
      <w:r w:rsidR="0083404B" w:rsidRPr="004433B1">
        <w:rPr>
          <w:rFonts w:ascii="Arial" w:hAnsi="Arial" w:cs="Arial"/>
          <w:sz w:val="20"/>
          <w:szCs w:val="20"/>
        </w:rPr>
        <w:t>9</w:t>
      </w:r>
      <w:r w:rsidRPr="004433B1">
        <w:rPr>
          <w:rFonts w:ascii="Arial" w:hAnsi="Arial" w:cs="Arial"/>
          <w:sz w:val="20"/>
          <w:szCs w:val="20"/>
        </w:rPr>
        <w:t>.</w:t>
      </w:r>
      <w:r w:rsidR="0083404B" w:rsidRPr="004433B1">
        <w:rPr>
          <w:rFonts w:ascii="Arial" w:hAnsi="Arial" w:cs="Arial"/>
          <w:sz w:val="20"/>
          <w:szCs w:val="20"/>
        </w:rPr>
        <w:t>8</w:t>
      </w:r>
      <w:r w:rsidRPr="004433B1">
        <w:rPr>
          <w:rFonts w:ascii="Arial" w:hAnsi="Arial" w:cs="Arial"/>
          <w:sz w:val="20"/>
          <w:szCs w:val="20"/>
        </w:rPr>
        <w:t>%.</w:t>
      </w:r>
    </w:p>
    <w:p w:rsidR="00D21246" w:rsidRDefault="00D21246" w:rsidP="001507DA">
      <w:pPr>
        <w:spacing w:after="0" w:line="240" w:lineRule="auto"/>
        <w:jc w:val="center"/>
        <w:rPr>
          <w:rFonts w:ascii="Arial" w:hAnsi="Arial" w:cs="Arial"/>
          <w:b/>
          <w:bCs/>
          <w:sz w:val="20"/>
          <w:szCs w:val="20"/>
        </w:rPr>
      </w:pPr>
    </w:p>
    <w:p w:rsidR="00066E6C" w:rsidRPr="004433B1" w:rsidRDefault="00EA6A2C" w:rsidP="001507DA">
      <w:pPr>
        <w:spacing w:after="0" w:line="240" w:lineRule="auto"/>
        <w:jc w:val="center"/>
        <w:rPr>
          <w:rFonts w:ascii="Arial" w:hAnsi="Arial" w:cs="Arial"/>
          <w:sz w:val="20"/>
          <w:szCs w:val="20"/>
          <w:highlight w:val="yellow"/>
        </w:rPr>
      </w:pPr>
      <w:r w:rsidRPr="004433B1">
        <w:rPr>
          <w:rFonts w:ascii="Arial" w:hAnsi="Arial" w:cs="Arial"/>
          <w:b/>
          <w:bCs/>
          <w:sz w:val="20"/>
          <w:szCs w:val="20"/>
        </w:rPr>
        <w:t>Graph 3</w:t>
      </w:r>
      <w:r w:rsidR="00066E6C" w:rsidRPr="004433B1">
        <w:rPr>
          <w:rFonts w:ascii="Arial" w:hAnsi="Arial" w:cs="Arial"/>
          <w:sz w:val="20"/>
          <w:szCs w:val="20"/>
        </w:rPr>
        <w:t xml:space="preserve"> </w:t>
      </w:r>
      <w:r w:rsidR="009D3330" w:rsidRPr="004433B1">
        <w:rPr>
          <w:rFonts w:ascii="Arial" w:hAnsi="Arial" w:cs="Arial"/>
          <w:sz w:val="20"/>
          <w:szCs w:val="20"/>
        </w:rPr>
        <w:t>Share of f</w:t>
      </w:r>
      <w:r w:rsidR="00066E6C" w:rsidRPr="004433B1">
        <w:t>ormal/</w:t>
      </w:r>
      <w:r w:rsidR="009D3330" w:rsidRPr="004433B1">
        <w:t>i</w:t>
      </w:r>
      <w:r w:rsidR="00066E6C" w:rsidRPr="004433B1">
        <w:t>nformal employment</w:t>
      </w:r>
      <w:r w:rsidR="009D3330" w:rsidRPr="004433B1">
        <w:t xml:space="preserve"> in total employment of population aged </w:t>
      </w:r>
      <w:r w:rsidR="00066E6C" w:rsidRPr="004433B1">
        <w:t xml:space="preserve">15+, </w:t>
      </w:r>
      <w:r w:rsidR="00D636F1" w:rsidRPr="004433B1">
        <w:rPr>
          <w:rFonts w:ascii="Arial" w:hAnsi="Arial" w:cs="Arial"/>
          <w:sz w:val="20"/>
          <w:szCs w:val="20"/>
        </w:rPr>
        <w:t>Q</w:t>
      </w:r>
      <w:r w:rsidR="0083404B" w:rsidRPr="004433B1">
        <w:rPr>
          <w:rFonts w:ascii="Arial" w:hAnsi="Arial" w:cs="Arial"/>
          <w:sz w:val="20"/>
          <w:szCs w:val="20"/>
        </w:rPr>
        <w:t>4</w:t>
      </w:r>
      <w:r w:rsidR="00D636F1" w:rsidRPr="004433B1">
        <w:rPr>
          <w:rFonts w:ascii="Arial" w:hAnsi="Arial" w:cs="Arial"/>
          <w:sz w:val="20"/>
          <w:szCs w:val="20"/>
        </w:rPr>
        <w:t xml:space="preserve"> 201</w:t>
      </w:r>
      <w:r w:rsidR="00C36A46" w:rsidRPr="004433B1">
        <w:rPr>
          <w:rFonts w:ascii="Arial" w:hAnsi="Arial" w:cs="Arial"/>
          <w:sz w:val="20"/>
          <w:szCs w:val="20"/>
        </w:rPr>
        <w:t>7</w:t>
      </w:r>
    </w:p>
    <w:p w:rsidR="00D01843" w:rsidRPr="004433B1" w:rsidRDefault="00D01843" w:rsidP="001507DA">
      <w:pPr>
        <w:spacing w:after="0" w:line="240" w:lineRule="auto"/>
        <w:jc w:val="center"/>
        <w:rPr>
          <w:highlight w:val="yellow"/>
        </w:rPr>
      </w:pP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94"/>
      </w:tblGrid>
      <w:tr w:rsidR="00C32356" w:rsidRPr="004433B1" w:rsidTr="00C32356">
        <w:trPr>
          <w:trHeight w:val="2108"/>
          <w:jc w:val="center"/>
        </w:trPr>
        <w:tc>
          <w:tcPr>
            <w:tcW w:w="6399" w:type="dxa"/>
            <w:shd w:val="clear" w:color="auto" w:fill="auto"/>
          </w:tcPr>
          <w:p w:rsidR="00CF366C" w:rsidRPr="004433B1" w:rsidRDefault="00955B8E" w:rsidP="00C32356">
            <w:pPr>
              <w:spacing w:before="120" w:after="120"/>
              <w:jc w:val="center"/>
              <w:rPr>
                <w:rFonts w:eastAsia="Times New Roman" w:cs="Arial"/>
                <w:sz w:val="20"/>
                <w:szCs w:val="20"/>
              </w:rPr>
            </w:pPr>
            <w:r w:rsidRPr="00955B8E">
              <w:rPr>
                <w:rFonts w:eastAsia="Times New Roman" w:cs="Arial"/>
                <w:noProof/>
                <w:sz w:val="20"/>
                <w:szCs w:val="20"/>
                <w:lang w:val="en-US"/>
              </w:rPr>
              <w:drawing>
                <wp:inline distT="0" distB="0" distL="0" distR="0">
                  <wp:extent cx="6477000" cy="259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tc>
      </w:tr>
    </w:tbl>
    <w:p w:rsidR="00066E6C" w:rsidRPr="004433B1" w:rsidRDefault="00066E6C" w:rsidP="00BA2E8C">
      <w:pPr>
        <w:spacing w:before="240" w:after="120" w:line="300" w:lineRule="auto"/>
        <w:ind w:firstLine="403"/>
        <w:rPr>
          <w:rFonts w:ascii="Arial" w:hAnsi="Arial" w:cs="Arial"/>
          <w:sz w:val="20"/>
          <w:szCs w:val="20"/>
        </w:rPr>
      </w:pPr>
      <w:r w:rsidRPr="004433B1">
        <w:rPr>
          <w:rFonts w:ascii="Arial" w:hAnsi="Arial" w:cs="Arial"/>
          <w:b/>
          <w:bCs/>
          <w:sz w:val="20"/>
          <w:szCs w:val="20"/>
        </w:rPr>
        <w:t>Informal employment rate excluding agriculture</w:t>
      </w:r>
      <w:r w:rsidR="00EA6A2C" w:rsidRPr="004433B1">
        <w:rPr>
          <w:rFonts w:ascii="Arial" w:hAnsi="Arial" w:cs="Arial"/>
          <w:b/>
          <w:bCs/>
          <w:sz w:val="20"/>
          <w:szCs w:val="20"/>
          <w:vertAlign w:val="superscript"/>
        </w:rPr>
        <w:t>*</w:t>
      </w:r>
      <w:r w:rsidRPr="004433B1">
        <w:rPr>
          <w:rFonts w:ascii="Arial" w:hAnsi="Arial" w:cs="Arial"/>
          <w:b/>
          <w:bCs/>
          <w:sz w:val="20"/>
          <w:szCs w:val="20"/>
        </w:rPr>
        <w:t xml:space="preserve"> </w:t>
      </w:r>
      <w:r w:rsidRPr="004433B1">
        <w:rPr>
          <w:rFonts w:ascii="Arial" w:hAnsi="Arial" w:cs="Arial"/>
          <w:sz w:val="20"/>
          <w:szCs w:val="20"/>
        </w:rPr>
        <w:t xml:space="preserve">presents the </w:t>
      </w:r>
      <w:r w:rsidR="00961A10" w:rsidRPr="004433B1">
        <w:rPr>
          <w:rFonts w:ascii="Arial" w:hAnsi="Arial" w:cs="Arial"/>
          <w:sz w:val="20"/>
          <w:szCs w:val="20"/>
        </w:rPr>
        <w:t xml:space="preserve">percentage </w:t>
      </w:r>
      <w:r w:rsidRPr="004433B1">
        <w:rPr>
          <w:rFonts w:ascii="Arial" w:hAnsi="Arial" w:cs="Arial"/>
          <w:sz w:val="20"/>
          <w:szCs w:val="20"/>
        </w:rPr>
        <w:t>share of informally employed whose activity is non-agricultural in total non-agricultural employment.</w:t>
      </w:r>
    </w:p>
    <w:p w:rsidR="00066E6C"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Regarding the </w:t>
      </w:r>
      <w:r w:rsidRPr="004433B1">
        <w:rPr>
          <w:rFonts w:ascii="Arial" w:hAnsi="Arial" w:cs="Arial"/>
          <w:b/>
          <w:sz w:val="20"/>
          <w:szCs w:val="20"/>
        </w:rPr>
        <w:t>section division of employment</w:t>
      </w:r>
      <w:r w:rsidRPr="004433B1">
        <w:rPr>
          <w:rFonts w:ascii="Arial" w:hAnsi="Arial" w:cs="Arial"/>
          <w:sz w:val="20"/>
          <w:szCs w:val="20"/>
        </w:rPr>
        <w:t>, the prevailing are service activities</w:t>
      </w:r>
      <w:r w:rsidR="004A53CC" w:rsidRPr="004433B1">
        <w:rPr>
          <w:rFonts w:ascii="Arial" w:hAnsi="Arial" w:cs="Arial"/>
          <w:sz w:val="20"/>
          <w:szCs w:val="20"/>
        </w:rPr>
        <w:t xml:space="preserve"> (5</w:t>
      </w:r>
      <w:r w:rsidR="0083404B" w:rsidRPr="004433B1">
        <w:rPr>
          <w:rFonts w:ascii="Arial" w:hAnsi="Arial" w:cs="Arial"/>
          <w:sz w:val="20"/>
          <w:szCs w:val="20"/>
        </w:rPr>
        <w:t>7</w:t>
      </w:r>
      <w:r w:rsidR="004A53CC" w:rsidRPr="004433B1">
        <w:rPr>
          <w:rFonts w:ascii="Arial" w:hAnsi="Arial" w:cs="Arial"/>
          <w:sz w:val="20"/>
          <w:szCs w:val="20"/>
        </w:rPr>
        <w:t>.</w:t>
      </w:r>
      <w:r w:rsidR="0083404B" w:rsidRPr="004433B1">
        <w:rPr>
          <w:rFonts w:ascii="Arial" w:hAnsi="Arial" w:cs="Arial"/>
          <w:sz w:val="20"/>
          <w:szCs w:val="20"/>
        </w:rPr>
        <w:t>1</w:t>
      </w:r>
      <w:r w:rsidR="00D361A4" w:rsidRPr="004433B1">
        <w:rPr>
          <w:rFonts w:ascii="Arial" w:hAnsi="Arial" w:cs="Arial"/>
          <w:sz w:val="20"/>
          <w:szCs w:val="20"/>
        </w:rPr>
        <w:t>%)</w:t>
      </w:r>
      <w:r w:rsidRPr="004433B1">
        <w:rPr>
          <w:rFonts w:ascii="Arial" w:hAnsi="Arial" w:cs="Arial"/>
          <w:sz w:val="20"/>
          <w:szCs w:val="20"/>
        </w:rPr>
        <w:t xml:space="preserve">, </w:t>
      </w:r>
      <w:r w:rsidR="00C36A46" w:rsidRPr="004433B1">
        <w:rPr>
          <w:rFonts w:ascii="Arial" w:hAnsi="Arial" w:cs="Arial"/>
          <w:sz w:val="20"/>
          <w:szCs w:val="20"/>
        </w:rPr>
        <w:t>followed by</w:t>
      </w:r>
      <w:r w:rsidRPr="004433B1">
        <w:rPr>
          <w:rFonts w:ascii="Arial" w:hAnsi="Arial" w:cs="Arial"/>
          <w:sz w:val="20"/>
          <w:szCs w:val="20"/>
        </w:rPr>
        <w:t xml:space="preserve"> industry</w:t>
      </w:r>
      <w:r w:rsidR="00C36A46" w:rsidRPr="004433B1">
        <w:rPr>
          <w:rFonts w:ascii="Arial" w:hAnsi="Arial" w:cs="Arial"/>
          <w:sz w:val="20"/>
          <w:szCs w:val="20"/>
        </w:rPr>
        <w:t>, with the share of</w:t>
      </w:r>
      <w:r w:rsidRPr="004433B1">
        <w:rPr>
          <w:rFonts w:ascii="Arial" w:hAnsi="Arial" w:cs="Arial"/>
          <w:sz w:val="20"/>
          <w:szCs w:val="20"/>
        </w:rPr>
        <w:t xml:space="preserve"> </w:t>
      </w:r>
      <w:r w:rsidR="00C36A46" w:rsidRPr="004433B1">
        <w:rPr>
          <w:rFonts w:ascii="Arial" w:hAnsi="Arial" w:cs="Arial"/>
          <w:sz w:val="20"/>
          <w:szCs w:val="20"/>
        </w:rPr>
        <w:t>2</w:t>
      </w:r>
      <w:r w:rsidR="0083404B" w:rsidRPr="004433B1">
        <w:rPr>
          <w:rFonts w:ascii="Arial" w:hAnsi="Arial" w:cs="Arial"/>
          <w:sz w:val="20"/>
          <w:szCs w:val="20"/>
        </w:rPr>
        <w:t>2</w:t>
      </w:r>
      <w:r w:rsidR="005E2E52" w:rsidRPr="004433B1">
        <w:rPr>
          <w:rFonts w:ascii="Arial" w:hAnsi="Arial" w:cs="Arial"/>
          <w:sz w:val="20"/>
          <w:szCs w:val="20"/>
        </w:rPr>
        <w:t>.</w:t>
      </w:r>
      <w:r w:rsidR="0083404B" w:rsidRPr="004433B1">
        <w:rPr>
          <w:rFonts w:ascii="Arial" w:hAnsi="Arial" w:cs="Arial"/>
          <w:sz w:val="20"/>
          <w:szCs w:val="20"/>
        </w:rPr>
        <w:t>4</w:t>
      </w:r>
      <w:r w:rsidR="00C36A46" w:rsidRPr="004433B1">
        <w:rPr>
          <w:rFonts w:ascii="Arial" w:hAnsi="Arial" w:cs="Arial"/>
          <w:sz w:val="20"/>
          <w:szCs w:val="20"/>
        </w:rPr>
        <w:t xml:space="preserve">% </w:t>
      </w:r>
      <w:r w:rsidRPr="004433B1">
        <w:rPr>
          <w:rFonts w:ascii="Arial" w:hAnsi="Arial" w:cs="Arial"/>
          <w:sz w:val="20"/>
          <w:szCs w:val="20"/>
        </w:rPr>
        <w:t xml:space="preserve">in total employment (Graph </w:t>
      </w:r>
      <w:r w:rsidR="00D361A4" w:rsidRPr="004433B1">
        <w:rPr>
          <w:rFonts w:ascii="Arial" w:hAnsi="Arial" w:cs="Arial"/>
          <w:sz w:val="20"/>
          <w:szCs w:val="20"/>
        </w:rPr>
        <w:t>4</w:t>
      </w:r>
      <w:r w:rsidRPr="004433B1">
        <w:rPr>
          <w:rFonts w:ascii="Arial" w:hAnsi="Arial" w:cs="Arial"/>
          <w:sz w:val="20"/>
          <w:szCs w:val="20"/>
        </w:rPr>
        <w:t>).</w:t>
      </w:r>
    </w:p>
    <w:p w:rsidR="00CF366C" w:rsidRPr="004433B1" w:rsidRDefault="00E95406" w:rsidP="00137779">
      <w:pPr>
        <w:spacing w:before="480" w:after="120" w:line="252" w:lineRule="auto"/>
        <w:jc w:val="center"/>
        <w:rPr>
          <w:rFonts w:ascii="Arial" w:hAnsi="Arial" w:cs="Arial"/>
          <w:b/>
          <w:sz w:val="20"/>
          <w:szCs w:val="20"/>
          <w:lang w:eastAsia="sr-Latn-RS"/>
        </w:rPr>
      </w:pPr>
      <w:r w:rsidRPr="004433B1">
        <w:rPr>
          <w:rFonts w:ascii="Arial" w:hAnsi="Arial" w:cs="Arial"/>
          <w:b/>
          <w:bCs/>
          <w:sz w:val="20"/>
          <w:szCs w:val="20"/>
        </w:rPr>
        <w:t xml:space="preserve">Graph </w:t>
      </w:r>
      <w:r w:rsidR="00D361A4" w:rsidRPr="004433B1">
        <w:rPr>
          <w:rFonts w:ascii="Arial" w:hAnsi="Arial" w:cs="Arial"/>
          <w:b/>
          <w:bCs/>
          <w:sz w:val="20"/>
          <w:szCs w:val="20"/>
        </w:rPr>
        <w:t>4</w:t>
      </w:r>
      <w:r w:rsidRPr="004433B1">
        <w:rPr>
          <w:rFonts w:ascii="Arial" w:hAnsi="Arial" w:cs="Arial"/>
          <w:b/>
          <w:bCs/>
          <w:sz w:val="20"/>
          <w:szCs w:val="20"/>
        </w:rPr>
        <w:t xml:space="preserve"> </w:t>
      </w:r>
      <w:r w:rsidRPr="004433B1">
        <w:rPr>
          <w:rFonts w:ascii="Arial" w:hAnsi="Arial" w:cs="Arial"/>
          <w:sz w:val="20"/>
          <w:szCs w:val="20"/>
        </w:rPr>
        <w:t>Structure of employed by section of activity, 15+, Q</w:t>
      </w:r>
      <w:r w:rsidR="0083404B" w:rsidRPr="004433B1">
        <w:rPr>
          <w:rFonts w:ascii="Arial" w:hAnsi="Arial" w:cs="Arial"/>
          <w:sz w:val="20"/>
          <w:szCs w:val="20"/>
        </w:rPr>
        <w:t>4</w:t>
      </w:r>
      <w:r w:rsidRPr="004433B1">
        <w:rPr>
          <w:rFonts w:ascii="Arial" w:hAnsi="Arial" w:cs="Arial"/>
          <w:sz w:val="20"/>
          <w:szCs w:val="20"/>
        </w:rPr>
        <w:t xml:space="preserve"> 201</w:t>
      </w:r>
      <w:r w:rsidR="00C36A46" w:rsidRPr="004433B1">
        <w:rPr>
          <w:rFonts w:ascii="Arial" w:hAnsi="Arial" w:cs="Arial"/>
          <w:sz w:val="20"/>
          <w:szCs w:val="20"/>
        </w:rPr>
        <w:t>7</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85"/>
        <w:gridCol w:w="5009"/>
      </w:tblGrid>
      <w:tr w:rsidR="00C32356" w:rsidRPr="004433B1" w:rsidTr="00C32356">
        <w:tc>
          <w:tcPr>
            <w:tcW w:w="5192" w:type="dxa"/>
            <w:shd w:val="clear" w:color="auto" w:fill="auto"/>
          </w:tcPr>
          <w:p w:rsidR="00CF366C" w:rsidRPr="004433B1" w:rsidRDefault="00955B8E" w:rsidP="00C32356">
            <w:pPr>
              <w:spacing w:before="120" w:after="120" w:line="252" w:lineRule="auto"/>
              <w:jc w:val="center"/>
              <w:rPr>
                <w:rFonts w:ascii="Arial" w:hAnsi="Arial" w:cs="Arial"/>
                <w:sz w:val="20"/>
                <w:szCs w:val="20"/>
                <w:lang w:eastAsia="sr-Latn-RS"/>
              </w:rPr>
            </w:pPr>
            <w:r w:rsidRPr="00955B8E">
              <w:rPr>
                <w:rFonts w:ascii="Arial" w:hAnsi="Arial" w:cs="Arial"/>
                <w:noProof/>
                <w:sz w:val="20"/>
                <w:szCs w:val="20"/>
                <w:lang w:val="en-US"/>
              </w:rPr>
              <w:drawing>
                <wp:inline distT="0" distB="0" distL="0" distR="0">
                  <wp:extent cx="2981325" cy="2152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152650"/>
                          </a:xfrm>
                          <a:prstGeom prst="rect">
                            <a:avLst/>
                          </a:prstGeom>
                          <a:noFill/>
                          <a:ln>
                            <a:noFill/>
                          </a:ln>
                        </pic:spPr>
                      </pic:pic>
                    </a:graphicData>
                  </a:graphic>
                </wp:inline>
              </w:drawing>
            </w:r>
          </w:p>
        </w:tc>
        <w:tc>
          <w:tcPr>
            <w:tcW w:w="5068" w:type="dxa"/>
            <w:shd w:val="clear" w:color="auto" w:fill="auto"/>
            <w:vAlign w:val="center"/>
          </w:tcPr>
          <w:p w:rsidR="00CF366C" w:rsidRPr="004433B1" w:rsidRDefault="00CF366C" w:rsidP="00C32356">
            <w:pPr>
              <w:pStyle w:val="ListParagraph"/>
              <w:spacing w:before="120" w:after="120" w:line="252" w:lineRule="auto"/>
              <w:ind w:left="170" w:right="170"/>
              <w:jc w:val="both"/>
              <w:rPr>
                <w:rFonts w:ascii="Arial" w:hAnsi="Arial" w:cs="Arial"/>
                <w:sz w:val="16"/>
                <w:szCs w:val="16"/>
                <w:lang w:val="en-GB"/>
              </w:rPr>
            </w:pPr>
            <w:r w:rsidRPr="004433B1">
              <w:rPr>
                <w:rFonts w:ascii="Arial" w:hAnsi="Arial" w:cs="Arial"/>
                <w:b/>
                <w:bCs/>
                <w:i/>
                <w:iCs/>
                <w:sz w:val="16"/>
                <w:szCs w:val="16"/>
                <w:lang w:val="en-GB"/>
              </w:rPr>
              <w:t>Section of Agriculture</w:t>
            </w:r>
            <w:r w:rsidRPr="004433B1">
              <w:rPr>
                <w:rFonts w:ascii="Arial" w:hAnsi="Arial" w:cs="Arial"/>
                <w:sz w:val="16"/>
                <w:szCs w:val="16"/>
                <w:lang w:val="en-GB"/>
              </w:rPr>
              <w:t xml:space="preserve"> covers agriculture, forestry and fishing.</w:t>
            </w:r>
            <w:r w:rsidRPr="004433B1">
              <w:rPr>
                <w:rFonts w:ascii="Arial" w:hAnsi="Arial" w:cs="Arial"/>
                <w:b/>
                <w:bCs/>
                <w:i/>
                <w:iCs/>
                <w:sz w:val="16"/>
                <w:szCs w:val="16"/>
                <w:lang w:val="en-GB"/>
              </w:rPr>
              <w:t xml:space="preserve"> </w:t>
            </w:r>
          </w:p>
          <w:p w:rsidR="00CF366C" w:rsidRPr="004433B1" w:rsidRDefault="00CF366C" w:rsidP="00C32356">
            <w:pPr>
              <w:spacing w:line="216" w:lineRule="auto"/>
              <w:ind w:left="170" w:right="170"/>
              <w:rPr>
                <w:sz w:val="14"/>
                <w:szCs w:val="14"/>
              </w:rPr>
            </w:pPr>
            <w:r w:rsidRPr="004433B1">
              <w:rPr>
                <w:rFonts w:ascii="Arial" w:hAnsi="Arial" w:cs="Arial"/>
                <w:b/>
                <w:bCs/>
                <w:i/>
                <w:iCs/>
                <w:sz w:val="16"/>
                <w:szCs w:val="16"/>
              </w:rPr>
              <w:t xml:space="preserve">Section of Industry </w:t>
            </w:r>
            <w:r w:rsidRPr="004433B1">
              <w:rPr>
                <w:rFonts w:ascii="Arial" w:hAnsi="Arial" w:cs="Arial"/>
                <w:sz w:val="16"/>
                <w:szCs w:val="16"/>
              </w:rPr>
              <w:t>covers mining and quarrying, manufacturing, electricity, gas, steam and air-conditioning supply, water supply; sewerage, waste management and remediation activities.</w:t>
            </w:r>
          </w:p>
          <w:p w:rsidR="00CF366C" w:rsidRPr="004433B1" w:rsidRDefault="00CF366C" w:rsidP="00C32356">
            <w:pPr>
              <w:pStyle w:val="ListParagraph"/>
              <w:spacing w:before="120" w:after="120" w:line="252" w:lineRule="auto"/>
              <w:ind w:left="170" w:right="170"/>
              <w:jc w:val="both"/>
              <w:rPr>
                <w:rFonts w:ascii="Arial" w:hAnsi="Arial" w:cs="Arial"/>
                <w:sz w:val="16"/>
                <w:szCs w:val="16"/>
                <w:lang w:val="en-GB"/>
              </w:rPr>
            </w:pPr>
            <w:r w:rsidRPr="004433B1">
              <w:rPr>
                <w:rFonts w:ascii="Arial" w:hAnsi="Arial" w:cs="Arial"/>
                <w:b/>
                <w:bCs/>
                <w:i/>
                <w:iCs/>
                <w:sz w:val="16"/>
                <w:szCs w:val="16"/>
                <w:lang w:val="en-GB"/>
              </w:rPr>
              <w:t xml:space="preserve">Section of Construction </w:t>
            </w:r>
            <w:r w:rsidRPr="004433B1">
              <w:rPr>
                <w:rFonts w:ascii="Arial" w:hAnsi="Arial" w:cs="Arial"/>
                <w:sz w:val="16"/>
                <w:szCs w:val="16"/>
                <w:lang w:val="en-GB"/>
              </w:rPr>
              <w:t>covers construction.</w:t>
            </w:r>
          </w:p>
          <w:p w:rsidR="00CF366C" w:rsidRPr="004433B1" w:rsidRDefault="00CF366C" w:rsidP="003721C7">
            <w:pPr>
              <w:spacing w:before="120" w:after="120" w:line="252" w:lineRule="auto"/>
              <w:ind w:left="170" w:right="170"/>
              <w:jc w:val="both"/>
              <w:rPr>
                <w:rFonts w:ascii="Arial" w:hAnsi="Arial" w:cs="Arial"/>
                <w:sz w:val="20"/>
                <w:szCs w:val="20"/>
                <w:lang w:eastAsia="sr-Latn-RS"/>
              </w:rPr>
            </w:pPr>
            <w:r w:rsidRPr="004433B1">
              <w:rPr>
                <w:rFonts w:ascii="Arial" w:hAnsi="Arial" w:cs="Arial"/>
                <w:b/>
                <w:bCs/>
                <w:i/>
                <w:iCs/>
                <w:sz w:val="16"/>
                <w:szCs w:val="16"/>
              </w:rPr>
              <w:t xml:space="preserve">Section of Services </w:t>
            </w:r>
            <w:r w:rsidRPr="004433B1">
              <w:rPr>
                <w:rFonts w:ascii="Arial" w:hAnsi="Arial" w:cs="Arial"/>
                <w:sz w:val="16"/>
                <w:szCs w:val="16"/>
              </w:rPr>
              <w:t xml:space="preserve">covers wholesale and retail trade, transport and storage, </w:t>
            </w:r>
            <w:r w:rsidR="003721C7" w:rsidRPr="004433B1">
              <w:rPr>
                <w:rFonts w:ascii="Arial" w:hAnsi="Arial" w:cs="Arial"/>
                <w:sz w:val="16"/>
                <w:szCs w:val="16"/>
              </w:rPr>
              <w:t>accommodation</w:t>
            </w:r>
            <w:r w:rsidRPr="004433B1">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
        </w:tc>
      </w:tr>
    </w:tbl>
    <w:p w:rsidR="00CF366C" w:rsidRPr="004433B1" w:rsidRDefault="00CF366C" w:rsidP="00CF366C">
      <w:pPr>
        <w:spacing w:before="120" w:after="120" w:line="252" w:lineRule="auto"/>
        <w:jc w:val="center"/>
        <w:rPr>
          <w:rFonts w:ascii="Arial" w:hAnsi="Arial" w:cs="Arial"/>
          <w:sz w:val="20"/>
          <w:szCs w:val="20"/>
          <w:lang w:eastAsia="sr-Latn-RS"/>
        </w:rPr>
      </w:pPr>
    </w:p>
    <w:p w:rsidR="00066E6C" w:rsidRPr="004433B1" w:rsidRDefault="00A022F9"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Relative to the previous quarter, e</w:t>
      </w:r>
      <w:r w:rsidR="00066E6C" w:rsidRPr="004433B1">
        <w:rPr>
          <w:rFonts w:ascii="Arial" w:hAnsi="Arial" w:cs="Arial"/>
          <w:sz w:val="20"/>
          <w:szCs w:val="20"/>
        </w:rPr>
        <w:t>mploy</w:t>
      </w:r>
      <w:r w:rsidR="00D361A4" w:rsidRPr="004433B1">
        <w:rPr>
          <w:rFonts w:ascii="Arial" w:hAnsi="Arial" w:cs="Arial"/>
          <w:sz w:val="20"/>
          <w:szCs w:val="20"/>
        </w:rPr>
        <w:t>ment rate</w:t>
      </w:r>
      <w:r w:rsidR="00066E6C" w:rsidRPr="004433B1">
        <w:rPr>
          <w:rFonts w:ascii="Arial" w:hAnsi="Arial" w:cs="Arial"/>
          <w:sz w:val="20"/>
          <w:szCs w:val="20"/>
        </w:rPr>
        <w:t xml:space="preserve"> </w:t>
      </w:r>
      <w:r w:rsidRPr="004433B1">
        <w:rPr>
          <w:rFonts w:ascii="Arial" w:hAnsi="Arial" w:cs="Arial"/>
          <w:sz w:val="20"/>
          <w:szCs w:val="20"/>
        </w:rPr>
        <w:t>wa</w:t>
      </w:r>
      <w:r w:rsidR="00066E6C" w:rsidRPr="004433B1">
        <w:rPr>
          <w:rFonts w:ascii="Arial" w:hAnsi="Arial" w:cs="Arial"/>
          <w:sz w:val="20"/>
          <w:szCs w:val="20"/>
        </w:rPr>
        <w:t xml:space="preserve">s </w:t>
      </w:r>
      <w:r w:rsidR="00930E75" w:rsidRPr="004433B1">
        <w:rPr>
          <w:rFonts w:ascii="Arial" w:hAnsi="Arial" w:cs="Arial"/>
          <w:sz w:val="20"/>
          <w:szCs w:val="20"/>
        </w:rPr>
        <w:t>de</w:t>
      </w:r>
      <w:r w:rsidRPr="004433B1">
        <w:rPr>
          <w:rFonts w:ascii="Arial" w:hAnsi="Arial" w:cs="Arial"/>
          <w:sz w:val="20"/>
          <w:szCs w:val="20"/>
        </w:rPr>
        <w:t xml:space="preserve">creased in </w:t>
      </w:r>
      <w:r w:rsidR="00930E75" w:rsidRPr="004433B1">
        <w:rPr>
          <w:rFonts w:ascii="Arial" w:hAnsi="Arial" w:cs="Arial"/>
          <w:sz w:val="20"/>
          <w:szCs w:val="20"/>
        </w:rPr>
        <w:t xml:space="preserve">all regions and the most significant decrease was noted in Region </w:t>
      </w:r>
      <w:r w:rsidR="00066E6C" w:rsidRPr="004433B1">
        <w:rPr>
          <w:rFonts w:ascii="Arial" w:hAnsi="Arial" w:cs="Arial"/>
          <w:sz w:val="20"/>
          <w:szCs w:val="20"/>
        </w:rPr>
        <w:t>Južne i Istočne Srbije (</w:t>
      </w:r>
      <w:r w:rsidR="00930E75" w:rsidRPr="004433B1">
        <w:rPr>
          <w:rFonts w:ascii="Arial" w:hAnsi="Arial" w:cs="Arial"/>
          <w:sz w:val="20"/>
          <w:szCs w:val="20"/>
        </w:rPr>
        <w:t>2</w:t>
      </w:r>
      <w:r w:rsidRPr="004433B1">
        <w:rPr>
          <w:rFonts w:ascii="Arial" w:hAnsi="Arial" w:cs="Arial"/>
          <w:sz w:val="20"/>
          <w:szCs w:val="20"/>
        </w:rPr>
        <w:t>.</w:t>
      </w:r>
      <w:r w:rsidR="00930E75" w:rsidRPr="004433B1">
        <w:rPr>
          <w:rFonts w:ascii="Arial" w:hAnsi="Arial" w:cs="Arial"/>
          <w:sz w:val="20"/>
          <w:szCs w:val="20"/>
        </w:rPr>
        <w:t>8</w:t>
      </w:r>
      <w:r w:rsidRPr="004433B1">
        <w:rPr>
          <w:rFonts w:ascii="Arial" w:hAnsi="Arial" w:cs="Arial"/>
          <w:sz w:val="20"/>
          <w:szCs w:val="20"/>
        </w:rPr>
        <w:t xml:space="preserve"> p.p.</w:t>
      </w:r>
      <w:r w:rsidR="00D361A4" w:rsidRPr="004433B1">
        <w:rPr>
          <w:rFonts w:ascii="Arial" w:hAnsi="Arial" w:cs="Arial"/>
          <w:sz w:val="20"/>
          <w:szCs w:val="20"/>
        </w:rPr>
        <w:t>).</w:t>
      </w:r>
    </w:p>
    <w:p w:rsidR="006F6C4A" w:rsidRPr="004433B1" w:rsidRDefault="00C36A46" w:rsidP="00E22E2E">
      <w:pPr>
        <w:spacing w:before="120" w:after="0" w:line="300" w:lineRule="auto"/>
        <w:ind w:firstLine="403"/>
        <w:jc w:val="both"/>
        <w:rPr>
          <w:rFonts w:ascii="Arial" w:hAnsi="Arial" w:cs="Arial"/>
          <w:sz w:val="20"/>
          <w:szCs w:val="20"/>
        </w:rPr>
      </w:pPr>
      <w:r w:rsidRPr="004433B1">
        <w:rPr>
          <w:rFonts w:ascii="Arial" w:hAnsi="Arial" w:cs="Arial"/>
          <w:sz w:val="20"/>
          <w:szCs w:val="20"/>
        </w:rPr>
        <w:t>C</w:t>
      </w:r>
      <w:r w:rsidR="004A53CC" w:rsidRPr="004433B1">
        <w:rPr>
          <w:rFonts w:ascii="Arial" w:hAnsi="Arial" w:cs="Arial"/>
          <w:sz w:val="20"/>
          <w:szCs w:val="20"/>
        </w:rPr>
        <w:t>ompared with the same quarter 201</w:t>
      </w:r>
      <w:r w:rsidRPr="004433B1">
        <w:rPr>
          <w:rFonts w:ascii="Arial" w:hAnsi="Arial" w:cs="Arial"/>
          <w:sz w:val="20"/>
          <w:szCs w:val="20"/>
        </w:rPr>
        <w:t>6</w:t>
      </w:r>
      <w:r w:rsidR="004A53CC" w:rsidRPr="004433B1">
        <w:rPr>
          <w:rFonts w:ascii="Arial" w:hAnsi="Arial" w:cs="Arial"/>
          <w:sz w:val="20"/>
          <w:szCs w:val="20"/>
        </w:rPr>
        <w:t>, increased was the employment rate in all regions</w:t>
      </w:r>
      <w:r w:rsidR="00930E75" w:rsidRPr="004433B1">
        <w:rPr>
          <w:rFonts w:ascii="Arial" w:hAnsi="Arial" w:cs="Arial"/>
          <w:sz w:val="20"/>
          <w:szCs w:val="20"/>
        </w:rPr>
        <w:t xml:space="preserve"> except in Region Južne i Istočne Srbije, </w:t>
      </w:r>
      <w:r w:rsidR="00E951F0" w:rsidRPr="004433B1">
        <w:rPr>
          <w:rFonts w:ascii="Arial" w:hAnsi="Arial" w:cs="Arial"/>
          <w:sz w:val="20"/>
          <w:szCs w:val="20"/>
        </w:rPr>
        <w:t>where</w:t>
      </w:r>
      <w:r w:rsidR="00930E75" w:rsidRPr="004433B1">
        <w:rPr>
          <w:rFonts w:ascii="Arial" w:hAnsi="Arial" w:cs="Arial"/>
          <w:sz w:val="20"/>
          <w:szCs w:val="20"/>
        </w:rPr>
        <w:t xml:space="preserve"> the fall of 0.5 p.p. was recorded. The greatest increase of employment rate was recorded </w:t>
      </w:r>
      <w:r w:rsidR="009269A4" w:rsidRPr="004433B1">
        <w:rPr>
          <w:rFonts w:ascii="Arial" w:hAnsi="Arial" w:cs="Arial"/>
          <w:sz w:val="20"/>
          <w:szCs w:val="20"/>
        </w:rPr>
        <w:t>in Beogradski Region (1.9 p.p.)</w:t>
      </w:r>
      <w:r w:rsidR="00930E75" w:rsidRPr="004433B1">
        <w:rPr>
          <w:rFonts w:ascii="Arial" w:hAnsi="Arial" w:cs="Arial"/>
          <w:sz w:val="20"/>
          <w:szCs w:val="20"/>
        </w:rPr>
        <w:t xml:space="preserve"> </w:t>
      </w:r>
      <w:r w:rsidR="00066E6C" w:rsidRPr="004433B1">
        <w:rPr>
          <w:rFonts w:ascii="Arial" w:hAnsi="Arial" w:cs="Arial"/>
          <w:sz w:val="20"/>
          <w:szCs w:val="20"/>
        </w:rPr>
        <w:t xml:space="preserve">(Graph </w:t>
      </w:r>
      <w:r w:rsidR="0012662D" w:rsidRPr="004433B1">
        <w:rPr>
          <w:rFonts w:ascii="Arial" w:hAnsi="Arial" w:cs="Arial"/>
          <w:sz w:val="20"/>
          <w:szCs w:val="20"/>
        </w:rPr>
        <w:t>5</w:t>
      </w:r>
      <w:r w:rsidR="00066E6C" w:rsidRPr="004433B1">
        <w:rPr>
          <w:rFonts w:ascii="Arial" w:hAnsi="Arial" w:cs="Arial"/>
          <w:sz w:val="20"/>
          <w:szCs w:val="20"/>
        </w:rPr>
        <w:t>).</w:t>
      </w:r>
      <w:r w:rsidR="00D361A4" w:rsidRPr="004433B1">
        <w:rPr>
          <w:rFonts w:ascii="Arial" w:hAnsi="Arial" w:cs="Arial"/>
          <w:sz w:val="20"/>
          <w:szCs w:val="20"/>
        </w:rPr>
        <w:t xml:space="preserve"> </w:t>
      </w:r>
    </w:p>
    <w:p w:rsidR="00BA2E8C" w:rsidRPr="004433B1" w:rsidRDefault="00BA2E8C" w:rsidP="00BA2E8C">
      <w:pPr>
        <w:spacing w:before="120" w:after="0" w:line="300" w:lineRule="auto"/>
        <w:ind w:left="72" w:hanging="72"/>
        <w:jc w:val="both"/>
        <w:rPr>
          <w:rFonts w:ascii="Arial" w:eastAsia="Times New Roman" w:hAnsi="Arial" w:cs="Arial"/>
          <w:sz w:val="16"/>
          <w:szCs w:val="16"/>
        </w:rPr>
      </w:pPr>
    </w:p>
    <w:p w:rsidR="002F20C3" w:rsidRDefault="002F20C3" w:rsidP="00BA2E8C">
      <w:pPr>
        <w:spacing w:after="120" w:line="300" w:lineRule="auto"/>
        <w:ind w:left="72" w:hanging="72"/>
        <w:jc w:val="both"/>
        <w:rPr>
          <w:rFonts w:ascii="Arial" w:eastAsia="Times New Roman" w:hAnsi="Arial" w:cs="Arial"/>
          <w:sz w:val="16"/>
          <w:szCs w:val="16"/>
        </w:rPr>
      </w:pPr>
      <w:r w:rsidRPr="004433B1">
        <w:rPr>
          <w:rFonts w:ascii="Arial" w:hAnsi="Arial" w:cs="Arial"/>
          <w:noProof/>
          <w:sz w:val="14"/>
          <w:szCs w:val="14"/>
          <w:vertAlign w:val="superscript"/>
          <w:lang w:val="en-US"/>
        </w:rPr>
        <mc:AlternateContent>
          <mc:Choice Requires="wps">
            <w:drawing>
              <wp:anchor distT="0" distB="0" distL="114300" distR="114300" simplePos="0" relativeHeight="251659264" behindDoc="0" locked="0" layoutInCell="1" allowOverlap="1" wp14:anchorId="5A237CD5" wp14:editId="1E78DEB5">
                <wp:simplePos x="0" y="0"/>
                <wp:positionH relativeFrom="margin">
                  <wp:posOffset>0</wp:posOffset>
                </wp:positionH>
                <wp:positionV relativeFrom="paragraph">
                  <wp:posOffset>109220</wp:posOffset>
                </wp:positionV>
                <wp:extent cx="18516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18516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A8FF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6pt" to="1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" strokecolor="black [3213]" strokeweight=".25pt">
                <w10:wrap anchorx="margin"/>
              </v:line>
            </w:pict>
          </mc:Fallback>
        </mc:AlternateContent>
      </w:r>
    </w:p>
    <w:p w:rsidR="00BA2E8C" w:rsidRPr="004433B1" w:rsidRDefault="00BA2E8C" w:rsidP="00BA2E8C">
      <w:pPr>
        <w:spacing w:after="120" w:line="300" w:lineRule="auto"/>
        <w:ind w:left="72" w:hanging="72"/>
        <w:jc w:val="both"/>
        <w:rPr>
          <w:rFonts w:ascii="Arial" w:eastAsia="Times New Roman" w:hAnsi="Arial" w:cs="Arial"/>
          <w:sz w:val="16"/>
          <w:szCs w:val="16"/>
        </w:rPr>
      </w:pPr>
      <w:r w:rsidRPr="004433B1">
        <w:rPr>
          <w:rFonts w:ascii="Arial" w:eastAsia="Times New Roman" w:hAnsi="Arial" w:cs="Arial"/>
          <w:sz w:val="16"/>
          <w:szCs w:val="16"/>
        </w:rPr>
        <w:t>*Employment in agriculture comprises the whole section of Agriculture, Forestry and Fishery, as well as a part of the section Activities of households as employers referring to agriculture.</w:t>
      </w:r>
    </w:p>
    <w:p w:rsidR="00CF366C" w:rsidRPr="004433B1" w:rsidRDefault="00CF366C" w:rsidP="00F273CB">
      <w:pPr>
        <w:spacing w:before="360" w:after="120"/>
        <w:jc w:val="center"/>
        <w:rPr>
          <w:rFonts w:ascii="Arial" w:hAnsi="Arial" w:cs="Arial"/>
          <w:sz w:val="20"/>
          <w:szCs w:val="20"/>
        </w:rPr>
      </w:pPr>
      <w:r w:rsidRPr="004433B1">
        <w:rPr>
          <w:rFonts w:ascii="Arial" w:hAnsi="Arial" w:cs="Arial"/>
          <w:b/>
          <w:bCs/>
          <w:sz w:val="20"/>
          <w:szCs w:val="20"/>
        </w:rPr>
        <w:lastRenderedPageBreak/>
        <w:t xml:space="preserve">Graph </w:t>
      </w:r>
      <w:r w:rsidR="0012662D" w:rsidRPr="004433B1">
        <w:rPr>
          <w:rFonts w:ascii="Arial" w:hAnsi="Arial" w:cs="Arial"/>
          <w:b/>
          <w:bCs/>
          <w:sz w:val="20"/>
          <w:szCs w:val="20"/>
        </w:rPr>
        <w:t>5</w:t>
      </w:r>
      <w:r w:rsidRPr="004433B1">
        <w:rPr>
          <w:rFonts w:ascii="Arial" w:hAnsi="Arial" w:cs="Arial"/>
          <w:sz w:val="20"/>
          <w:szCs w:val="20"/>
        </w:rPr>
        <w:t xml:space="preserve"> Changes in employment rates (in percentage points), 15+, </w:t>
      </w:r>
      <w:r w:rsidR="0012662D" w:rsidRPr="004433B1">
        <w:rPr>
          <w:rFonts w:ascii="Arial" w:hAnsi="Arial" w:cs="Arial"/>
          <w:sz w:val="20"/>
          <w:szCs w:val="20"/>
        </w:rPr>
        <w:t xml:space="preserve">by regions, </w:t>
      </w:r>
      <w:r w:rsidRPr="004433B1">
        <w:rPr>
          <w:rFonts w:ascii="Arial" w:hAnsi="Arial" w:cs="Arial"/>
          <w:sz w:val="20"/>
          <w:szCs w:val="20"/>
        </w:rPr>
        <w:t>Q</w:t>
      </w:r>
      <w:r w:rsidR="00930E75" w:rsidRPr="004433B1">
        <w:rPr>
          <w:rFonts w:ascii="Arial" w:hAnsi="Arial" w:cs="Arial"/>
          <w:sz w:val="20"/>
          <w:szCs w:val="20"/>
        </w:rPr>
        <w:t>4</w:t>
      </w:r>
      <w:r w:rsidRPr="004433B1">
        <w:rPr>
          <w:rFonts w:ascii="Arial" w:hAnsi="Arial" w:cs="Arial"/>
          <w:sz w:val="20"/>
          <w:szCs w:val="20"/>
        </w:rPr>
        <w:t xml:space="preserve"> 201</w:t>
      </w:r>
      <w:r w:rsidR="004737F4" w:rsidRPr="004433B1">
        <w:rPr>
          <w:rFonts w:ascii="Arial" w:hAnsi="Arial" w:cs="Arial"/>
          <w:sz w:val="20"/>
          <w:szCs w:val="20"/>
        </w:rPr>
        <w:t>7</w:t>
      </w:r>
    </w:p>
    <w:p w:rsidR="00CF366C" w:rsidRPr="004433B1" w:rsidRDefault="00955B8E" w:rsidP="00F273CB">
      <w:pPr>
        <w:spacing w:before="120" w:after="0"/>
        <w:jc w:val="center"/>
        <w:rPr>
          <w:rFonts w:ascii="Arial" w:hAnsi="Arial" w:cs="Arial"/>
          <w:b/>
          <w:bCs/>
          <w:sz w:val="18"/>
          <w:szCs w:val="18"/>
        </w:rPr>
      </w:pPr>
      <w:r w:rsidRPr="00955B8E">
        <w:rPr>
          <w:rFonts w:ascii="Arial" w:hAnsi="Arial" w:cs="Arial"/>
          <w:b/>
          <w:bCs/>
          <w:noProof/>
          <w:sz w:val="18"/>
          <w:szCs w:val="18"/>
          <w:lang w:val="en-US"/>
        </w:rPr>
        <w:drawing>
          <wp:inline distT="0" distB="0" distL="0" distR="0">
            <wp:extent cx="5362575" cy="1943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943100"/>
                    </a:xfrm>
                    <a:prstGeom prst="rect">
                      <a:avLst/>
                    </a:prstGeom>
                    <a:noFill/>
                    <a:ln>
                      <a:noFill/>
                    </a:ln>
                  </pic:spPr>
                </pic:pic>
              </a:graphicData>
            </a:graphic>
          </wp:inline>
        </w:drawing>
      </w:r>
    </w:p>
    <w:p w:rsidR="00066E6C" w:rsidRPr="004433B1" w:rsidRDefault="00066E6C" w:rsidP="00BA2E8C">
      <w:pPr>
        <w:spacing w:before="480" w:after="360" w:line="300" w:lineRule="exact"/>
        <w:jc w:val="center"/>
        <w:rPr>
          <w:rFonts w:ascii="Arial" w:hAnsi="Arial" w:cs="Arial"/>
          <w:b/>
          <w:bCs/>
        </w:rPr>
      </w:pPr>
      <w:r w:rsidRPr="004433B1">
        <w:rPr>
          <w:rFonts w:ascii="Arial" w:hAnsi="Arial" w:cs="Arial"/>
          <w:b/>
          <w:bCs/>
        </w:rPr>
        <w:t>Unemployed population</w:t>
      </w:r>
    </w:p>
    <w:p w:rsidR="004737F4"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In the </w:t>
      </w:r>
      <w:r w:rsidR="00935CFA" w:rsidRPr="004433B1">
        <w:rPr>
          <w:rFonts w:ascii="Arial" w:hAnsi="Arial" w:cs="Arial"/>
          <w:sz w:val="20"/>
          <w:szCs w:val="20"/>
        </w:rPr>
        <w:t>fourth</w:t>
      </w:r>
      <w:r w:rsidRPr="004433B1">
        <w:rPr>
          <w:rFonts w:ascii="Arial" w:hAnsi="Arial" w:cs="Arial"/>
          <w:sz w:val="20"/>
          <w:szCs w:val="20"/>
        </w:rPr>
        <w:t xml:space="preserve"> quarter 201</w:t>
      </w:r>
      <w:r w:rsidR="004737F4" w:rsidRPr="004433B1">
        <w:rPr>
          <w:rFonts w:ascii="Arial" w:hAnsi="Arial" w:cs="Arial"/>
          <w:sz w:val="20"/>
          <w:szCs w:val="20"/>
        </w:rPr>
        <w:t>7</w:t>
      </w:r>
      <w:r w:rsidRPr="004433B1">
        <w:rPr>
          <w:rFonts w:ascii="Arial" w:hAnsi="Arial" w:cs="Arial"/>
          <w:sz w:val="20"/>
          <w:szCs w:val="20"/>
        </w:rPr>
        <w:t xml:space="preserve">, </w:t>
      </w:r>
      <w:r w:rsidRPr="004433B1">
        <w:rPr>
          <w:rFonts w:ascii="Arial" w:hAnsi="Arial" w:cs="Arial"/>
          <w:b/>
          <w:sz w:val="20"/>
          <w:szCs w:val="20"/>
        </w:rPr>
        <w:t>unemployment of persons</w:t>
      </w:r>
      <w:r w:rsidRPr="004433B1">
        <w:rPr>
          <w:rFonts w:ascii="Arial" w:hAnsi="Arial" w:cs="Arial"/>
          <w:sz w:val="20"/>
          <w:szCs w:val="20"/>
        </w:rPr>
        <w:t xml:space="preserve"> aged 15 and over was </w:t>
      </w:r>
      <w:r w:rsidR="00DC5CB2" w:rsidRPr="004433B1">
        <w:rPr>
          <w:rFonts w:ascii="Arial" w:hAnsi="Arial" w:cs="Arial"/>
          <w:sz w:val="20"/>
          <w:szCs w:val="20"/>
        </w:rPr>
        <w:t>4</w:t>
      </w:r>
      <w:r w:rsidR="00935CFA" w:rsidRPr="004433B1">
        <w:rPr>
          <w:rFonts w:ascii="Arial" w:hAnsi="Arial" w:cs="Arial"/>
          <w:sz w:val="20"/>
          <w:szCs w:val="20"/>
        </w:rPr>
        <w:t>75</w:t>
      </w:r>
      <w:r w:rsidR="00955B8E">
        <w:rPr>
          <w:rFonts w:ascii="Arial" w:hAnsi="Arial" w:cs="Arial"/>
          <w:sz w:val="20"/>
          <w:szCs w:val="20"/>
        </w:rPr>
        <w:t> </w:t>
      </w:r>
      <w:r w:rsidR="00935CFA" w:rsidRPr="004433B1">
        <w:rPr>
          <w:rFonts w:ascii="Arial" w:hAnsi="Arial" w:cs="Arial"/>
          <w:sz w:val="20"/>
          <w:szCs w:val="20"/>
        </w:rPr>
        <w:t>6</w:t>
      </w:r>
      <w:r w:rsidRPr="004433B1">
        <w:rPr>
          <w:rFonts w:ascii="Arial" w:hAnsi="Arial" w:cs="Arial"/>
          <w:sz w:val="20"/>
          <w:szCs w:val="20"/>
        </w:rPr>
        <w:t xml:space="preserve">00, which is by </w:t>
      </w:r>
      <w:r w:rsidR="00DC5CB2" w:rsidRPr="004433B1">
        <w:rPr>
          <w:rFonts w:ascii="Arial" w:hAnsi="Arial" w:cs="Arial"/>
          <w:sz w:val="20"/>
          <w:szCs w:val="20"/>
        </w:rPr>
        <w:t>4</w:t>
      </w:r>
      <w:r w:rsidR="00935CFA" w:rsidRPr="004433B1">
        <w:rPr>
          <w:rFonts w:ascii="Arial" w:hAnsi="Arial" w:cs="Arial"/>
          <w:sz w:val="20"/>
          <w:szCs w:val="20"/>
        </w:rPr>
        <w:t>7</w:t>
      </w:r>
      <w:r w:rsidR="00955B8E">
        <w:rPr>
          <w:rFonts w:ascii="Arial" w:hAnsi="Arial" w:cs="Arial"/>
          <w:sz w:val="20"/>
          <w:szCs w:val="20"/>
        </w:rPr>
        <w:t> </w:t>
      </w:r>
      <w:r w:rsidR="00935CFA" w:rsidRPr="004433B1">
        <w:rPr>
          <w:rFonts w:ascii="Arial" w:hAnsi="Arial" w:cs="Arial"/>
          <w:sz w:val="20"/>
          <w:szCs w:val="20"/>
        </w:rPr>
        <w:t>4</w:t>
      </w:r>
      <w:r w:rsidRPr="004433B1">
        <w:rPr>
          <w:rFonts w:ascii="Arial" w:hAnsi="Arial" w:cs="Arial"/>
          <w:sz w:val="20"/>
          <w:szCs w:val="20"/>
        </w:rPr>
        <w:t xml:space="preserve">00 persons </w:t>
      </w:r>
      <w:r w:rsidR="00DC5CB2" w:rsidRPr="004433B1">
        <w:rPr>
          <w:rFonts w:ascii="Arial" w:hAnsi="Arial" w:cs="Arial"/>
          <w:sz w:val="20"/>
          <w:szCs w:val="20"/>
        </w:rPr>
        <w:t>more</w:t>
      </w:r>
      <w:r w:rsidRPr="004433B1">
        <w:rPr>
          <w:rFonts w:ascii="Arial" w:hAnsi="Arial" w:cs="Arial"/>
          <w:sz w:val="20"/>
          <w:szCs w:val="20"/>
        </w:rPr>
        <w:t xml:space="preserve"> than in the previous quarter and by </w:t>
      </w:r>
      <w:r w:rsidR="00935CFA" w:rsidRPr="004433B1">
        <w:rPr>
          <w:rFonts w:ascii="Arial" w:hAnsi="Arial" w:cs="Arial"/>
          <w:sz w:val="20"/>
          <w:szCs w:val="20"/>
        </w:rPr>
        <w:t>65</w:t>
      </w:r>
      <w:r w:rsidR="00955B8E">
        <w:rPr>
          <w:rFonts w:ascii="Arial" w:hAnsi="Arial" w:cs="Arial"/>
          <w:sz w:val="20"/>
          <w:szCs w:val="20"/>
        </w:rPr>
        <w:t> </w:t>
      </w:r>
      <w:r w:rsidR="00935CFA" w:rsidRPr="004433B1">
        <w:rPr>
          <w:rFonts w:ascii="Arial" w:hAnsi="Arial" w:cs="Arial"/>
          <w:sz w:val="20"/>
          <w:szCs w:val="20"/>
        </w:rPr>
        <w:t>7</w:t>
      </w:r>
      <w:r w:rsidRPr="004433B1">
        <w:rPr>
          <w:rFonts w:ascii="Arial" w:hAnsi="Arial" w:cs="Arial"/>
          <w:sz w:val="20"/>
          <w:szCs w:val="20"/>
        </w:rPr>
        <w:t xml:space="preserve">00 persons </w:t>
      </w:r>
      <w:r w:rsidR="00935CFA" w:rsidRPr="004433B1">
        <w:rPr>
          <w:rFonts w:ascii="Arial" w:hAnsi="Arial" w:cs="Arial"/>
          <w:sz w:val="20"/>
          <w:szCs w:val="20"/>
        </w:rPr>
        <w:t>more</w:t>
      </w:r>
      <w:r w:rsidRPr="004433B1">
        <w:rPr>
          <w:rFonts w:ascii="Arial" w:hAnsi="Arial" w:cs="Arial"/>
          <w:sz w:val="20"/>
          <w:szCs w:val="20"/>
        </w:rPr>
        <w:t xml:space="preserve"> than in the </w:t>
      </w:r>
      <w:r w:rsidR="00935CFA" w:rsidRPr="004433B1">
        <w:rPr>
          <w:rFonts w:ascii="Arial" w:hAnsi="Arial" w:cs="Arial"/>
          <w:sz w:val="20"/>
          <w:szCs w:val="20"/>
        </w:rPr>
        <w:t>fourth</w:t>
      </w:r>
      <w:r w:rsidRPr="004433B1">
        <w:rPr>
          <w:rFonts w:ascii="Arial" w:hAnsi="Arial" w:cs="Arial"/>
          <w:sz w:val="20"/>
          <w:szCs w:val="20"/>
        </w:rPr>
        <w:t xml:space="preserve"> quarter 201</w:t>
      </w:r>
      <w:r w:rsidR="004737F4" w:rsidRPr="004433B1">
        <w:rPr>
          <w:rFonts w:ascii="Arial" w:hAnsi="Arial" w:cs="Arial"/>
          <w:sz w:val="20"/>
          <w:szCs w:val="20"/>
        </w:rPr>
        <w:t>6</w:t>
      </w:r>
      <w:r w:rsidRPr="004433B1">
        <w:rPr>
          <w:rFonts w:ascii="Arial" w:hAnsi="Arial" w:cs="Arial"/>
          <w:sz w:val="20"/>
          <w:szCs w:val="20"/>
        </w:rPr>
        <w:t xml:space="preserve">. </w:t>
      </w:r>
    </w:p>
    <w:p w:rsidR="004737F4"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Unemployment noted </w:t>
      </w:r>
      <w:r w:rsidR="00614859" w:rsidRPr="004433B1">
        <w:rPr>
          <w:rFonts w:ascii="Arial" w:hAnsi="Arial" w:cs="Arial"/>
          <w:sz w:val="20"/>
          <w:szCs w:val="20"/>
        </w:rPr>
        <w:t>in</w:t>
      </w:r>
      <w:r w:rsidRPr="004433B1">
        <w:rPr>
          <w:rFonts w:ascii="Arial" w:hAnsi="Arial" w:cs="Arial"/>
          <w:sz w:val="20"/>
          <w:szCs w:val="20"/>
        </w:rPr>
        <w:t xml:space="preserve">crease </w:t>
      </w:r>
      <w:r w:rsidR="004737F4" w:rsidRPr="004433B1">
        <w:rPr>
          <w:rFonts w:ascii="Arial" w:hAnsi="Arial" w:cs="Arial"/>
          <w:sz w:val="20"/>
          <w:szCs w:val="20"/>
        </w:rPr>
        <w:t xml:space="preserve">both </w:t>
      </w:r>
      <w:r w:rsidRPr="004433B1">
        <w:rPr>
          <w:rFonts w:ascii="Arial" w:hAnsi="Arial" w:cs="Arial"/>
          <w:sz w:val="20"/>
          <w:szCs w:val="20"/>
        </w:rPr>
        <w:t xml:space="preserve">regarding </w:t>
      </w:r>
      <w:r w:rsidR="00B6363E" w:rsidRPr="004433B1">
        <w:rPr>
          <w:rFonts w:ascii="Arial" w:hAnsi="Arial" w:cs="Arial"/>
          <w:sz w:val="20"/>
          <w:szCs w:val="20"/>
        </w:rPr>
        <w:t>fe</w:t>
      </w:r>
      <w:r w:rsidRPr="004433B1">
        <w:rPr>
          <w:rFonts w:ascii="Arial" w:hAnsi="Arial" w:cs="Arial"/>
          <w:sz w:val="20"/>
          <w:szCs w:val="20"/>
        </w:rPr>
        <w:t xml:space="preserve">males </w:t>
      </w:r>
      <w:r w:rsidR="004737F4" w:rsidRPr="004433B1">
        <w:rPr>
          <w:rFonts w:ascii="Arial" w:hAnsi="Arial" w:cs="Arial"/>
          <w:sz w:val="20"/>
          <w:szCs w:val="20"/>
        </w:rPr>
        <w:t>and</w:t>
      </w:r>
      <w:r w:rsidRPr="004433B1">
        <w:rPr>
          <w:rFonts w:ascii="Arial" w:hAnsi="Arial" w:cs="Arial"/>
          <w:sz w:val="20"/>
          <w:szCs w:val="20"/>
        </w:rPr>
        <w:t xml:space="preserve"> males, relative to the previous quarter</w:t>
      </w:r>
      <w:r w:rsidR="004737F4" w:rsidRPr="004433B1">
        <w:rPr>
          <w:rFonts w:ascii="Arial" w:hAnsi="Arial" w:cs="Arial"/>
          <w:sz w:val="20"/>
          <w:szCs w:val="20"/>
        </w:rPr>
        <w:t>.</w:t>
      </w:r>
      <w:r w:rsidR="004D6B29" w:rsidRPr="004433B1">
        <w:rPr>
          <w:rFonts w:ascii="Arial" w:hAnsi="Arial" w:cs="Arial"/>
          <w:sz w:val="20"/>
          <w:szCs w:val="20"/>
        </w:rPr>
        <w:t xml:space="preserve"> </w:t>
      </w:r>
      <w:r w:rsidR="00614859" w:rsidRPr="004433B1">
        <w:rPr>
          <w:rFonts w:ascii="Arial" w:hAnsi="Arial" w:cs="Arial"/>
          <w:sz w:val="20"/>
          <w:szCs w:val="20"/>
        </w:rPr>
        <w:t xml:space="preserve">Recorded increase of unemployed was </w:t>
      </w:r>
      <w:r w:rsidR="00935CFA" w:rsidRPr="004433B1">
        <w:rPr>
          <w:rFonts w:ascii="Arial" w:hAnsi="Arial" w:cs="Arial"/>
          <w:sz w:val="20"/>
          <w:szCs w:val="20"/>
        </w:rPr>
        <w:t>greater regarding</w:t>
      </w:r>
      <w:r w:rsidR="00614859" w:rsidRPr="004433B1">
        <w:rPr>
          <w:rFonts w:ascii="Arial" w:hAnsi="Arial" w:cs="Arial"/>
          <w:sz w:val="20"/>
          <w:szCs w:val="20"/>
        </w:rPr>
        <w:t xml:space="preserve"> males </w:t>
      </w:r>
      <w:r w:rsidR="00935CFA" w:rsidRPr="004433B1">
        <w:rPr>
          <w:rFonts w:ascii="Arial" w:hAnsi="Arial" w:cs="Arial"/>
          <w:sz w:val="20"/>
          <w:szCs w:val="20"/>
        </w:rPr>
        <w:t>(34</w:t>
      </w:r>
      <w:r w:rsidR="00955B8E">
        <w:rPr>
          <w:rFonts w:ascii="Arial" w:hAnsi="Arial" w:cs="Arial"/>
          <w:sz w:val="20"/>
          <w:szCs w:val="20"/>
        </w:rPr>
        <w:t> </w:t>
      </w:r>
      <w:r w:rsidR="00935CFA" w:rsidRPr="004433B1">
        <w:rPr>
          <w:rFonts w:ascii="Arial" w:hAnsi="Arial" w:cs="Arial"/>
          <w:sz w:val="20"/>
          <w:szCs w:val="20"/>
        </w:rPr>
        <w:t>600) than</w:t>
      </w:r>
      <w:r w:rsidR="00614859" w:rsidRPr="004433B1">
        <w:rPr>
          <w:rFonts w:ascii="Arial" w:hAnsi="Arial" w:cs="Arial"/>
          <w:sz w:val="20"/>
          <w:szCs w:val="20"/>
        </w:rPr>
        <w:t xml:space="preserve"> females</w:t>
      </w:r>
      <w:r w:rsidR="00935CFA" w:rsidRPr="004433B1">
        <w:rPr>
          <w:rFonts w:ascii="Arial" w:hAnsi="Arial" w:cs="Arial"/>
          <w:sz w:val="20"/>
          <w:szCs w:val="20"/>
        </w:rPr>
        <w:t xml:space="preserve"> (12</w:t>
      </w:r>
      <w:r w:rsidR="00955B8E">
        <w:rPr>
          <w:rFonts w:ascii="Arial" w:hAnsi="Arial" w:cs="Arial"/>
          <w:sz w:val="20"/>
          <w:szCs w:val="20"/>
        </w:rPr>
        <w:t> </w:t>
      </w:r>
      <w:r w:rsidR="00935CFA" w:rsidRPr="004433B1">
        <w:rPr>
          <w:rFonts w:ascii="Arial" w:hAnsi="Arial" w:cs="Arial"/>
          <w:sz w:val="20"/>
          <w:szCs w:val="20"/>
        </w:rPr>
        <w:t>800)</w:t>
      </w:r>
      <w:r w:rsidR="004D6B29" w:rsidRPr="004433B1">
        <w:rPr>
          <w:rFonts w:ascii="Arial" w:hAnsi="Arial" w:cs="Arial"/>
          <w:sz w:val="20"/>
          <w:szCs w:val="20"/>
        </w:rPr>
        <w:t>.</w:t>
      </w:r>
      <w:r w:rsidRPr="004433B1">
        <w:rPr>
          <w:rFonts w:ascii="Arial" w:hAnsi="Arial" w:cs="Arial"/>
          <w:sz w:val="20"/>
          <w:szCs w:val="20"/>
        </w:rPr>
        <w:t xml:space="preserve"> </w:t>
      </w:r>
    </w:p>
    <w:p w:rsidR="00066E6C" w:rsidRPr="004433B1" w:rsidRDefault="004737F4"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R</w:t>
      </w:r>
      <w:r w:rsidR="00066E6C" w:rsidRPr="004433B1">
        <w:rPr>
          <w:rFonts w:ascii="Arial" w:hAnsi="Arial" w:cs="Arial"/>
          <w:sz w:val="20"/>
          <w:szCs w:val="20"/>
        </w:rPr>
        <w:t>elative to the same quarter of 201</w:t>
      </w:r>
      <w:r w:rsidRPr="004433B1">
        <w:rPr>
          <w:rFonts w:ascii="Arial" w:hAnsi="Arial" w:cs="Arial"/>
          <w:sz w:val="20"/>
          <w:szCs w:val="20"/>
        </w:rPr>
        <w:t>6</w:t>
      </w:r>
      <w:r w:rsidR="00B6363E" w:rsidRPr="004433B1">
        <w:rPr>
          <w:rFonts w:ascii="Arial" w:hAnsi="Arial" w:cs="Arial"/>
          <w:sz w:val="20"/>
          <w:szCs w:val="20"/>
        </w:rPr>
        <w:t>, une</w:t>
      </w:r>
      <w:r w:rsidR="00933538" w:rsidRPr="004433B1">
        <w:rPr>
          <w:rFonts w:ascii="Arial" w:hAnsi="Arial" w:cs="Arial"/>
          <w:sz w:val="20"/>
          <w:szCs w:val="20"/>
        </w:rPr>
        <w:t xml:space="preserve">mployment </w:t>
      </w:r>
      <w:r w:rsidR="00935CFA" w:rsidRPr="004433B1">
        <w:rPr>
          <w:rFonts w:ascii="Arial" w:hAnsi="Arial" w:cs="Arial"/>
          <w:sz w:val="20"/>
          <w:szCs w:val="20"/>
        </w:rPr>
        <w:t>in</w:t>
      </w:r>
      <w:r w:rsidR="00933538" w:rsidRPr="004433B1">
        <w:rPr>
          <w:rFonts w:ascii="Arial" w:hAnsi="Arial" w:cs="Arial"/>
          <w:sz w:val="20"/>
          <w:szCs w:val="20"/>
        </w:rPr>
        <w:t xml:space="preserve">crease was </w:t>
      </w:r>
      <w:r w:rsidRPr="004433B1">
        <w:rPr>
          <w:rFonts w:ascii="Arial" w:hAnsi="Arial" w:cs="Arial"/>
          <w:sz w:val="20"/>
          <w:szCs w:val="20"/>
        </w:rPr>
        <w:t xml:space="preserve">recorded regarding both genders, being </w:t>
      </w:r>
      <w:r w:rsidR="00933538" w:rsidRPr="004433B1">
        <w:rPr>
          <w:rFonts w:ascii="Arial" w:hAnsi="Arial" w:cs="Arial"/>
          <w:sz w:val="20"/>
          <w:szCs w:val="20"/>
        </w:rPr>
        <w:t xml:space="preserve">slightly greater </w:t>
      </w:r>
      <w:r w:rsidRPr="004433B1">
        <w:rPr>
          <w:rFonts w:ascii="Arial" w:hAnsi="Arial" w:cs="Arial"/>
          <w:sz w:val="20"/>
          <w:szCs w:val="20"/>
        </w:rPr>
        <w:t>in</w:t>
      </w:r>
      <w:r w:rsidR="00933538" w:rsidRPr="004433B1">
        <w:rPr>
          <w:rFonts w:ascii="Arial" w:hAnsi="Arial" w:cs="Arial"/>
          <w:sz w:val="20"/>
          <w:szCs w:val="20"/>
        </w:rPr>
        <w:t xml:space="preserve"> </w:t>
      </w:r>
      <w:r w:rsidR="00614859" w:rsidRPr="004433B1">
        <w:rPr>
          <w:rFonts w:ascii="Arial" w:hAnsi="Arial" w:cs="Arial"/>
          <w:sz w:val="20"/>
          <w:szCs w:val="20"/>
        </w:rPr>
        <w:t>fe</w:t>
      </w:r>
      <w:r w:rsidR="00933538" w:rsidRPr="004433B1">
        <w:rPr>
          <w:rFonts w:ascii="Arial" w:hAnsi="Arial" w:cs="Arial"/>
          <w:sz w:val="20"/>
          <w:szCs w:val="20"/>
        </w:rPr>
        <w:t>males</w:t>
      </w:r>
      <w:r w:rsidRPr="004433B1">
        <w:rPr>
          <w:rFonts w:ascii="Arial" w:hAnsi="Arial" w:cs="Arial"/>
          <w:sz w:val="20"/>
          <w:szCs w:val="20"/>
        </w:rPr>
        <w:t xml:space="preserve"> population (by </w:t>
      </w:r>
      <w:r w:rsidR="00935CFA" w:rsidRPr="004433B1">
        <w:rPr>
          <w:rFonts w:ascii="Arial" w:hAnsi="Arial" w:cs="Arial"/>
          <w:sz w:val="20"/>
          <w:szCs w:val="20"/>
        </w:rPr>
        <w:t>38</w:t>
      </w:r>
      <w:r w:rsidR="00955B8E">
        <w:rPr>
          <w:rFonts w:ascii="Arial" w:hAnsi="Arial" w:cs="Arial"/>
          <w:sz w:val="20"/>
          <w:szCs w:val="20"/>
        </w:rPr>
        <w:t> </w:t>
      </w:r>
      <w:r w:rsidR="00935CFA" w:rsidRPr="004433B1">
        <w:rPr>
          <w:rFonts w:ascii="Arial" w:hAnsi="Arial" w:cs="Arial"/>
          <w:sz w:val="20"/>
          <w:szCs w:val="20"/>
        </w:rPr>
        <w:t>7</w:t>
      </w:r>
      <w:r w:rsidRPr="004433B1">
        <w:rPr>
          <w:rFonts w:ascii="Arial" w:hAnsi="Arial" w:cs="Arial"/>
          <w:sz w:val="20"/>
          <w:szCs w:val="20"/>
        </w:rPr>
        <w:t>00 persons)</w:t>
      </w:r>
      <w:r w:rsidR="00066E6C" w:rsidRPr="004433B1">
        <w:rPr>
          <w:rFonts w:ascii="Arial" w:hAnsi="Arial" w:cs="Arial"/>
          <w:sz w:val="20"/>
          <w:szCs w:val="20"/>
        </w:rPr>
        <w:t>.</w:t>
      </w:r>
    </w:p>
    <w:p w:rsidR="00066E6C" w:rsidRPr="004433B1" w:rsidRDefault="001A2C58" w:rsidP="001B5D22">
      <w:pPr>
        <w:spacing w:before="120" w:after="120"/>
        <w:ind w:firstLine="708"/>
        <w:jc w:val="both"/>
        <w:rPr>
          <w:rFonts w:ascii="Arial" w:hAnsi="Arial" w:cs="Arial"/>
        </w:rPr>
      </w:pPr>
      <w:r w:rsidRPr="004433B1">
        <w:rPr>
          <w:noProof/>
          <w:lang w:val="en-US"/>
        </w:rPr>
        <mc:AlternateContent>
          <mc:Choice Requires="wps">
            <w:drawing>
              <wp:anchor distT="0" distB="0" distL="114300" distR="114300" simplePos="0" relativeHeight="4" behindDoc="0" locked="1" layoutInCell="1" allowOverlap="1" wp14:anchorId="61690EAD" wp14:editId="1664EE26">
                <wp:simplePos x="0" y="0"/>
                <wp:positionH relativeFrom="column">
                  <wp:posOffset>-20320</wp:posOffset>
                </wp:positionH>
                <wp:positionV relativeFrom="line">
                  <wp:posOffset>183515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B16406" w:rsidRPr="0008457F" w:rsidRDefault="00B16406"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B16406" w:rsidRPr="0008457F" w:rsidRDefault="00B16406"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B16406" w:rsidRPr="0008457F" w:rsidRDefault="00B16406"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B16406" w:rsidRPr="0008457F" w:rsidRDefault="00B16406"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90EAD" id="Rounded Rectangle 19" o:spid="_x0000_s1028" style="position:absolute;left:0;text-align:left;margin-left:-1.6pt;margin-top:14.4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" fillcolor="#f2f2f2" strokecolor="#0c5498" strokeweight="1pt">
                <v:textbox inset="0,0,0,0">
                  <w:txbxContent>
                    <w:p w:rsidR="00B16406" w:rsidRPr="0008457F" w:rsidRDefault="00B16406"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B16406" w:rsidRPr="0008457F" w:rsidRDefault="00B16406"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B16406" w:rsidRPr="0008457F" w:rsidRDefault="00B16406"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B16406" w:rsidRPr="0008457F" w:rsidRDefault="00B16406"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EF4A8E">
      <w:pPr>
        <w:spacing w:before="120" w:after="240"/>
        <w:jc w:val="both"/>
        <w:rPr>
          <w:rFonts w:ascii="Arial" w:hAnsi="Arial" w:cs="Arial"/>
        </w:rPr>
      </w:pPr>
    </w:p>
    <w:p w:rsidR="007951B3" w:rsidRPr="004433B1" w:rsidRDefault="007951B3" w:rsidP="007951B3">
      <w:pPr>
        <w:spacing w:after="120" w:line="300" w:lineRule="auto"/>
        <w:ind w:firstLine="403"/>
        <w:jc w:val="both"/>
        <w:rPr>
          <w:rFonts w:ascii="Arial" w:hAnsi="Arial" w:cs="Arial"/>
          <w:b/>
          <w:sz w:val="20"/>
          <w:szCs w:val="20"/>
        </w:rPr>
      </w:pPr>
    </w:p>
    <w:p w:rsidR="00837688" w:rsidRPr="004433B1" w:rsidRDefault="00066E6C" w:rsidP="00BA2E8C">
      <w:pPr>
        <w:spacing w:before="360" w:after="120" w:line="300" w:lineRule="auto"/>
        <w:ind w:firstLine="403"/>
        <w:jc w:val="both"/>
        <w:rPr>
          <w:rFonts w:ascii="Arial" w:hAnsi="Arial" w:cs="Arial"/>
          <w:sz w:val="20"/>
          <w:szCs w:val="20"/>
        </w:rPr>
      </w:pPr>
      <w:r w:rsidRPr="004433B1">
        <w:rPr>
          <w:rFonts w:ascii="Arial" w:hAnsi="Arial" w:cs="Arial"/>
          <w:b/>
          <w:sz w:val="20"/>
          <w:szCs w:val="20"/>
        </w:rPr>
        <w:t>Unemployment rate</w:t>
      </w:r>
      <w:r w:rsidRPr="004433B1">
        <w:rPr>
          <w:rFonts w:ascii="Arial" w:hAnsi="Arial" w:cs="Arial"/>
          <w:sz w:val="20"/>
          <w:szCs w:val="20"/>
        </w:rPr>
        <w:t xml:space="preserve"> of population aged 15 and over amounted to 1</w:t>
      </w:r>
      <w:r w:rsidR="00935CFA" w:rsidRPr="004433B1">
        <w:rPr>
          <w:rFonts w:ascii="Arial" w:hAnsi="Arial" w:cs="Arial"/>
          <w:sz w:val="20"/>
          <w:szCs w:val="20"/>
        </w:rPr>
        <w:t>4</w:t>
      </w:r>
      <w:r w:rsidRPr="004433B1">
        <w:rPr>
          <w:rFonts w:ascii="Arial" w:hAnsi="Arial" w:cs="Arial"/>
          <w:sz w:val="20"/>
          <w:szCs w:val="20"/>
        </w:rPr>
        <w:t>.</w:t>
      </w:r>
      <w:r w:rsidR="00935CFA" w:rsidRPr="004433B1">
        <w:rPr>
          <w:rFonts w:ascii="Arial" w:hAnsi="Arial" w:cs="Arial"/>
          <w:sz w:val="20"/>
          <w:szCs w:val="20"/>
        </w:rPr>
        <w:t>7</w:t>
      </w:r>
      <w:r w:rsidRPr="004433B1">
        <w:rPr>
          <w:rFonts w:ascii="Arial" w:hAnsi="Arial" w:cs="Arial"/>
          <w:sz w:val="20"/>
          <w:szCs w:val="20"/>
        </w:rPr>
        <w:t xml:space="preserve">% on the level of whole territory of Serbia, where the highest value was recorded in </w:t>
      </w:r>
      <w:r w:rsidR="00933538" w:rsidRPr="004433B1">
        <w:rPr>
          <w:rFonts w:ascii="Arial" w:hAnsi="Arial" w:cs="Arial"/>
          <w:sz w:val="20"/>
          <w:szCs w:val="20"/>
        </w:rPr>
        <w:t>Region Južne i Istočne Srbije (1</w:t>
      </w:r>
      <w:r w:rsidR="00935CFA" w:rsidRPr="004433B1">
        <w:rPr>
          <w:rFonts w:ascii="Arial" w:hAnsi="Arial" w:cs="Arial"/>
          <w:sz w:val="20"/>
          <w:szCs w:val="20"/>
        </w:rPr>
        <w:t>6</w:t>
      </w:r>
      <w:r w:rsidR="00933538" w:rsidRPr="004433B1">
        <w:rPr>
          <w:rFonts w:ascii="Arial" w:hAnsi="Arial" w:cs="Arial"/>
          <w:sz w:val="20"/>
          <w:szCs w:val="20"/>
        </w:rPr>
        <w:t>.</w:t>
      </w:r>
      <w:r w:rsidR="00935CFA" w:rsidRPr="004433B1">
        <w:rPr>
          <w:rFonts w:ascii="Arial" w:hAnsi="Arial" w:cs="Arial"/>
          <w:sz w:val="20"/>
          <w:szCs w:val="20"/>
        </w:rPr>
        <w:t>4</w:t>
      </w:r>
      <w:r w:rsidR="00933538" w:rsidRPr="004433B1">
        <w:rPr>
          <w:rFonts w:ascii="Arial" w:hAnsi="Arial" w:cs="Arial"/>
          <w:sz w:val="20"/>
          <w:szCs w:val="20"/>
        </w:rPr>
        <w:t xml:space="preserve">%), </w:t>
      </w:r>
      <w:r w:rsidR="00157573" w:rsidRPr="004433B1">
        <w:rPr>
          <w:rFonts w:ascii="Arial" w:hAnsi="Arial" w:cs="Arial"/>
          <w:sz w:val="20"/>
          <w:szCs w:val="20"/>
        </w:rPr>
        <w:t xml:space="preserve">and the lowest in </w:t>
      </w:r>
      <w:r w:rsidR="004737F4" w:rsidRPr="004433B1">
        <w:rPr>
          <w:rFonts w:ascii="Arial" w:hAnsi="Arial" w:cs="Arial"/>
          <w:sz w:val="20"/>
          <w:szCs w:val="20"/>
        </w:rPr>
        <w:t>R</w:t>
      </w:r>
      <w:r w:rsidRPr="004433B1">
        <w:rPr>
          <w:rFonts w:ascii="Arial" w:hAnsi="Arial" w:cs="Arial"/>
          <w:sz w:val="20"/>
          <w:szCs w:val="20"/>
        </w:rPr>
        <w:t>egion</w:t>
      </w:r>
      <w:r w:rsidR="00837688" w:rsidRPr="004433B1">
        <w:rPr>
          <w:rFonts w:ascii="Arial" w:hAnsi="Arial" w:cs="Arial"/>
          <w:sz w:val="20"/>
          <w:szCs w:val="20"/>
        </w:rPr>
        <w:t xml:space="preserve"> </w:t>
      </w:r>
      <w:r w:rsidR="004D6B29" w:rsidRPr="004433B1">
        <w:rPr>
          <w:rFonts w:ascii="Arial" w:hAnsi="Arial" w:cs="Arial"/>
          <w:sz w:val="20"/>
          <w:szCs w:val="20"/>
        </w:rPr>
        <w:t xml:space="preserve">Vojvodine </w:t>
      </w:r>
      <w:r w:rsidRPr="004433B1">
        <w:rPr>
          <w:rFonts w:ascii="Arial" w:hAnsi="Arial" w:cs="Arial"/>
          <w:sz w:val="20"/>
          <w:szCs w:val="20"/>
        </w:rPr>
        <w:t>(1</w:t>
      </w:r>
      <w:r w:rsidR="00935CFA" w:rsidRPr="004433B1">
        <w:rPr>
          <w:rFonts w:ascii="Arial" w:hAnsi="Arial" w:cs="Arial"/>
          <w:sz w:val="20"/>
          <w:szCs w:val="20"/>
        </w:rPr>
        <w:t>3</w:t>
      </w:r>
      <w:r w:rsidRPr="004433B1">
        <w:rPr>
          <w:rFonts w:ascii="Arial" w:hAnsi="Arial" w:cs="Arial"/>
          <w:sz w:val="20"/>
          <w:szCs w:val="20"/>
        </w:rPr>
        <w:t>.</w:t>
      </w:r>
      <w:r w:rsidR="00935CFA" w:rsidRPr="004433B1">
        <w:rPr>
          <w:rFonts w:ascii="Arial" w:hAnsi="Arial" w:cs="Arial"/>
          <w:sz w:val="20"/>
          <w:szCs w:val="20"/>
        </w:rPr>
        <w:t>2</w:t>
      </w:r>
      <w:r w:rsidRPr="004433B1">
        <w:rPr>
          <w:rFonts w:ascii="Arial" w:hAnsi="Arial" w:cs="Arial"/>
          <w:sz w:val="20"/>
          <w:szCs w:val="20"/>
        </w:rPr>
        <w:t xml:space="preserve">%) (Graph </w:t>
      </w:r>
      <w:r w:rsidR="00157573" w:rsidRPr="004433B1">
        <w:rPr>
          <w:rFonts w:ascii="Arial" w:hAnsi="Arial" w:cs="Arial"/>
          <w:sz w:val="20"/>
          <w:szCs w:val="20"/>
        </w:rPr>
        <w:t>6</w:t>
      </w:r>
      <w:r w:rsidRPr="004433B1">
        <w:rPr>
          <w:rFonts w:ascii="Arial" w:hAnsi="Arial" w:cs="Arial"/>
          <w:sz w:val="20"/>
          <w:szCs w:val="20"/>
        </w:rPr>
        <w:t xml:space="preserve">). </w:t>
      </w:r>
    </w:p>
    <w:p w:rsidR="004843D6" w:rsidRPr="004433B1" w:rsidRDefault="004843D6" w:rsidP="008C3469">
      <w:pPr>
        <w:spacing w:before="120" w:after="120" w:line="300" w:lineRule="auto"/>
        <w:ind w:firstLine="397"/>
        <w:jc w:val="both"/>
        <w:rPr>
          <w:rFonts w:ascii="Arial" w:hAnsi="Arial" w:cs="Arial"/>
          <w:sz w:val="20"/>
          <w:szCs w:val="20"/>
        </w:rPr>
      </w:pPr>
    </w:p>
    <w:p w:rsidR="00BA2E8C" w:rsidRPr="004433B1" w:rsidRDefault="00BA2E8C" w:rsidP="00935CFA">
      <w:pPr>
        <w:spacing w:after="120" w:line="300" w:lineRule="auto"/>
        <w:ind w:firstLine="720"/>
        <w:jc w:val="both"/>
        <w:rPr>
          <w:rFonts w:ascii="Arial" w:hAnsi="Arial" w:cs="Arial"/>
          <w:b/>
          <w:bCs/>
          <w:sz w:val="20"/>
          <w:szCs w:val="20"/>
        </w:rPr>
      </w:pPr>
      <w:r w:rsidRPr="004433B1">
        <w:rPr>
          <w:rFonts w:ascii="Arial" w:hAnsi="Arial" w:cs="Arial"/>
          <w:b/>
          <w:bCs/>
          <w:sz w:val="20"/>
          <w:szCs w:val="20"/>
        </w:rPr>
        <w:br w:type="page"/>
      </w:r>
      <w:bookmarkStart w:id="0" w:name="_GoBack"/>
      <w:bookmarkEnd w:id="0"/>
    </w:p>
    <w:p w:rsidR="00066E6C" w:rsidRPr="004433B1" w:rsidRDefault="00066E6C" w:rsidP="00137779">
      <w:pPr>
        <w:spacing w:before="480" w:after="120" w:line="240" w:lineRule="auto"/>
        <w:jc w:val="center"/>
        <w:rPr>
          <w:rFonts w:ascii="Arial" w:hAnsi="Arial" w:cs="Arial"/>
          <w:sz w:val="20"/>
          <w:szCs w:val="20"/>
        </w:rPr>
      </w:pPr>
      <w:r w:rsidRPr="004433B1">
        <w:rPr>
          <w:rFonts w:ascii="Arial" w:hAnsi="Arial" w:cs="Arial"/>
          <w:b/>
          <w:bCs/>
          <w:sz w:val="20"/>
          <w:szCs w:val="20"/>
        </w:rPr>
        <w:lastRenderedPageBreak/>
        <w:t xml:space="preserve">Graph </w:t>
      </w:r>
      <w:r w:rsidR="00157573" w:rsidRPr="004433B1">
        <w:rPr>
          <w:rFonts w:ascii="Arial" w:hAnsi="Arial" w:cs="Arial"/>
          <w:b/>
          <w:bCs/>
          <w:sz w:val="20"/>
          <w:szCs w:val="20"/>
        </w:rPr>
        <w:t>6</w:t>
      </w:r>
      <w:r w:rsidR="00C24B2C" w:rsidRPr="004433B1">
        <w:rPr>
          <w:rFonts w:ascii="Arial" w:hAnsi="Arial" w:cs="Arial"/>
          <w:b/>
          <w:bCs/>
          <w:sz w:val="20"/>
          <w:szCs w:val="20"/>
        </w:rPr>
        <w:t xml:space="preserve"> </w:t>
      </w:r>
      <w:r w:rsidRPr="004433B1">
        <w:rPr>
          <w:rFonts w:ascii="Arial" w:hAnsi="Arial" w:cs="Arial"/>
          <w:sz w:val="20"/>
          <w:szCs w:val="20"/>
        </w:rPr>
        <w:t>Unemployment rates</w:t>
      </w:r>
      <w:r w:rsidR="00157573" w:rsidRPr="004433B1">
        <w:rPr>
          <w:rFonts w:ascii="Arial" w:hAnsi="Arial" w:cs="Arial"/>
          <w:sz w:val="20"/>
          <w:szCs w:val="20"/>
        </w:rPr>
        <w:t xml:space="preserve"> of persons aged 15+ and 15-24, by regions, Q</w:t>
      </w:r>
      <w:r w:rsidR="00935CFA" w:rsidRPr="004433B1">
        <w:rPr>
          <w:rFonts w:ascii="Arial" w:hAnsi="Arial" w:cs="Arial"/>
          <w:sz w:val="20"/>
          <w:szCs w:val="20"/>
        </w:rPr>
        <w:t>4</w:t>
      </w:r>
      <w:r w:rsidRPr="004433B1">
        <w:rPr>
          <w:rFonts w:ascii="Arial" w:hAnsi="Arial" w:cs="Arial"/>
          <w:sz w:val="20"/>
          <w:szCs w:val="20"/>
        </w:rPr>
        <w:t xml:space="preserve"> 201</w:t>
      </w:r>
      <w:r w:rsidR="004737F4" w:rsidRPr="004433B1">
        <w:rPr>
          <w:rFonts w:ascii="Arial" w:hAnsi="Arial" w:cs="Arial"/>
          <w:sz w:val="20"/>
          <w:szCs w:val="20"/>
        </w:rPr>
        <w:t>7</w:t>
      </w:r>
    </w:p>
    <w:p w:rsidR="00066E6C" w:rsidRPr="004433B1" w:rsidRDefault="00955B8E" w:rsidP="00F273CB">
      <w:pPr>
        <w:spacing w:before="120" w:after="120" w:line="240" w:lineRule="auto"/>
        <w:jc w:val="center"/>
        <w:rPr>
          <w:rFonts w:ascii="Arial" w:hAnsi="Arial" w:cs="Arial"/>
          <w:b/>
          <w:bCs/>
        </w:rPr>
      </w:pPr>
      <w:r w:rsidRPr="00955B8E">
        <w:rPr>
          <w:rFonts w:ascii="Arial" w:hAnsi="Arial" w:cs="Arial"/>
          <w:b/>
          <w:bCs/>
          <w:noProof/>
          <w:lang w:val="en-US"/>
        </w:rPr>
        <w:drawing>
          <wp:inline distT="0" distB="0" distL="0" distR="0">
            <wp:extent cx="5391150" cy="2047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047875"/>
                    </a:xfrm>
                    <a:prstGeom prst="rect">
                      <a:avLst/>
                    </a:prstGeom>
                    <a:noFill/>
                    <a:ln>
                      <a:noFill/>
                    </a:ln>
                  </pic:spPr>
                </pic:pic>
              </a:graphicData>
            </a:graphic>
          </wp:inline>
        </w:drawing>
      </w:r>
    </w:p>
    <w:p w:rsidR="0090602A" w:rsidRPr="004433B1" w:rsidRDefault="0090602A" w:rsidP="00F273CB">
      <w:pPr>
        <w:spacing w:before="120" w:after="120" w:line="240" w:lineRule="auto"/>
        <w:jc w:val="center"/>
        <w:rPr>
          <w:rFonts w:ascii="Arial" w:hAnsi="Arial" w:cs="Arial"/>
          <w:b/>
          <w:bCs/>
        </w:rPr>
      </w:pPr>
    </w:p>
    <w:p w:rsidR="00066E6C" w:rsidRPr="004433B1" w:rsidRDefault="00442938"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Comparted with the previous quarter, </w:t>
      </w:r>
      <w:r w:rsidR="00FA0E38" w:rsidRPr="004433B1">
        <w:rPr>
          <w:rFonts w:ascii="Arial" w:hAnsi="Arial" w:cs="Arial"/>
          <w:sz w:val="20"/>
          <w:szCs w:val="20"/>
        </w:rPr>
        <w:t xml:space="preserve">as well as with the same quarter of the previous year, </w:t>
      </w:r>
      <w:r w:rsidRPr="004433B1">
        <w:rPr>
          <w:rFonts w:ascii="Arial" w:hAnsi="Arial" w:cs="Arial"/>
          <w:sz w:val="20"/>
          <w:szCs w:val="20"/>
        </w:rPr>
        <w:t xml:space="preserve">unemployment increased in all regions, the greatest increase was in </w:t>
      </w:r>
      <w:r w:rsidR="00FA0E38" w:rsidRPr="004433B1">
        <w:rPr>
          <w:rFonts w:ascii="Arial" w:hAnsi="Arial" w:cs="Arial"/>
          <w:sz w:val="20"/>
          <w:szCs w:val="20"/>
        </w:rPr>
        <w:t>Region Šumadije i Zapadne Srbije (by 20</w:t>
      </w:r>
      <w:r w:rsidR="00955B8E">
        <w:rPr>
          <w:rFonts w:ascii="Arial" w:hAnsi="Arial" w:cs="Arial"/>
          <w:sz w:val="20"/>
          <w:szCs w:val="20"/>
        </w:rPr>
        <w:t> </w:t>
      </w:r>
      <w:r w:rsidR="00FA0E38" w:rsidRPr="004433B1">
        <w:rPr>
          <w:rFonts w:ascii="Arial" w:hAnsi="Arial" w:cs="Arial"/>
          <w:sz w:val="20"/>
          <w:szCs w:val="20"/>
        </w:rPr>
        <w:t>400 persons relative to the previous quarter and by 20</w:t>
      </w:r>
      <w:r w:rsidR="00955B8E">
        <w:rPr>
          <w:rFonts w:ascii="Arial" w:hAnsi="Arial" w:cs="Arial"/>
          <w:sz w:val="20"/>
          <w:szCs w:val="20"/>
        </w:rPr>
        <w:t> </w:t>
      </w:r>
      <w:r w:rsidR="00FA0E38" w:rsidRPr="004433B1">
        <w:rPr>
          <w:rFonts w:ascii="Arial" w:hAnsi="Arial" w:cs="Arial"/>
          <w:sz w:val="20"/>
          <w:szCs w:val="20"/>
        </w:rPr>
        <w:t>000 relative to the same quarter of the previous year). The increase was the smallest in Beogradski Region (by 5</w:t>
      </w:r>
      <w:r w:rsidR="00955B8E">
        <w:rPr>
          <w:rFonts w:ascii="Arial" w:hAnsi="Arial" w:cs="Arial"/>
          <w:sz w:val="20"/>
          <w:szCs w:val="20"/>
        </w:rPr>
        <w:t> </w:t>
      </w:r>
      <w:r w:rsidR="00FA0E38" w:rsidRPr="004433B1">
        <w:rPr>
          <w:rFonts w:ascii="Arial" w:hAnsi="Arial" w:cs="Arial"/>
          <w:sz w:val="20"/>
          <w:szCs w:val="20"/>
        </w:rPr>
        <w:t>400 relative to the previous quarter and by 12</w:t>
      </w:r>
      <w:r w:rsidR="00955B8E">
        <w:rPr>
          <w:rFonts w:ascii="Arial" w:hAnsi="Arial" w:cs="Arial"/>
          <w:sz w:val="20"/>
          <w:szCs w:val="20"/>
        </w:rPr>
        <w:t> </w:t>
      </w:r>
      <w:r w:rsidR="00FA0E38" w:rsidRPr="004433B1">
        <w:rPr>
          <w:rFonts w:ascii="Arial" w:hAnsi="Arial" w:cs="Arial"/>
          <w:sz w:val="20"/>
          <w:szCs w:val="20"/>
        </w:rPr>
        <w:t xml:space="preserve">800 relative to the same quarter of the previous year). </w:t>
      </w:r>
    </w:p>
    <w:p w:rsidR="00BA372C" w:rsidRPr="004433B1" w:rsidRDefault="00BA372C" w:rsidP="00BA372C">
      <w:pPr>
        <w:spacing w:before="120" w:after="120" w:line="300" w:lineRule="auto"/>
        <w:ind w:firstLine="397"/>
        <w:jc w:val="both"/>
        <w:rPr>
          <w:rFonts w:ascii="Arial" w:hAnsi="Arial" w:cs="Arial"/>
          <w:sz w:val="20"/>
          <w:szCs w:val="20"/>
        </w:rPr>
      </w:pPr>
      <w:r w:rsidRPr="004433B1">
        <w:rPr>
          <w:rFonts w:ascii="Arial" w:hAnsi="Arial" w:cs="Arial"/>
          <w:b/>
          <w:sz w:val="20"/>
          <w:szCs w:val="20"/>
        </w:rPr>
        <w:t>Long-term unemployment rate</w:t>
      </w:r>
      <w:r w:rsidRPr="004433B1">
        <w:rPr>
          <w:rFonts w:ascii="Arial" w:hAnsi="Arial" w:cs="Arial"/>
          <w:sz w:val="20"/>
          <w:szCs w:val="20"/>
        </w:rPr>
        <w:t xml:space="preserve"> is </w:t>
      </w:r>
      <w:r w:rsidR="00FA0E38" w:rsidRPr="004433B1">
        <w:rPr>
          <w:rFonts w:ascii="Arial" w:hAnsi="Arial" w:cs="Arial"/>
          <w:sz w:val="20"/>
          <w:szCs w:val="20"/>
        </w:rPr>
        <w:t>8</w:t>
      </w:r>
      <w:r w:rsidRPr="004433B1">
        <w:rPr>
          <w:rFonts w:ascii="Arial" w:hAnsi="Arial" w:cs="Arial"/>
          <w:sz w:val="20"/>
          <w:szCs w:val="20"/>
        </w:rPr>
        <w:t>.</w:t>
      </w:r>
      <w:r w:rsidR="00FA0E38" w:rsidRPr="004433B1">
        <w:rPr>
          <w:rFonts w:ascii="Arial" w:hAnsi="Arial" w:cs="Arial"/>
          <w:sz w:val="20"/>
          <w:szCs w:val="20"/>
        </w:rPr>
        <w:t>8</w:t>
      </w:r>
      <w:r w:rsidRPr="004433B1">
        <w:rPr>
          <w:rFonts w:ascii="Arial" w:hAnsi="Arial" w:cs="Arial"/>
          <w:sz w:val="20"/>
          <w:szCs w:val="20"/>
        </w:rPr>
        <w:t xml:space="preserve">%, being by </w:t>
      </w:r>
      <w:r w:rsidR="00FA0E38" w:rsidRPr="004433B1">
        <w:rPr>
          <w:rFonts w:ascii="Arial" w:hAnsi="Arial" w:cs="Arial"/>
          <w:sz w:val="20"/>
          <w:szCs w:val="20"/>
        </w:rPr>
        <w:t>1</w:t>
      </w:r>
      <w:r w:rsidRPr="004433B1">
        <w:rPr>
          <w:rFonts w:ascii="Arial" w:hAnsi="Arial" w:cs="Arial"/>
          <w:sz w:val="20"/>
          <w:szCs w:val="20"/>
        </w:rPr>
        <w:t>.</w:t>
      </w:r>
      <w:r w:rsidR="00FA0E38" w:rsidRPr="004433B1">
        <w:rPr>
          <w:rFonts w:ascii="Arial" w:hAnsi="Arial" w:cs="Arial"/>
          <w:sz w:val="20"/>
          <w:szCs w:val="20"/>
        </w:rPr>
        <w:t>1</w:t>
      </w:r>
      <w:r w:rsidRPr="004433B1">
        <w:rPr>
          <w:rFonts w:ascii="Arial" w:hAnsi="Arial" w:cs="Arial"/>
          <w:sz w:val="20"/>
          <w:szCs w:val="20"/>
        </w:rPr>
        <w:t xml:space="preserve"> p.p. more relative to the previous quarter and by </w:t>
      </w:r>
      <w:r w:rsidR="00FA0E38" w:rsidRPr="004433B1">
        <w:rPr>
          <w:rFonts w:ascii="Arial" w:hAnsi="Arial" w:cs="Arial"/>
          <w:sz w:val="20"/>
          <w:szCs w:val="20"/>
        </w:rPr>
        <w:t>0</w:t>
      </w:r>
      <w:r w:rsidRPr="004433B1">
        <w:rPr>
          <w:rFonts w:ascii="Arial" w:hAnsi="Arial" w:cs="Arial"/>
          <w:sz w:val="20"/>
          <w:szCs w:val="20"/>
        </w:rPr>
        <w:t>.</w:t>
      </w:r>
      <w:r w:rsidR="00FA0E38" w:rsidRPr="004433B1">
        <w:rPr>
          <w:rFonts w:ascii="Arial" w:hAnsi="Arial" w:cs="Arial"/>
          <w:sz w:val="20"/>
          <w:szCs w:val="20"/>
        </w:rPr>
        <w:t>5</w:t>
      </w:r>
      <w:r w:rsidRPr="004433B1">
        <w:rPr>
          <w:rFonts w:ascii="Arial" w:hAnsi="Arial" w:cs="Arial"/>
          <w:sz w:val="20"/>
          <w:szCs w:val="20"/>
        </w:rPr>
        <w:t xml:space="preserve"> p.p. </w:t>
      </w:r>
      <w:r w:rsidR="00FA0E38" w:rsidRPr="004433B1">
        <w:rPr>
          <w:rFonts w:ascii="Arial" w:hAnsi="Arial" w:cs="Arial"/>
          <w:sz w:val="20"/>
          <w:szCs w:val="20"/>
        </w:rPr>
        <w:t>more</w:t>
      </w:r>
      <w:r w:rsidRPr="004433B1">
        <w:rPr>
          <w:rFonts w:ascii="Arial" w:hAnsi="Arial" w:cs="Arial"/>
          <w:sz w:val="20"/>
          <w:szCs w:val="20"/>
        </w:rPr>
        <w:t xml:space="preserve"> relative to the same quarter 2016.</w:t>
      </w:r>
    </w:p>
    <w:p w:rsidR="00BA372C" w:rsidRPr="004433B1" w:rsidRDefault="00BA372C" w:rsidP="00BA372C">
      <w:pPr>
        <w:spacing w:before="120" w:after="120" w:line="300" w:lineRule="auto"/>
        <w:ind w:firstLine="397"/>
        <w:jc w:val="both"/>
        <w:rPr>
          <w:rFonts w:ascii="Arial" w:hAnsi="Arial" w:cs="Arial"/>
          <w:sz w:val="20"/>
          <w:szCs w:val="20"/>
        </w:rPr>
      </w:pPr>
      <w:r w:rsidRPr="004433B1">
        <w:rPr>
          <w:rFonts w:ascii="Arial" w:hAnsi="Arial" w:cs="Arial"/>
          <w:b/>
          <w:sz w:val="20"/>
          <w:szCs w:val="20"/>
        </w:rPr>
        <w:t>Unemployment rate of young</w:t>
      </w:r>
      <w:r w:rsidR="0089426F" w:rsidRPr="004433B1">
        <w:rPr>
          <w:rFonts w:ascii="Arial" w:hAnsi="Arial" w:cs="Arial"/>
          <w:b/>
          <w:sz w:val="20"/>
          <w:szCs w:val="20"/>
        </w:rPr>
        <w:t xml:space="preserve"> population</w:t>
      </w:r>
      <w:r w:rsidRPr="004433B1">
        <w:rPr>
          <w:rFonts w:ascii="Arial" w:hAnsi="Arial" w:cs="Arial"/>
          <w:b/>
          <w:sz w:val="20"/>
          <w:szCs w:val="20"/>
        </w:rPr>
        <w:t xml:space="preserve"> </w:t>
      </w:r>
      <w:r w:rsidRPr="004433B1">
        <w:rPr>
          <w:rFonts w:ascii="Arial" w:hAnsi="Arial" w:cs="Arial"/>
          <w:sz w:val="20"/>
          <w:szCs w:val="20"/>
        </w:rPr>
        <w:t xml:space="preserve">(15–24) </w:t>
      </w:r>
      <w:r w:rsidR="007230B0" w:rsidRPr="004433B1">
        <w:rPr>
          <w:rFonts w:ascii="Arial" w:hAnsi="Arial" w:cs="Arial"/>
          <w:sz w:val="20"/>
          <w:szCs w:val="20"/>
        </w:rPr>
        <w:t xml:space="preserve">amounted to </w:t>
      </w:r>
      <w:r w:rsidR="00FA0E38" w:rsidRPr="004433B1">
        <w:rPr>
          <w:rFonts w:ascii="Arial" w:hAnsi="Arial" w:cs="Arial"/>
          <w:sz w:val="20"/>
          <w:szCs w:val="20"/>
        </w:rPr>
        <w:t>33</w:t>
      </w:r>
      <w:r w:rsidR="007230B0" w:rsidRPr="004433B1">
        <w:rPr>
          <w:rFonts w:ascii="Arial" w:hAnsi="Arial" w:cs="Arial"/>
          <w:sz w:val="20"/>
          <w:szCs w:val="20"/>
        </w:rPr>
        <w:t>.</w:t>
      </w:r>
      <w:r w:rsidR="00FA0E38" w:rsidRPr="004433B1">
        <w:rPr>
          <w:rFonts w:ascii="Arial" w:hAnsi="Arial" w:cs="Arial"/>
          <w:sz w:val="20"/>
          <w:szCs w:val="20"/>
        </w:rPr>
        <w:t>3</w:t>
      </w:r>
      <w:r w:rsidRPr="004433B1">
        <w:rPr>
          <w:rFonts w:ascii="Arial" w:hAnsi="Arial" w:cs="Arial"/>
          <w:sz w:val="20"/>
          <w:szCs w:val="20"/>
        </w:rPr>
        <w:t xml:space="preserve">%. </w:t>
      </w:r>
      <w:r w:rsidR="007230B0" w:rsidRPr="004433B1">
        <w:rPr>
          <w:rFonts w:ascii="Arial" w:hAnsi="Arial" w:cs="Arial"/>
          <w:sz w:val="20"/>
          <w:szCs w:val="20"/>
        </w:rPr>
        <w:t xml:space="preserve">The greatest is in </w:t>
      </w:r>
      <w:r w:rsidR="00FA0E38" w:rsidRPr="004433B1">
        <w:rPr>
          <w:rFonts w:ascii="Arial" w:hAnsi="Arial" w:cs="Arial"/>
          <w:sz w:val="20"/>
          <w:szCs w:val="20"/>
        </w:rPr>
        <w:t>Region Ju</w:t>
      </w:r>
      <w:r w:rsidR="00E951F0" w:rsidRPr="004433B1">
        <w:rPr>
          <w:rFonts w:ascii="Arial" w:hAnsi="Arial" w:cs="Arial"/>
          <w:sz w:val="20"/>
          <w:szCs w:val="20"/>
        </w:rPr>
        <w:t>ž</w:t>
      </w:r>
      <w:r w:rsidR="00FA0E38" w:rsidRPr="004433B1">
        <w:rPr>
          <w:rFonts w:ascii="Arial" w:hAnsi="Arial" w:cs="Arial"/>
          <w:sz w:val="20"/>
          <w:szCs w:val="20"/>
        </w:rPr>
        <w:t xml:space="preserve">ne </w:t>
      </w:r>
      <w:r w:rsidR="00E951F0" w:rsidRPr="004433B1">
        <w:rPr>
          <w:rFonts w:ascii="Arial" w:hAnsi="Arial" w:cs="Arial"/>
          <w:sz w:val="20"/>
          <w:szCs w:val="20"/>
        </w:rPr>
        <w:t>i</w:t>
      </w:r>
      <w:r w:rsidR="00FA0E38" w:rsidRPr="004433B1">
        <w:rPr>
          <w:rFonts w:ascii="Arial" w:hAnsi="Arial" w:cs="Arial"/>
          <w:sz w:val="20"/>
          <w:szCs w:val="20"/>
        </w:rPr>
        <w:t xml:space="preserve"> Isto</w:t>
      </w:r>
      <w:r w:rsidR="00E951F0" w:rsidRPr="004433B1">
        <w:rPr>
          <w:rFonts w:ascii="Arial" w:hAnsi="Arial" w:cs="Arial"/>
          <w:sz w:val="20"/>
          <w:szCs w:val="20"/>
        </w:rPr>
        <w:t>č</w:t>
      </w:r>
      <w:r w:rsidR="00FA0E38" w:rsidRPr="004433B1">
        <w:rPr>
          <w:rFonts w:ascii="Arial" w:hAnsi="Arial" w:cs="Arial"/>
          <w:sz w:val="20"/>
          <w:szCs w:val="20"/>
        </w:rPr>
        <w:t>ne Srbije (37.1%),</w:t>
      </w:r>
      <w:r w:rsidRPr="004433B1">
        <w:rPr>
          <w:rFonts w:ascii="Arial" w:hAnsi="Arial" w:cs="Arial"/>
          <w:sz w:val="20"/>
          <w:szCs w:val="20"/>
        </w:rPr>
        <w:t xml:space="preserve"> </w:t>
      </w:r>
      <w:r w:rsidR="007230B0" w:rsidRPr="004433B1">
        <w:rPr>
          <w:rFonts w:ascii="Arial" w:hAnsi="Arial" w:cs="Arial"/>
          <w:sz w:val="20"/>
          <w:szCs w:val="20"/>
        </w:rPr>
        <w:t xml:space="preserve">and the lowest in Region </w:t>
      </w:r>
      <w:r w:rsidR="00FA0E38" w:rsidRPr="004433B1">
        <w:rPr>
          <w:rFonts w:ascii="Arial" w:hAnsi="Arial" w:cs="Arial"/>
          <w:sz w:val="20"/>
          <w:szCs w:val="20"/>
        </w:rPr>
        <w:t>Vojvodine</w:t>
      </w:r>
      <w:r w:rsidR="007230B0" w:rsidRPr="004433B1">
        <w:rPr>
          <w:rFonts w:ascii="Arial" w:hAnsi="Arial" w:cs="Arial"/>
          <w:sz w:val="20"/>
          <w:szCs w:val="20"/>
        </w:rPr>
        <w:t xml:space="preserve"> </w:t>
      </w:r>
      <w:r w:rsidRPr="004433B1">
        <w:rPr>
          <w:rFonts w:ascii="Arial" w:hAnsi="Arial" w:cs="Arial"/>
          <w:sz w:val="20"/>
          <w:szCs w:val="20"/>
        </w:rPr>
        <w:t>(2</w:t>
      </w:r>
      <w:r w:rsidR="00FA0E38" w:rsidRPr="004433B1">
        <w:rPr>
          <w:rFonts w:ascii="Arial" w:hAnsi="Arial" w:cs="Arial"/>
          <w:sz w:val="20"/>
          <w:szCs w:val="20"/>
        </w:rPr>
        <w:t>9</w:t>
      </w:r>
      <w:r w:rsidR="007230B0" w:rsidRPr="004433B1">
        <w:rPr>
          <w:rFonts w:ascii="Arial" w:hAnsi="Arial" w:cs="Arial"/>
          <w:sz w:val="20"/>
          <w:szCs w:val="20"/>
        </w:rPr>
        <w:t>.</w:t>
      </w:r>
      <w:r w:rsidR="00FA0E38" w:rsidRPr="004433B1">
        <w:rPr>
          <w:rFonts w:ascii="Arial" w:hAnsi="Arial" w:cs="Arial"/>
          <w:sz w:val="20"/>
          <w:szCs w:val="20"/>
        </w:rPr>
        <w:t>7</w:t>
      </w:r>
      <w:r w:rsidRPr="004433B1">
        <w:rPr>
          <w:rFonts w:ascii="Arial" w:hAnsi="Arial" w:cs="Arial"/>
          <w:sz w:val="20"/>
          <w:szCs w:val="20"/>
        </w:rPr>
        <w:t>%).</w:t>
      </w:r>
    </w:p>
    <w:p w:rsidR="007230B0" w:rsidRPr="004433B1" w:rsidRDefault="007230B0" w:rsidP="007230B0">
      <w:pPr>
        <w:spacing w:before="120" w:after="120" w:line="300" w:lineRule="auto"/>
        <w:ind w:firstLine="397"/>
        <w:jc w:val="both"/>
        <w:rPr>
          <w:rFonts w:ascii="Arial" w:hAnsi="Arial" w:cs="Arial"/>
          <w:sz w:val="20"/>
          <w:szCs w:val="20"/>
        </w:rPr>
      </w:pPr>
      <w:r w:rsidRPr="004433B1">
        <w:rPr>
          <w:rFonts w:ascii="Arial" w:hAnsi="Arial" w:cs="Arial"/>
          <w:b/>
          <w:sz w:val="20"/>
          <w:szCs w:val="20"/>
        </w:rPr>
        <w:t>NEET rate</w:t>
      </w:r>
      <w:r w:rsidRPr="004433B1">
        <w:rPr>
          <w:rFonts w:ascii="Arial" w:hAnsi="Arial" w:cs="Arial"/>
          <w:sz w:val="20"/>
          <w:szCs w:val="20"/>
        </w:rPr>
        <w:t xml:space="preserve"> was 17.</w:t>
      </w:r>
      <w:r w:rsidR="00FA0E38" w:rsidRPr="004433B1">
        <w:rPr>
          <w:rFonts w:ascii="Arial" w:hAnsi="Arial" w:cs="Arial"/>
          <w:sz w:val="20"/>
          <w:szCs w:val="20"/>
        </w:rPr>
        <w:t>6</w:t>
      </w:r>
      <w:r w:rsidRPr="004433B1">
        <w:rPr>
          <w:rFonts w:ascii="Arial" w:hAnsi="Arial" w:cs="Arial"/>
          <w:sz w:val="20"/>
          <w:szCs w:val="20"/>
        </w:rPr>
        <w:t xml:space="preserve">%, denoting increase of </w:t>
      </w:r>
      <w:r w:rsidR="00FA0E38" w:rsidRPr="004433B1">
        <w:rPr>
          <w:rFonts w:ascii="Arial" w:hAnsi="Arial" w:cs="Arial"/>
          <w:sz w:val="20"/>
          <w:szCs w:val="20"/>
        </w:rPr>
        <w:t>0</w:t>
      </w:r>
      <w:r w:rsidRPr="004433B1">
        <w:rPr>
          <w:rFonts w:ascii="Arial" w:hAnsi="Arial" w:cs="Arial"/>
          <w:sz w:val="20"/>
          <w:szCs w:val="20"/>
        </w:rPr>
        <w:t>.</w:t>
      </w:r>
      <w:r w:rsidR="00FA0E38" w:rsidRPr="004433B1">
        <w:rPr>
          <w:rFonts w:ascii="Arial" w:hAnsi="Arial" w:cs="Arial"/>
          <w:sz w:val="20"/>
          <w:szCs w:val="20"/>
        </w:rPr>
        <w:t>5</w:t>
      </w:r>
      <w:r w:rsidRPr="004433B1">
        <w:rPr>
          <w:rFonts w:ascii="Arial" w:hAnsi="Arial" w:cs="Arial"/>
          <w:sz w:val="20"/>
          <w:szCs w:val="20"/>
        </w:rPr>
        <w:t xml:space="preserve"> p.p. relative to the previous quarter, i.e. </w:t>
      </w:r>
      <w:r w:rsidR="00FA0E38" w:rsidRPr="004433B1">
        <w:rPr>
          <w:rFonts w:ascii="Arial" w:hAnsi="Arial" w:cs="Arial"/>
          <w:sz w:val="20"/>
          <w:szCs w:val="20"/>
        </w:rPr>
        <w:t>in</w:t>
      </w:r>
      <w:r w:rsidRPr="004433B1">
        <w:rPr>
          <w:rFonts w:ascii="Arial" w:hAnsi="Arial" w:cs="Arial"/>
          <w:sz w:val="20"/>
          <w:szCs w:val="20"/>
        </w:rPr>
        <w:t xml:space="preserve">crease of 1.1 p.p. relative to the </w:t>
      </w:r>
      <w:r w:rsidR="00FA0E38" w:rsidRPr="004433B1">
        <w:rPr>
          <w:rFonts w:ascii="Arial" w:hAnsi="Arial" w:cs="Arial"/>
          <w:sz w:val="20"/>
          <w:szCs w:val="20"/>
        </w:rPr>
        <w:t>fourth</w:t>
      </w:r>
      <w:r w:rsidRPr="004433B1">
        <w:rPr>
          <w:rFonts w:ascii="Arial" w:hAnsi="Arial" w:cs="Arial"/>
          <w:sz w:val="20"/>
          <w:szCs w:val="20"/>
        </w:rPr>
        <w:t xml:space="preserve"> quarter 2016.</w:t>
      </w:r>
    </w:p>
    <w:p w:rsidR="00066E6C" w:rsidRPr="004433B1" w:rsidRDefault="00066E6C" w:rsidP="00BA2E8C">
      <w:pPr>
        <w:spacing w:before="480" w:after="360"/>
        <w:jc w:val="center"/>
        <w:rPr>
          <w:rFonts w:ascii="Arial" w:hAnsi="Arial" w:cs="Arial"/>
          <w:b/>
          <w:bCs/>
        </w:rPr>
      </w:pPr>
      <w:r w:rsidRPr="004433B1">
        <w:rPr>
          <w:rFonts w:ascii="Arial" w:hAnsi="Arial" w:cs="Arial"/>
          <w:b/>
          <w:bCs/>
        </w:rPr>
        <w:t>Inactive population</w:t>
      </w:r>
    </w:p>
    <w:p w:rsidR="00CE1BC3"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b/>
          <w:sz w:val="20"/>
          <w:szCs w:val="20"/>
        </w:rPr>
        <w:t>Number of inactive population</w:t>
      </w:r>
      <w:r w:rsidRPr="004433B1">
        <w:rPr>
          <w:rFonts w:ascii="Arial" w:hAnsi="Arial" w:cs="Arial"/>
          <w:sz w:val="20"/>
          <w:szCs w:val="20"/>
        </w:rPr>
        <w:t xml:space="preserve"> in the </w:t>
      </w:r>
      <w:r w:rsidR="001C6F3B" w:rsidRPr="004433B1">
        <w:rPr>
          <w:rFonts w:ascii="Arial" w:hAnsi="Arial" w:cs="Arial"/>
          <w:sz w:val="20"/>
          <w:szCs w:val="20"/>
        </w:rPr>
        <w:t>fourth</w:t>
      </w:r>
      <w:r w:rsidRPr="004433B1">
        <w:rPr>
          <w:rFonts w:ascii="Arial" w:hAnsi="Arial" w:cs="Arial"/>
          <w:sz w:val="20"/>
          <w:szCs w:val="20"/>
        </w:rPr>
        <w:t xml:space="preserve"> quarter 201</w:t>
      </w:r>
      <w:r w:rsidR="00CE1BC3" w:rsidRPr="004433B1">
        <w:rPr>
          <w:rFonts w:ascii="Arial" w:hAnsi="Arial" w:cs="Arial"/>
          <w:sz w:val="20"/>
          <w:szCs w:val="20"/>
        </w:rPr>
        <w:t>7</w:t>
      </w:r>
      <w:r w:rsidRPr="004433B1">
        <w:rPr>
          <w:rFonts w:ascii="Arial" w:hAnsi="Arial" w:cs="Arial"/>
          <w:sz w:val="20"/>
          <w:szCs w:val="20"/>
        </w:rPr>
        <w:t xml:space="preserve"> amounted to 2</w:t>
      </w:r>
      <w:r w:rsidR="000B6B19">
        <w:rPr>
          <w:rFonts w:ascii="Arial" w:hAnsi="Arial" w:cs="Arial"/>
          <w:sz w:val="20"/>
          <w:szCs w:val="20"/>
        </w:rPr>
        <w:t> </w:t>
      </w:r>
      <w:r w:rsidR="001C6F3B" w:rsidRPr="004433B1">
        <w:rPr>
          <w:rFonts w:ascii="Arial" w:hAnsi="Arial" w:cs="Arial"/>
          <w:sz w:val="20"/>
          <w:szCs w:val="20"/>
        </w:rPr>
        <w:t>735</w:t>
      </w:r>
      <w:r w:rsidR="000B6B19">
        <w:rPr>
          <w:rFonts w:ascii="Arial" w:hAnsi="Arial" w:cs="Arial"/>
          <w:sz w:val="20"/>
          <w:szCs w:val="20"/>
        </w:rPr>
        <w:t> </w:t>
      </w:r>
      <w:r w:rsidR="001C6F3B" w:rsidRPr="004433B1">
        <w:rPr>
          <w:rFonts w:ascii="Arial" w:hAnsi="Arial" w:cs="Arial"/>
          <w:sz w:val="20"/>
          <w:szCs w:val="20"/>
        </w:rPr>
        <w:t>0</w:t>
      </w:r>
      <w:r w:rsidRPr="004433B1">
        <w:rPr>
          <w:rFonts w:ascii="Arial" w:hAnsi="Arial" w:cs="Arial"/>
          <w:sz w:val="20"/>
          <w:szCs w:val="20"/>
        </w:rPr>
        <w:t xml:space="preserve">00, being by </w:t>
      </w:r>
      <w:r w:rsidR="001C6F3B" w:rsidRPr="004433B1">
        <w:rPr>
          <w:rFonts w:ascii="Arial" w:hAnsi="Arial" w:cs="Arial"/>
          <w:sz w:val="20"/>
          <w:szCs w:val="20"/>
        </w:rPr>
        <w:t>63</w:t>
      </w:r>
      <w:r w:rsidR="000B6B19">
        <w:rPr>
          <w:rFonts w:ascii="Arial" w:hAnsi="Arial" w:cs="Arial"/>
          <w:sz w:val="20"/>
          <w:szCs w:val="20"/>
        </w:rPr>
        <w:t> </w:t>
      </w:r>
      <w:r w:rsidR="001C6F3B" w:rsidRPr="004433B1">
        <w:rPr>
          <w:rFonts w:ascii="Arial" w:hAnsi="Arial" w:cs="Arial"/>
          <w:sz w:val="20"/>
          <w:szCs w:val="20"/>
        </w:rPr>
        <w:t>9</w:t>
      </w:r>
      <w:r w:rsidRPr="004433B1">
        <w:rPr>
          <w:rFonts w:ascii="Arial" w:hAnsi="Arial" w:cs="Arial"/>
          <w:sz w:val="20"/>
          <w:szCs w:val="20"/>
        </w:rPr>
        <w:t xml:space="preserve">00 </w:t>
      </w:r>
      <w:r w:rsidR="001C6F3B" w:rsidRPr="004433B1">
        <w:rPr>
          <w:rFonts w:ascii="Arial" w:hAnsi="Arial" w:cs="Arial"/>
          <w:sz w:val="20"/>
          <w:szCs w:val="20"/>
        </w:rPr>
        <w:t>more</w:t>
      </w:r>
      <w:r w:rsidRPr="004433B1">
        <w:rPr>
          <w:rFonts w:ascii="Arial" w:hAnsi="Arial" w:cs="Arial"/>
          <w:sz w:val="20"/>
          <w:szCs w:val="20"/>
        </w:rPr>
        <w:t xml:space="preserve"> relative to the previous quarter and by </w:t>
      </w:r>
      <w:r w:rsidR="001C6F3B" w:rsidRPr="004433B1">
        <w:rPr>
          <w:rFonts w:ascii="Arial" w:hAnsi="Arial" w:cs="Arial"/>
          <w:sz w:val="20"/>
          <w:szCs w:val="20"/>
        </w:rPr>
        <w:t>128</w:t>
      </w:r>
      <w:r w:rsidR="000B6B19">
        <w:rPr>
          <w:rFonts w:ascii="Arial" w:hAnsi="Arial" w:cs="Arial"/>
          <w:sz w:val="20"/>
          <w:szCs w:val="20"/>
        </w:rPr>
        <w:t> </w:t>
      </w:r>
      <w:r w:rsidR="00DF7622" w:rsidRPr="004433B1">
        <w:rPr>
          <w:rFonts w:ascii="Arial" w:hAnsi="Arial" w:cs="Arial"/>
          <w:sz w:val="20"/>
          <w:szCs w:val="20"/>
        </w:rPr>
        <w:t>0</w:t>
      </w:r>
      <w:r w:rsidRPr="004433B1">
        <w:rPr>
          <w:rFonts w:ascii="Arial" w:hAnsi="Arial" w:cs="Arial"/>
          <w:sz w:val="20"/>
          <w:szCs w:val="20"/>
        </w:rPr>
        <w:t xml:space="preserve">00 </w:t>
      </w:r>
      <w:r w:rsidR="000D30C6" w:rsidRPr="004433B1">
        <w:rPr>
          <w:rFonts w:ascii="Arial" w:hAnsi="Arial" w:cs="Arial"/>
          <w:sz w:val="20"/>
          <w:szCs w:val="20"/>
        </w:rPr>
        <w:t>less</w:t>
      </w:r>
      <w:r w:rsidRPr="004433B1">
        <w:rPr>
          <w:rFonts w:ascii="Arial" w:hAnsi="Arial" w:cs="Arial"/>
          <w:sz w:val="20"/>
          <w:szCs w:val="20"/>
        </w:rPr>
        <w:t xml:space="preserve"> compared to the </w:t>
      </w:r>
      <w:r w:rsidR="001C6F3B" w:rsidRPr="004433B1">
        <w:rPr>
          <w:rFonts w:ascii="Arial" w:hAnsi="Arial" w:cs="Arial"/>
          <w:sz w:val="20"/>
          <w:szCs w:val="20"/>
        </w:rPr>
        <w:t>fourth</w:t>
      </w:r>
      <w:r w:rsidRPr="004433B1">
        <w:rPr>
          <w:rFonts w:ascii="Arial" w:hAnsi="Arial" w:cs="Arial"/>
          <w:sz w:val="20"/>
          <w:szCs w:val="20"/>
        </w:rPr>
        <w:t xml:space="preserve"> quarter 201</w:t>
      </w:r>
      <w:r w:rsidR="00CE1BC3" w:rsidRPr="004433B1">
        <w:rPr>
          <w:rFonts w:ascii="Arial" w:hAnsi="Arial" w:cs="Arial"/>
          <w:sz w:val="20"/>
          <w:szCs w:val="20"/>
        </w:rPr>
        <w:t>6</w:t>
      </w:r>
      <w:r w:rsidRPr="004433B1">
        <w:rPr>
          <w:rFonts w:ascii="Arial" w:hAnsi="Arial" w:cs="Arial"/>
          <w:sz w:val="20"/>
          <w:szCs w:val="20"/>
        </w:rPr>
        <w:t xml:space="preserve">. </w:t>
      </w:r>
    </w:p>
    <w:p w:rsidR="00CE1BC3" w:rsidRPr="004433B1" w:rsidRDefault="00066E6C" w:rsidP="00CD63C0">
      <w:pPr>
        <w:spacing w:before="120" w:after="0" w:line="300" w:lineRule="auto"/>
        <w:ind w:firstLine="397"/>
        <w:jc w:val="both"/>
        <w:rPr>
          <w:rFonts w:ascii="Arial" w:hAnsi="Arial" w:cs="Arial"/>
          <w:sz w:val="20"/>
          <w:szCs w:val="20"/>
        </w:rPr>
      </w:pPr>
      <w:r w:rsidRPr="004433B1">
        <w:rPr>
          <w:rFonts w:ascii="Arial" w:hAnsi="Arial" w:cs="Arial"/>
          <w:b/>
          <w:sz w:val="20"/>
          <w:szCs w:val="20"/>
        </w:rPr>
        <w:t>Inactivity rate</w:t>
      </w:r>
      <w:r w:rsidRPr="004433B1">
        <w:rPr>
          <w:rFonts w:ascii="Arial" w:hAnsi="Arial" w:cs="Arial"/>
          <w:sz w:val="20"/>
          <w:szCs w:val="20"/>
        </w:rPr>
        <w:t xml:space="preserve"> is 4</w:t>
      </w:r>
      <w:r w:rsidR="001C6F3B" w:rsidRPr="004433B1">
        <w:rPr>
          <w:rFonts w:ascii="Arial" w:hAnsi="Arial" w:cs="Arial"/>
          <w:sz w:val="20"/>
          <w:szCs w:val="20"/>
        </w:rPr>
        <w:t>5</w:t>
      </w:r>
      <w:r w:rsidRPr="004433B1">
        <w:rPr>
          <w:rFonts w:ascii="Arial" w:hAnsi="Arial" w:cs="Arial"/>
          <w:sz w:val="20"/>
          <w:szCs w:val="20"/>
        </w:rPr>
        <w:t>.</w:t>
      </w:r>
      <w:r w:rsidR="001C6F3B" w:rsidRPr="004433B1">
        <w:rPr>
          <w:rFonts w:ascii="Arial" w:hAnsi="Arial" w:cs="Arial"/>
          <w:sz w:val="20"/>
          <w:szCs w:val="20"/>
        </w:rPr>
        <w:t>8</w:t>
      </w:r>
      <w:r w:rsidRPr="004433B1">
        <w:rPr>
          <w:rFonts w:ascii="Arial" w:hAnsi="Arial" w:cs="Arial"/>
          <w:sz w:val="20"/>
          <w:szCs w:val="20"/>
        </w:rPr>
        <w:t xml:space="preserve">%, i.e. by </w:t>
      </w:r>
      <w:r w:rsidR="001C6F3B" w:rsidRPr="004433B1">
        <w:rPr>
          <w:rFonts w:ascii="Arial" w:hAnsi="Arial" w:cs="Arial"/>
          <w:sz w:val="20"/>
          <w:szCs w:val="20"/>
        </w:rPr>
        <w:t>1</w:t>
      </w:r>
      <w:r w:rsidRPr="004433B1">
        <w:rPr>
          <w:rFonts w:ascii="Arial" w:hAnsi="Arial" w:cs="Arial"/>
          <w:sz w:val="20"/>
          <w:szCs w:val="20"/>
        </w:rPr>
        <w:t>.</w:t>
      </w:r>
      <w:r w:rsidR="001C6F3B" w:rsidRPr="004433B1">
        <w:rPr>
          <w:rFonts w:ascii="Arial" w:hAnsi="Arial" w:cs="Arial"/>
          <w:sz w:val="20"/>
          <w:szCs w:val="20"/>
        </w:rPr>
        <w:t>1</w:t>
      </w:r>
      <w:r w:rsidRPr="004433B1">
        <w:rPr>
          <w:rFonts w:ascii="Arial" w:hAnsi="Arial" w:cs="Arial"/>
          <w:sz w:val="20"/>
          <w:szCs w:val="20"/>
        </w:rPr>
        <w:t xml:space="preserve"> p.p. </w:t>
      </w:r>
      <w:r w:rsidR="001C6F3B" w:rsidRPr="004433B1">
        <w:rPr>
          <w:rFonts w:ascii="Arial" w:hAnsi="Arial" w:cs="Arial"/>
          <w:sz w:val="20"/>
          <w:szCs w:val="20"/>
        </w:rPr>
        <w:t>more</w:t>
      </w:r>
      <w:r w:rsidRPr="004433B1">
        <w:rPr>
          <w:rFonts w:ascii="Arial" w:hAnsi="Arial" w:cs="Arial"/>
          <w:sz w:val="20"/>
          <w:szCs w:val="20"/>
        </w:rPr>
        <w:t xml:space="preserve"> than in the previous quarter, being significantly greater in female population (5</w:t>
      </w:r>
      <w:r w:rsidR="001C6F3B" w:rsidRPr="004433B1">
        <w:rPr>
          <w:rFonts w:ascii="Arial" w:hAnsi="Arial" w:cs="Arial"/>
          <w:sz w:val="20"/>
          <w:szCs w:val="20"/>
        </w:rPr>
        <w:t>3</w:t>
      </w:r>
      <w:r w:rsidRPr="004433B1">
        <w:rPr>
          <w:rFonts w:ascii="Arial" w:hAnsi="Arial" w:cs="Arial"/>
          <w:sz w:val="20"/>
          <w:szCs w:val="20"/>
        </w:rPr>
        <w:t>.</w:t>
      </w:r>
      <w:r w:rsidR="001C6F3B" w:rsidRPr="004433B1">
        <w:rPr>
          <w:rFonts w:ascii="Arial" w:hAnsi="Arial" w:cs="Arial"/>
          <w:sz w:val="20"/>
          <w:szCs w:val="20"/>
        </w:rPr>
        <w:t>8</w:t>
      </w:r>
      <w:r w:rsidRPr="004433B1">
        <w:rPr>
          <w:rFonts w:ascii="Arial" w:hAnsi="Arial" w:cs="Arial"/>
          <w:sz w:val="20"/>
          <w:szCs w:val="20"/>
        </w:rPr>
        <w:t>%) than in male population (</w:t>
      </w:r>
      <w:r w:rsidR="000D30C6" w:rsidRPr="004433B1">
        <w:rPr>
          <w:rFonts w:ascii="Arial" w:hAnsi="Arial" w:cs="Arial"/>
          <w:sz w:val="20"/>
          <w:szCs w:val="20"/>
        </w:rPr>
        <w:t>3</w:t>
      </w:r>
      <w:r w:rsidR="001C6F3B" w:rsidRPr="004433B1">
        <w:rPr>
          <w:rFonts w:ascii="Arial" w:hAnsi="Arial" w:cs="Arial"/>
          <w:sz w:val="20"/>
          <w:szCs w:val="20"/>
        </w:rPr>
        <w:t>7</w:t>
      </w:r>
      <w:r w:rsidRPr="004433B1">
        <w:rPr>
          <w:rFonts w:ascii="Arial" w:hAnsi="Arial" w:cs="Arial"/>
          <w:sz w:val="20"/>
          <w:szCs w:val="20"/>
        </w:rPr>
        <w:t>.</w:t>
      </w:r>
      <w:r w:rsidR="001C6F3B" w:rsidRPr="004433B1">
        <w:rPr>
          <w:rFonts w:ascii="Arial" w:hAnsi="Arial" w:cs="Arial"/>
          <w:sz w:val="20"/>
          <w:szCs w:val="20"/>
        </w:rPr>
        <w:t>2</w:t>
      </w:r>
      <w:r w:rsidRPr="004433B1">
        <w:rPr>
          <w:rFonts w:ascii="Arial" w:hAnsi="Arial" w:cs="Arial"/>
          <w:sz w:val="20"/>
          <w:szCs w:val="20"/>
        </w:rPr>
        <w:t xml:space="preserve">%). </w:t>
      </w:r>
    </w:p>
    <w:p w:rsidR="00066E6C" w:rsidRPr="004433B1" w:rsidRDefault="00066E6C" w:rsidP="00CD63C0">
      <w:pPr>
        <w:spacing w:before="120" w:after="0" w:line="300" w:lineRule="auto"/>
        <w:ind w:firstLine="403"/>
        <w:jc w:val="both"/>
        <w:rPr>
          <w:rFonts w:ascii="Arial" w:hAnsi="Arial" w:cs="Arial"/>
          <w:sz w:val="20"/>
          <w:szCs w:val="20"/>
        </w:rPr>
      </w:pPr>
      <w:r w:rsidRPr="004433B1">
        <w:rPr>
          <w:rFonts w:ascii="Arial" w:hAnsi="Arial" w:cs="Arial"/>
          <w:sz w:val="20"/>
          <w:szCs w:val="20"/>
        </w:rPr>
        <w:t xml:space="preserve">Relative to the </w:t>
      </w:r>
      <w:r w:rsidR="001C6F3B" w:rsidRPr="004433B1">
        <w:rPr>
          <w:rFonts w:ascii="Arial" w:hAnsi="Arial" w:cs="Arial"/>
          <w:sz w:val="20"/>
          <w:szCs w:val="20"/>
        </w:rPr>
        <w:t>fourth</w:t>
      </w:r>
      <w:r w:rsidR="00837688" w:rsidRPr="004433B1">
        <w:rPr>
          <w:rFonts w:ascii="Arial" w:hAnsi="Arial" w:cs="Arial"/>
          <w:sz w:val="20"/>
          <w:szCs w:val="20"/>
        </w:rPr>
        <w:t xml:space="preserve"> </w:t>
      </w:r>
      <w:r w:rsidRPr="004433B1">
        <w:rPr>
          <w:rFonts w:ascii="Arial" w:hAnsi="Arial" w:cs="Arial"/>
          <w:sz w:val="20"/>
          <w:szCs w:val="20"/>
        </w:rPr>
        <w:t>quarter 201</w:t>
      </w:r>
      <w:r w:rsidR="00CE1BC3" w:rsidRPr="004433B1">
        <w:rPr>
          <w:rFonts w:ascii="Arial" w:hAnsi="Arial" w:cs="Arial"/>
          <w:sz w:val="20"/>
          <w:szCs w:val="20"/>
        </w:rPr>
        <w:t>6</w:t>
      </w:r>
      <w:r w:rsidRPr="004433B1">
        <w:rPr>
          <w:rFonts w:ascii="Arial" w:hAnsi="Arial" w:cs="Arial"/>
          <w:sz w:val="20"/>
          <w:szCs w:val="20"/>
        </w:rPr>
        <w:t xml:space="preserve">, inactivity rate </w:t>
      </w:r>
      <w:r w:rsidR="000D30C6" w:rsidRPr="004433B1">
        <w:rPr>
          <w:rFonts w:ascii="Arial" w:hAnsi="Arial" w:cs="Arial"/>
          <w:sz w:val="20"/>
          <w:szCs w:val="20"/>
        </w:rPr>
        <w:t>de</w:t>
      </w:r>
      <w:r w:rsidRPr="004433B1">
        <w:rPr>
          <w:rFonts w:ascii="Arial" w:hAnsi="Arial" w:cs="Arial"/>
          <w:sz w:val="20"/>
          <w:szCs w:val="20"/>
        </w:rPr>
        <w:t xml:space="preserve">creased by </w:t>
      </w:r>
      <w:r w:rsidR="00DF7622" w:rsidRPr="004433B1">
        <w:rPr>
          <w:rFonts w:ascii="Arial" w:hAnsi="Arial" w:cs="Arial"/>
          <w:sz w:val="20"/>
          <w:szCs w:val="20"/>
        </w:rPr>
        <w:t>1</w:t>
      </w:r>
      <w:r w:rsidRPr="004433B1">
        <w:rPr>
          <w:rFonts w:ascii="Arial" w:hAnsi="Arial" w:cs="Arial"/>
          <w:sz w:val="20"/>
          <w:szCs w:val="20"/>
        </w:rPr>
        <w:t>.</w:t>
      </w:r>
      <w:r w:rsidR="001C6F3B" w:rsidRPr="004433B1">
        <w:rPr>
          <w:rFonts w:ascii="Arial" w:hAnsi="Arial" w:cs="Arial"/>
          <w:sz w:val="20"/>
          <w:szCs w:val="20"/>
        </w:rPr>
        <w:t>9</w:t>
      </w:r>
      <w:r w:rsidRPr="004433B1">
        <w:rPr>
          <w:rFonts w:ascii="Arial" w:hAnsi="Arial" w:cs="Arial"/>
          <w:sz w:val="20"/>
          <w:szCs w:val="20"/>
        </w:rPr>
        <w:t xml:space="preserve"> p.p.  </w:t>
      </w:r>
    </w:p>
    <w:p w:rsidR="001C6F3B" w:rsidRPr="004433B1" w:rsidRDefault="001C6F3B" w:rsidP="00CD63C0">
      <w:pPr>
        <w:spacing w:before="120" w:after="0" w:line="300" w:lineRule="auto"/>
        <w:ind w:firstLine="403"/>
        <w:jc w:val="both"/>
        <w:rPr>
          <w:rFonts w:ascii="Arial" w:hAnsi="Arial" w:cs="Arial"/>
          <w:sz w:val="20"/>
          <w:szCs w:val="20"/>
        </w:rPr>
      </w:pPr>
    </w:p>
    <w:p w:rsidR="00066E6C" w:rsidRPr="004433B1" w:rsidRDefault="001A2C58" w:rsidP="00907CC6">
      <w:pPr>
        <w:spacing w:before="120" w:after="120"/>
        <w:jc w:val="both"/>
        <w:rPr>
          <w:rFonts w:ascii="Arial" w:hAnsi="Arial" w:cs="Arial"/>
          <w:sz w:val="20"/>
          <w:szCs w:val="20"/>
        </w:rPr>
      </w:pPr>
      <w:r w:rsidRPr="004433B1">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183515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B16406" w:rsidRPr="0008457F" w:rsidRDefault="00B16406"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B16406" w:rsidRPr="009F02F9" w:rsidRDefault="00B16406"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6pt;margin-top:14.4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" fillcolor="#f2f2f2" strokecolor="#0c5498" strokeweight="1pt">
                <v:textbox inset="0,0,0,0">
                  <w:txbxContent>
                    <w:p w:rsidR="00B16406" w:rsidRPr="0008457F" w:rsidRDefault="00B16406"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B16406" w:rsidRPr="009F02F9" w:rsidRDefault="00B16406"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4433B1" w:rsidRDefault="00066E6C" w:rsidP="00907CC6">
      <w:pPr>
        <w:spacing w:before="120" w:after="120"/>
        <w:jc w:val="both"/>
        <w:rPr>
          <w:rFonts w:ascii="Arial" w:hAnsi="Arial" w:cs="Arial"/>
          <w:sz w:val="20"/>
          <w:szCs w:val="20"/>
        </w:rPr>
      </w:pPr>
    </w:p>
    <w:p w:rsidR="00066E6C" w:rsidRPr="004433B1" w:rsidRDefault="00066E6C" w:rsidP="00E224BE">
      <w:pPr>
        <w:spacing w:before="120" w:after="120"/>
        <w:jc w:val="both"/>
        <w:rPr>
          <w:rFonts w:ascii="Arial" w:hAnsi="Arial" w:cs="Arial"/>
          <w:sz w:val="20"/>
          <w:szCs w:val="20"/>
        </w:rPr>
      </w:pPr>
    </w:p>
    <w:p w:rsidR="00066E6C" w:rsidRPr="004433B1" w:rsidRDefault="00066E6C" w:rsidP="005B7D36">
      <w:pPr>
        <w:jc w:val="both"/>
        <w:rPr>
          <w:rFonts w:ascii="Arial" w:hAnsi="Arial" w:cs="Arial"/>
          <w:b/>
          <w:bCs/>
        </w:rPr>
      </w:pPr>
    </w:p>
    <w:p w:rsidR="00BA2E8C" w:rsidRPr="004433B1" w:rsidRDefault="00BA2E8C">
      <w:pPr>
        <w:spacing w:after="0" w:line="240" w:lineRule="auto"/>
        <w:rPr>
          <w:rFonts w:ascii="Arial" w:hAnsi="Arial" w:cs="Arial"/>
          <w:b/>
          <w:bCs/>
          <w:sz w:val="20"/>
          <w:szCs w:val="20"/>
        </w:rPr>
      </w:pPr>
      <w:r w:rsidRPr="004433B1">
        <w:rPr>
          <w:rFonts w:ascii="Arial" w:hAnsi="Arial" w:cs="Arial"/>
          <w:b/>
          <w:bCs/>
          <w:sz w:val="20"/>
          <w:szCs w:val="20"/>
        </w:rPr>
        <w:br w:type="page"/>
      </w:r>
    </w:p>
    <w:p w:rsidR="00066E6C" w:rsidRPr="004433B1" w:rsidRDefault="00066E6C" w:rsidP="00D01843">
      <w:pPr>
        <w:spacing w:before="120" w:after="120" w:line="240" w:lineRule="auto"/>
        <w:jc w:val="center"/>
        <w:rPr>
          <w:rFonts w:ascii="Arial" w:hAnsi="Arial" w:cs="Arial"/>
          <w:sz w:val="20"/>
          <w:szCs w:val="20"/>
        </w:rPr>
      </w:pPr>
      <w:r w:rsidRPr="004433B1">
        <w:rPr>
          <w:rFonts w:ascii="Arial" w:hAnsi="Arial" w:cs="Arial"/>
          <w:b/>
          <w:bCs/>
          <w:sz w:val="20"/>
          <w:szCs w:val="20"/>
        </w:rPr>
        <w:lastRenderedPageBreak/>
        <w:t xml:space="preserve">Graph </w:t>
      </w:r>
      <w:r w:rsidR="00AC3D77" w:rsidRPr="004433B1">
        <w:rPr>
          <w:rFonts w:ascii="Arial" w:hAnsi="Arial" w:cs="Arial"/>
          <w:b/>
          <w:bCs/>
          <w:sz w:val="20"/>
          <w:szCs w:val="20"/>
        </w:rPr>
        <w:t>7</w:t>
      </w:r>
      <w:r w:rsidRPr="004433B1">
        <w:rPr>
          <w:rFonts w:ascii="Arial" w:hAnsi="Arial" w:cs="Arial"/>
          <w:b/>
          <w:bCs/>
          <w:sz w:val="20"/>
          <w:szCs w:val="20"/>
        </w:rPr>
        <w:t xml:space="preserve"> </w:t>
      </w:r>
      <w:r w:rsidRPr="004433B1">
        <w:rPr>
          <w:rFonts w:ascii="Arial" w:hAnsi="Arial" w:cs="Arial"/>
          <w:sz w:val="20"/>
          <w:szCs w:val="20"/>
        </w:rPr>
        <w:t>Inactive population</w:t>
      </w:r>
      <w:r w:rsidR="00AC3D77" w:rsidRPr="004433B1">
        <w:rPr>
          <w:rFonts w:ascii="Arial" w:hAnsi="Arial" w:cs="Arial"/>
          <w:sz w:val="20"/>
          <w:szCs w:val="20"/>
        </w:rPr>
        <w:t xml:space="preserve"> aged 15</w:t>
      </w:r>
      <w:r w:rsidR="00BA2E8C" w:rsidRPr="004433B1">
        <w:rPr>
          <w:rFonts w:ascii="Arial" w:hAnsi="Arial" w:cs="Arial"/>
          <w:sz w:val="20"/>
          <w:szCs w:val="20"/>
        </w:rPr>
        <w:t>–</w:t>
      </w:r>
      <w:r w:rsidR="00CE1BC3" w:rsidRPr="004433B1">
        <w:rPr>
          <w:rFonts w:ascii="Arial" w:hAnsi="Arial" w:cs="Arial"/>
          <w:sz w:val="20"/>
          <w:szCs w:val="20"/>
        </w:rPr>
        <w:t>74</w:t>
      </w:r>
      <w:r w:rsidR="00AC3D77" w:rsidRPr="004433B1">
        <w:rPr>
          <w:rFonts w:ascii="Arial" w:hAnsi="Arial" w:cs="Arial"/>
          <w:sz w:val="20"/>
          <w:szCs w:val="20"/>
        </w:rPr>
        <w:t>,</w:t>
      </w:r>
      <w:r w:rsidRPr="004433B1">
        <w:rPr>
          <w:rFonts w:ascii="Arial" w:hAnsi="Arial" w:cs="Arial"/>
          <w:sz w:val="20"/>
          <w:szCs w:val="20"/>
        </w:rPr>
        <w:t xml:space="preserve"> by employment opportunities and age groups</w:t>
      </w:r>
      <w:r w:rsidR="00AC3D77" w:rsidRPr="004433B1">
        <w:rPr>
          <w:rFonts w:ascii="Arial" w:hAnsi="Arial" w:cs="Arial"/>
          <w:sz w:val="20"/>
          <w:szCs w:val="20"/>
        </w:rPr>
        <w:t xml:space="preserve"> (in thousands), Q</w:t>
      </w:r>
      <w:r w:rsidR="007D4358" w:rsidRPr="004433B1">
        <w:rPr>
          <w:rFonts w:ascii="Arial" w:hAnsi="Arial" w:cs="Arial"/>
          <w:sz w:val="20"/>
          <w:szCs w:val="20"/>
        </w:rPr>
        <w:t>4</w:t>
      </w:r>
      <w:r w:rsidR="00AC3D77" w:rsidRPr="004433B1">
        <w:rPr>
          <w:rFonts w:ascii="Arial" w:hAnsi="Arial" w:cs="Arial"/>
          <w:sz w:val="20"/>
          <w:szCs w:val="20"/>
        </w:rPr>
        <w:t xml:space="preserve"> 201</w:t>
      </w:r>
      <w:r w:rsidR="00CE1BC3" w:rsidRPr="004433B1">
        <w:rPr>
          <w:rFonts w:ascii="Arial" w:hAnsi="Arial" w:cs="Arial"/>
          <w:sz w:val="20"/>
          <w:szCs w:val="20"/>
        </w:rPr>
        <w:t>7</w:t>
      </w:r>
    </w:p>
    <w:p w:rsidR="00066E6C" w:rsidRPr="004433B1" w:rsidRDefault="000B6B19" w:rsidP="00EB573C">
      <w:pPr>
        <w:spacing w:after="0"/>
        <w:jc w:val="center"/>
        <w:rPr>
          <w:rFonts w:ascii="Arial" w:hAnsi="Arial" w:cs="Arial"/>
          <w:b/>
          <w:bCs/>
        </w:rPr>
      </w:pPr>
      <w:r w:rsidRPr="000B6B19">
        <w:rPr>
          <w:rFonts w:ascii="Arial" w:hAnsi="Arial" w:cs="Arial"/>
          <w:b/>
          <w:bCs/>
          <w:noProof/>
          <w:lang w:val="en-US"/>
        </w:rPr>
        <w:drawing>
          <wp:inline distT="0" distB="0" distL="0" distR="0">
            <wp:extent cx="5362575" cy="3314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314700"/>
                    </a:xfrm>
                    <a:prstGeom prst="rect">
                      <a:avLst/>
                    </a:prstGeom>
                    <a:noFill/>
                    <a:ln>
                      <a:noFill/>
                    </a:ln>
                  </pic:spPr>
                </pic:pic>
              </a:graphicData>
            </a:graphic>
          </wp:inline>
        </w:drawing>
      </w:r>
    </w:p>
    <w:p w:rsidR="00D21246" w:rsidRDefault="00D21246" w:rsidP="00137779">
      <w:pPr>
        <w:spacing w:after="0" w:line="240" w:lineRule="auto"/>
        <w:jc w:val="center"/>
        <w:rPr>
          <w:rFonts w:ascii="Arial" w:eastAsia="Times New Roman" w:hAnsi="Arial" w:cs="Arial"/>
          <w:sz w:val="10"/>
          <w:szCs w:val="10"/>
        </w:rPr>
      </w:pPr>
    </w:p>
    <w:p w:rsidR="00CF366C" w:rsidRPr="004433B1" w:rsidRDefault="001A2C58" w:rsidP="00137779">
      <w:pPr>
        <w:spacing w:after="0" w:line="240" w:lineRule="auto"/>
        <w:jc w:val="center"/>
        <w:rPr>
          <w:rFonts w:ascii="Arial" w:eastAsia="Times New Roman" w:hAnsi="Arial" w:cs="Arial"/>
          <w:sz w:val="10"/>
          <w:szCs w:val="10"/>
        </w:rPr>
      </w:pPr>
      <w:r w:rsidRPr="004433B1">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C83DBF"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4433B1" w:rsidRDefault="00066E6C" w:rsidP="000D2480">
      <w:pPr>
        <w:spacing w:before="120" w:after="0" w:line="240" w:lineRule="auto"/>
        <w:ind w:left="142" w:hanging="142"/>
        <w:jc w:val="both"/>
        <w:rPr>
          <w:rFonts w:ascii="Arial" w:hAnsi="Arial" w:cs="Arial"/>
          <w:sz w:val="16"/>
          <w:szCs w:val="16"/>
        </w:rPr>
      </w:pPr>
      <w:r w:rsidRPr="004433B1">
        <w:rPr>
          <w:rFonts w:ascii="Arial" w:hAnsi="Arial" w:cs="Arial"/>
          <w:sz w:val="16"/>
          <w:szCs w:val="16"/>
          <w:vertAlign w:val="superscript"/>
        </w:rPr>
        <w:t>1)</w:t>
      </w:r>
      <w:r w:rsidRPr="004433B1">
        <w:rPr>
          <w:rFonts w:ascii="Arial" w:hAnsi="Arial" w:cs="Arial"/>
          <w:sz w:val="16"/>
          <w:szCs w:val="16"/>
        </w:rPr>
        <w:t xml:space="preserve"> Reasons for not wanting to work can be: schooling or training, disease or incapacity, pension, care of children or incapable adults, lost hope in possibility of finding a job or other personal or family reasons.    </w:t>
      </w:r>
    </w:p>
    <w:p w:rsidR="00066E6C" w:rsidRPr="004433B1" w:rsidRDefault="00066E6C" w:rsidP="000D2480">
      <w:pPr>
        <w:spacing w:before="120" w:after="0"/>
        <w:ind w:left="142" w:hanging="142"/>
        <w:jc w:val="both"/>
        <w:rPr>
          <w:rFonts w:ascii="Arial" w:hAnsi="Arial" w:cs="Arial"/>
          <w:sz w:val="16"/>
          <w:szCs w:val="16"/>
        </w:rPr>
      </w:pPr>
      <w:r w:rsidRPr="004433B1">
        <w:rPr>
          <w:rFonts w:ascii="Arial" w:hAnsi="Arial" w:cs="Arial"/>
          <w:sz w:val="16"/>
          <w:szCs w:val="16"/>
          <w:vertAlign w:val="superscript"/>
        </w:rPr>
        <w:t>2)</w:t>
      </w:r>
      <w:r w:rsidRPr="004433B1">
        <w:rPr>
          <w:rFonts w:ascii="Arial" w:hAnsi="Arial" w:cs="Arial"/>
          <w:sz w:val="16"/>
          <w:szCs w:val="16"/>
        </w:rPr>
        <w:t xml:space="preserve"> Persons who wish but are not able to start working due to schooling, disease or incapacity, compulsory social work or personal reasons.   </w:t>
      </w:r>
    </w:p>
    <w:p w:rsidR="00066E6C" w:rsidRPr="004433B1" w:rsidRDefault="00066E6C" w:rsidP="00137779">
      <w:pPr>
        <w:spacing w:before="120" w:after="0"/>
        <w:jc w:val="both"/>
        <w:rPr>
          <w:rFonts w:ascii="Arial" w:hAnsi="Arial" w:cs="Arial"/>
          <w:b/>
          <w:bCs/>
        </w:rPr>
      </w:pPr>
      <w:r w:rsidRPr="004433B1">
        <w:rPr>
          <w:rFonts w:ascii="Arial" w:hAnsi="Arial" w:cs="Arial"/>
          <w:sz w:val="16"/>
          <w:szCs w:val="16"/>
          <w:vertAlign w:val="superscript"/>
        </w:rPr>
        <w:t>3)</w:t>
      </w:r>
      <w:r w:rsidRPr="004433B1">
        <w:rPr>
          <w:rFonts w:ascii="Arial" w:hAnsi="Arial" w:cs="Arial"/>
          <w:sz w:val="16"/>
          <w:szCs w:val="16"/>
        </w:rPr>
        <w:t xml:space="preserve"> Persons who want to work (would accept job in case it is offered) and are able to start working, but they do not actively seek a job.   </w:t>
      </w:r>
    </w:p>
    <w:p w:rsidR="00137779" w:rsidRPr="004433B1" w:rsidRDefault="00137779" w:rsidP="003725C0">
      <w:pPr>
        <w:spacing w:line="240" w:lineRule="auto"/>
        <w:ind w:firstLine="708"/>
        <w:rPr>
          <w:rFonts w:ascii="Arial" w:hAnsi="Arial" w:cs="Arial"/>
          <w:sz w:val="20"/>
          <w:szCs w:val="20"/>
        </w:rPr>
      </w:pPr>
    </w:p>
    <w:p w:rsidR="00AF2F5E" w:rsidRPr="004433B1" w:rsidRDefault="00066E6C" w:rsidP="004C0CF0">
      <w:pPr>
        <w:spacing w:before="120" w:after="120" w:line="300" w:lineRule="auto"/>
        <w:ind w:firstLine="709"/>
        <w:rPr>
          <w:rFonts w:ascii="Arial" w:hAnsi="Arial" w:cs="Arial"/>
          <w:sz w:val="20"/>
          <w:szCs w:val="20"/>
        </w:rPr>
      </w:pPr>
      <w:r w:rsidRPr="004433B1">
        <w:rPr>
          <w:rFonts w:ascii="Arial" w:hAnsi="Arial" w:cs="Arial"/>
          <w:sz w:val="20"/>
          <w:szCs w:val="20"/>
        </w:rPr>
        <w:t xml:space="preserve">For more detailed description of the Survey and definitions of labour force, see the methodology of Labour Force Survey on </w:t>
      </w:r>
      <w:hyperlink r:id="rId16" w:history="1">
        <w:r w:rsidRPr="004433B1">
          <w:rPr>
            <w:rStyle w:val="Hyperlink"/>
            <w:rFonts w:ascii="Arial" w:hAnsi="Arial" w:cs="Arial"/>
            <w:sz w:val="20"/>
            <w:szCs w:val="20"/>
          </w:rPr>
          <w:t>www.stat.gov.rs</w:t>
        </w:r>
      </w:hyperlink>
      <w:r w:rsidRPr="004433B1">
        <w:rPr>
          <w:rFonts w:ascii="Arial" w:hAnsi="Arial" w:cs="Arial"/>
          <w:sz w:val="20"/>
          <w:szCs w:val="20"/>
        </w:rPr>
        <w:t>.</w:t>
      </w:r>
    </w:p>
    <w:p w:rsidR="00066E6C" w:rsidRPr="004433B1" w:rsidRDefault="00066E6C" w:rsidP="005B7D36">
      <w:pPr>
        <w:jc w:val="center"/>
        <w:rPr>
          <w:rFonts w:ascii="Arial" w:hAnsi="Arial" w:cs="Arial"/>
          <w:b/>
          <w:bCs/>
        </w:rPr>
      </w:pPr>
    </w:p>
    <w:p w:rsidR="00066E6C" w:rsidRPr="004433B1" w:rsidRDefault="001A2C58" w:rsidP="005B7D36">
      <w:pPr>
        <w:jc w:val="center"/>
        <w:rPr>
          <w:rFonts w:ascii="Arial" w:hAnsi="Arial" w:cs="Arial"/>
          <w:b/>
          <w:bCs/>
        </w:rPr>
      </w:pPr>
      <w:r w:rsidRPr="004433B1">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-80645</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B16406" w:rsidRPr="009F02F9" w:rsidRDefault="00B16406" w:rsidP="0008457F">
                            <w:pPr>
                              <w:spacing w:line="240" w:lineRule="auto"/>
                              <w:jc w:val="center"/>
                              <w:rPr>
                                <w:rFonts w:ascii="Arial" w:hAnsi="Arial" w:cs="Arial"/>
                                <w:b/>
                                <w:bCs/>
                              </w:rPr>
                            </w:pPr>
                            <w:r w:rsidRPr="009F02F9">
                              <w:rPr>
                                <w:rFonts w:ascii="Arial" w:hAnsi="Arial" w:cs="Arial"/>
                                <w:b/>
                                <w:bCs/>
                              </w:rPr>
                              <w:t>Rules of rounding numbers</w:t>
                            </w:r>
                          </w:p>
                          <w:p w:rsidR="00B16406" w:rsidRPr="009F02F9" w:rsidRDefault="00B16406"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B16406" w:rsidRDefault="00B16406"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7pt;margin-top:-6.35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" fillcolor="#f2f2f2" strokecolor="#0c5498" strokeweight="1pt">
                <v:textbox inset="0,0,0,0">
                  <w:txbxContent>
                    <w:p w:rsidR="00B16406" w:rsidRPr="009F02F9" w:rsidRDefault="00B16406" w:rsidP="0008457F">
                      <w:pPr>
                        <w:spacing w:line="240" w:lineRule="auto"/>
                        <w:jc w:val="center"/>
                        <w:rPr>
                          <w:rFonts w:ascii="Arial" w:hAnsi="Arial" w:cs="Arial"/>
                          <w:b/>
                          <w:bCs/>
                        </w:rPr>
                      </w:pPr>
                      <w:bookmarkStart w:id="1" w:name="_GoBack"/>
                      <w:r w:rsidRPr="009F02F9">
                        <w:rPr>
                          <w:rFonts w:ascii="Arial" w:hAnsi="Arial" w:cs="Arial"/>
                          <w:b/>
                          <w:bCs/>
                        </w:rPr>
                        <w:t>Rules of rounding numbers</w:t>
                      </w:r>
                    </w:p>
                    <w:p w:rsidR="00B16406" w:rsidRPr="009F02F9" w:rsidRDefault="00B16406"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B16406" w:rsidRDefault="00B16406"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bookmarkEnd w:id="1"/>
                    </w:p>
                  </w:txbxContent>
                </v:textbox>
                <w10:wrap anchory="line"/>
                <w10:anchorlock/>
              </v:roundrect>
            </w:pict>
          </mc:Fallback>
        </mc:AlternateContent>
      </w:r>
    </w:p>
    <w:p w:rsidR="00D01843" w:rsidRPr="004433B1" w:rsidRDefault="00D01843" w:rsidP="005B7D36">
      <w:pPr>
        <w:jc w:val="center"/>
        <w:rPr>
          <w:rFonts w:ascii="Arial" w:hAnsi="Arial" w:cs="Arial"/>
          <w:b/>
          <w:bCs/>
        </w:rPr>
      </w:pPr>
    </w:p>
    <w:p w:rsidR="00D01843" w:rsidRPr="004433B1" w:rsidRDefault="00D01843" w:rsidP="005B7D36">
      <w:pPr>
        <w:jc w:val="center"/>
        <w:rPr>
          <w:rFonts w:ascii="Arial" w:hAnsi="Arial" w:cs="Arial"/>
          <w:b/>
          <w:bCs/>
        </w:rPr>
      </w:pPr>
    </w:p>
    <w:p w:rsidR="00D01843" w:rsidRPr="004433B1" w:rsidRDefault="00D01843" w:rsidP="005B7D36">
      <w:pPr>
        <w:jc w:val="center"/>
        <w:rPr>
          <w:rFonts w:ascii="Arial" w:hAnsi="Arial" w:cs="Arial"/>
          <w:b/>
          <w:bCs/>
        </w:rPr>
      </w:pPr>
    </w:p>
    <w:p w:rsidR="00BA2E8C" w:rsidRPr="004433B1" w:rsidRDefault="00BA2E8C">
      <w:pPr>
        <w:spacing w:after="0" w:line="240" w:lineRule="auto"/>
        <w:rPr>
          <w:rFonts w:ascii="Arial" w:hAnsi="Arial" w:cs="Arial"/>
          <w:b/>
          <w:bCs/>
        </w:rPr>
      </w:pPr>
      <w:r w:rsidRPr="004433B1">
        <w:rPr>
          <w:rFonts w:ascii="Arial" w:hAnsi="Arial" w:cs="Arial"/>
          <w:b/>
          <w:bCs/>
        </w:rPr>
        <w:br w:type="page"/>
      </w:r>
    </w:p>
    <w:p w:rsidR="00066E6C" w:rsidRPr="002F20C3" w:rsidRDefault="00066E6C" w:rsidP="005B7D36">
      <w:pPr>
        <w:jc w:val="center"/>
        <w:rPr>
          <w:rFonts w:ascii="Arial" w:hAnsi="Arial" w:cs="Arial"/>
          <w:b/>
          <w:bCs/>
        </w:rPr>
      </w:pPr>
      <w:r w:rsidRPr="002F20C3">
        <w:rPr>
          <w:rFonts w:ascii="Arial" w:hAnsi="Arial" w:cs="Arial"/>
          <w:b/>
          <w:bCs/>
        </w:rPr>
        <w:lastRenderedPageBreak/>
        <w:t>RESULTS</w:t>
      </w:r>
    </w:p>
    <w:p w:rsidR="001060AD" w:rsidRPr="002F20C3" w:rsidRDefault="001060AD" w:rsidP="009F02F9">
      <w:pPr>
        <w:spacing w:after="120" w:line="240" w:lineRule="auto"/>
        <w:jc w:val="center"/>
        <w:rPr>
          <w:rFonts w:ascii="Arial" w:hAnsi="Arial" w:cs="Arial"/>
          <w:b/>
          <w:bCs/>
          <w:sz w:val="20"/>
          <w:szCs w:val="20"/>
        </w:rPr>
      </w:pPr>
    </w:p>
    <w:p w:rsidR="00066E6C" w:rsidRPr="002F20C3" w:rsidRDefault="00066E6C" w:rsidP="009F02F9">
      <w:pPr>
        <w:spacing w:after="120" w:line="240" w:lineRule="auto"/>
        <w:jc w:val="center"/>
        <w:rPr>
          <w:rFonts w:ascii="Arial" w:hAnsi="Arial" w:cs="Arial"/>
          <w:bCs/>
          <w:sz w:val="20"/>
          <w:szCs w:val="20"/>
        </w:rPr>
      </w:pPr>
      <w:r w:rsidRPr="002F20C3">
        <w:rPr>
          <w:rFonts w:ascii="Arial" w:hAnsi="Arial" w:cs="Arial"/>
          <w:b/>
          <w:bCs/>
          <w:sz w:val="20"/>
          <w:szCs w:val="20"/>
        </w:rPr>
        <w:t xml:space="preserve">Table 1 </w:t>
      </w:r>
      <w:r w:rsidRPr="002F20C3">
        <w:rPr>
          <w:rFonts w:ascii="Arial" w:hAnsi="Arial" w:cs="Arial"/>
          <w:bCs/>
          <w:sz w:val="20"/>
          <w:szCs w:val="20"/>
        </w:rPr>
        <w:t>Main contingents of labour force by sex, population aged 15 and over, Q</w:t>
      </w:r>
      <w:r w:rsidR="004C76DA"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10206" w:type="dxa"/>
        <w:jc w:val="center"/>
        <w:tblCellMar>
          <w:left w:w="28" w:type="dxa"/>
          <w:right w:w="28" w:type="dxa"/>
        </w:tblCellMar>
        <w:tblLook w:val="04A0" w:firstRow="1" w:lastRow="0" w:firstColumn="1" w:lastColumn="0" w:noHBand="0" w:noVBand="1"/>
      </w:tblPr>
      <w:tblGrid>
        <w:gridCol w:w="1614"/>
        <w:gridCol w:w="1718"/>
        <w:gridCol w:w="1718"/>
        <w:gridCol w:w="1719"/>
        <w:gridCol w:w="1718"/>
        <w:gridCol w:w="1719"/>
      </w:tblGrid>
      <w:tr w:rsidR="002F20C3" w:rsidRPr="002F20C3" w:rsidTr="005A3371">
        <w:trPr>
          <w:trHeight w:val="711"/>
          <w:jc w:val="center"/>
        </w:trPr>
        <w:tc>
          <w:tcPr>
            <w:tcW w:w="1614"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2F20C3" w:rsidRDefault="005A3371" w:rsidP="005A3371">
            <w:pPr>
              <w:spacing w:after="0" w:line="288" w:lineRule="auto"/>
              <w:jc w:val="center"/>
              <w:rPr>
                <w:rFonts w:cs="Arial"/>
                <w:sz w:val="16"/>
                <w:szCs w:val="16"/>
                <w:lang w:eastAsia="sr-Latn-RS"/>
              </w:rPr>
            </w:pPr>
            <w:r w:rsidRPr="002F20C3">
              <w:rPr>
                <w:rFonts w:cs="Arial"/>
                <w:sz w:val="16"/>
                <w:szCs w:val="16"/>
                <w:lang w:eastAsia="sr-Latn-RS"/>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3437"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3437"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37"/>
          <w:jc w:val="center"/>
        </w:trPr>
        <w:tc>
          <w:tcPr>
            <w:tcW w:w="1614"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88" w:lineRule="auto"/>
              <w:rPr>
                <w:rFonts w:cs="Arial"/>
                <w:sz w:val="16"/>
                <w:szCs w:val="16"/>
                <w:lang w:eastAsia="sr-Latn-RS"/>
              </w:rPr>
            </w:pP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1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19"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0"/>
          <w:jc w:val="center"/>
        </w:trPr>
        <w:tc>
          <w:tcPr>
            <w:tcW w:w="1614" w:type="dxa"/>
            <w:tcBorders>
              <w:top w:val="single" w:sz="4" w:space="0" w:color="0C5498"/>
              <w:right w:val="single" w:sz="4" w:space="0" w:color="0C5498"/>
            </w:tcBorders>
            <w:shd w:val="clear" w:color="auto" w:fill="auto"/>
            <w:vAlign w:val="bottom"/>
          </w:tcPr>
          <w:p w:rsidR="005A3371" w:rsidRPr="002F20C3" w:rsidRDefault="005A3371" w:rsidP="005A3371">
            <w:pPr>
              <w:spacing w:after="0" w:line="288" w:lineRule="auto"/>
              <w:rPr>
                <w:rFonts w:cs="Arial"/>
                <w:b/>
                <w:bCs/>
                <w:sz w:val="16"/>
                <w:szCs w:val="16"/>
                <w:lang w:eastAsia="sr-Latn-RS"/>
              </w:rPr>
            </w:pPr>
          </w:p>
        </w:tc>
        <w:tc>
          <w:tcPr>
            <w:tcW w:w="1718" w:type="dxa"/>
            <w:tcBorders>
              <w:top w:val="single" w:sz="4" w:space="0" w:color="0C5498"/>
              <w:left w:val="single" w:sz="4" w:space="0" w:color="0C5498"/>
              <w:righ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8" w:type="dxa"/>
            <w:tcBorders>
              <w:top w:val="single" w:sz="4" w:space="0" w:color="0C5498"/>
              <w:lef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9" w:type="dxa"/>
            <w:tcBorders>
              <w:top w:val="single" w:sz="4" w:space="0" w:color="0C5498"/>
              <w:righ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8" w:type="dxa"/>
            <w:tcBorders>
              <w:top w:val="single" w:sz="4" w:space="0" w:color="0C5498"/>
              <w:lef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9" w:type="dxa"/>
            <w:tcBorders>
              <w:top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Total</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5974</w:t>
            </w:r>
            <w:r w:rsidR="000B6B19" w:rsidRPr="000B6B19">
              <w:rPr>
                <w:rFonts w:ascii="Arial" w:hAnsi="Arial" w:cs="Arial"/>
                <w:b/>
                <w:sz w:val="16"/>
                <w:szCs w:val="16"/>
              </w:rPr>
              <w:t>.</w:t>
            </w:r>
            <w:r w:rsidRPr="000B6B19">
              <w:rPr>
                <w:rFonts w:ascii="Arial" w:hAnsi="Arial" w:cs="Arial"/>
                <w:b/>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w:t>
            </w:r>
            <w:r w:rsidR="000B6B19" w:rsidRPr="000B6B19">
              <w:rPr>
                <w:rFonts w:ascii="Arial" w:hAnsi="Arial" w:cs="Arial"/>
                <w:b/>
                <w:sz w:val="16"/>
                <w:szCs w:val="16"/>
              </w:rPr>
              <w:t>.</w:t>
            </w:r>
            <w:r w:rsidRPr="000B6B19">
              <w:rPr>
                <w:rFonts w:ascii="Arial" w:hAnsi="Arial" w:cs="Arial"/>
                <w:b/>
                <w:sz w:val="16"/>
                <w:szCs w:val="16"/>
              </w:rPr>
              <w:t>0</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-30</w:t>
            </w:r>
            <w:r w:rsidR="000B6B19" w:rsidRPr="000B6B19">
              <w:rPr>
                <w:rFonts w:ascii="Arial" w:hAnsi="Arial" w:cs="Arial"/>
                <w:b/>
                <w:sz w:val="16"/>
                <w:szCs w:val="16"/>
              </w:rPr>
              <w:t>.</w:t>
            </w:r>
            <w:r w:rsidRPr="000B6B19">
              <w:rPr>
                <w:rFonts w:ascii="Arial" w:hAnsi="Arial" w:cs="Arial"/>
                <w:b/>
                <w:sz w:val="16"/>
                <w:szCs w:val="16"/>
              </w:rPr>
              <w:t>1</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3239</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-70</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97</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2763</w:t>
            </w:r>
            <w:r w:rsidR="000B6B19" w:rsidRPr="000B6B19">
              <w:rPr>
                <w:rFonts w:ascii="Arial" w:hAnsi="Arial" w:cs="Arial"/>
                <w:sz w:val="16"/>
                <w:szCs w:val="16"/>
              </w:rPr>
              <w:t>.</w:t>
            </w:r>
            <w:r w:rsidRPr="000B6B19">
              <w:rPr>
                <w:rFonts w:ascii="Arial" w:hAnsi="Arial" w:cs="Arial"/>
                <w:sz w:val="16"/>
                <w:szCs w:val="16"/>
              </w:rPr>
              <w:t>6</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-118</w:t>
            </w:r>
            <w:r w:rsidR="000B6B19" w:rsidRPr="000B6B19">
              <w:rPr>
                <w:rFonts w:ascii="Arial" w:hAnsi="Arial" w:cs="Arial"/>
                <w:sz w:val="16"/>
                <w:szCs w:val="16"/>
              </w:rPr>
              <w:t>.</w:t>
            </w:r>
            <w:r w:rsidRPr="000B6B19">
              <w:rPr>
                <w:rFonts w:ascii="Arial" w:hAnsi="Arial" w:cs="Arial"/>
                <w:sz w:val="16"/>
                <w:szCs w:val="16"/>
              </w:rPr>
              <w:t>3</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32</w:t>
            </w:r>
            <w:r w:rsidR="000B6B19" w:rsidRPr="000B6B19">
              <w:rPr>
                <w:rFonts w:ascii="Arial" w:hAnsi="Arial" w:cs="Arial"/>
                <w:sz w:val="16"/>
                <w:szCs w:val="16"/>
              </w:rPr>
              <w:t>.</w:t>
            </w:r>
            <w:r w:rsidRPr="000B6B19">
              <w:rPr>
                <w:rFonts w:ascii="Arial" w:hAnsi="Arial" w:cs="Arial"/>
                <w:sz w:val="16"/>
                <w:szCs w:val="16"/>
              </w:rPr>
              <w:t>2</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475</w:t>
            </w:r>
            <w:r w:rsidR="000B6B19" w:rsidRPr="000B6B19">
              <w:rPr>
                <w:rFonts w:ascii="Arial" w:hAnsi="Arial" w:cs="Arial"/>
                <w:sz w:val="16"/>
                <w:szCs w:val="16"/>
              </w:rPr>
              <w:t>.</w:t>
            </w:r>
            <w:r w:rsidRPr="000B6B19">
              <w:rPr>
                <w:rFonts w:ascii="Arial" w:hAnsi="Arial" w:cs="Arial"/>
                <w:sz w:val="16"/>
                <w:szCs w:val="16"/>
              </w:rPr>
              <w:t>6</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47</w:t>
            </w:r>
            <w:r w:rsidR="000B6B19" w:rsidRPr="000B6B19">
              <w:rPr>
                <w:rFonts w:ascii="Arial" w:hAnsi="Arial" w:cs="Arial"/>
                <w:sz w:val="16"/>
                <w:szCs w:val="16"/>
              </w:rPr>
              <w:t>.</w:t>
            </w:r>
            <w:r w:rsidRPr="000B6B19">
              <w:rPr>
                <w:rFonts w:ascii="Arial" w:hAnsi="Arial" w:cs="Arial"/>
                <w:sz w:val="16"/>
                <w:szCs w:val="16"/>
              </w:rPr>
              <w:t>4</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65</w:t>
            </w:r>
            <w:r w:rsidR="000B6B19" w:rsidRPr="000B6B19">
              <w:rPr>
                <w:rFonts w:ascii="Arial" w:hAnsi="Arial" w:cs="Arial"/>
                <w:sz w:val="16"/>
                <w:szCs w:val="16"/>
              </w:rPr>
              <w:t>.</w:t>
            </w:r>
            <w:r w:rsidRPr="000B6B19">
              <w:rPr>
                <w:rFonts w:ascii="Arial" w:hAnsi="Arial" w:cs="Arial"/>
                <w:sz w:val="16"/>
                <w:szCs w:val="16"/>
              </w:rPr>
              <w:t>7</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16</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2735</w:t>
            </w:r>
            <w:r w:rsidR="000B6B19" w:rsidRPr="000B6B19">
              <w:rPr>
                <w:rFonts w:ascii="Arial" w:hAnsi="Arial" w:cs="Arial"/>
                <w:sz w:val="16"/>
                <w:szCs w:val="16"/>
              </w:rPr>
              <w:t>.</w:t>
            </w:r>
            <w:r w:rsidRPr="000B6B19">
              <w:rPr>
                <w:rFonts w:ascii="Arial" w:hAnsi="Arial" w:cs="Arial"/>
                <w:sz w:val="16"/>
                <w:szCs w:val="16"/>
              </w:rPr>
              <w:t>0</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63</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-128</w:t>
            </w:r>
            <w:r w:rsidR="000B6B19" w:rsidRPr="000B6B19">
              <w:rPr>
                <w:rFonts w:ascii="Arial" w:hAnsi="Arial" w:cs="Arial"/>
                <w:sz w:val="16"/>
                <w:szCs w:val="16"/>
              </w:rPr>
              <w:t>.</w:t>
            </w:r>
            <w:r w:rsidRPr="000B6B19">
              <w:rPr>
                <w:rFonts w:ascii="Arial" w:hAnsi="Arial" w:cs="Arial"/>
                <w:sz w:val="16"/>
                <w:szCs w:val="16"/>
              </w:rPr>
              <w:t>0</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r>
      <w:tr w:rsidR="002F20C3" w:rsidRPr="002F20C3" w:rsidTr="005A3371">
        <w:trPr>
          <w:trHeight w:val="20"/>
          <w:jc w:val="center"/>
        </w:trPr>
        <w:tc>
          <w:tcPr>
            <w:tcW w:w="1614"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Male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2881</w:t>
            </w:r>
            <w:r w:rsidR="000B6B19" w:rsidRPr="000B6B19">
              <w:rPr>
                <w:rFonts w:ascii="Arial" w:hAnsi="Arial" w:cs="Arial"/>
                <w:b/>
                <w:sz w:val="16"/>
                <w:szCs w:val="16"/>
              </w:rPr>
              <w:t>.</w:t>
            </w:r>
            <w:r w:rsidRPr="000B6B19">
              <w:rPr>
                <w:rFonts w:ascii="Arial" w:hAnsi="Arial" w:cs="Arial"/>
                <w:b/>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3</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-14</w:t>
            </w:r>
            <w:r w:rsidR="000B6B19" w:rsidRPr="000B6B19">
              <w:rPr>
                <w:rFonts w:ascii="Arial" w:hAnsi="Arial" w:cs="Arial"/>
                <w:b/>
                <w:sz w:val="16"/>
                <w:szCs w:val="16"/>
              </w:rPr>
              <w:t>.</w:t>
            </w:r>
            <w:r w:rsidRPr="000B6B19">
              <w:rPr>
                <w:rFonts w:ascii="Arial" w:hAnsi="Arial" w:cs="Arial"/>
                <w:b/>
                <w:sz w:val="16"/>
                <w:szCs w:val="16"/>
              </w:rPr>
              <w:t>3</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1809</w:t>
            </w:r>
            <w:r w:rsidR="000B6B19" w:rsidRPr="000B6B19">
              <w:rPr>
                <w:rFonts w:ascii="Arial" w:hAnsi="Arial" w:cs="Arial"/>
                <w:sz w:val="16"/>
                <w:szCs w:val="16"/>
              </w:rPr>
              <w:t>.</w:t>
            </w:r>
            <w:r w:rsidRPr="000B6B19">
              <w:rPr>
                <w:rFonts w:ascii="Arial" w:hAnsi="Arial" w:cs="Arial"/>
                <w:sz w:val="16"/>
                <w:szCs w:val="16"/>
              </w:rPr>
              <w:t>9</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2</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52</w:t>
            </w:r>
            <w:r w:rsidR="000B6B19" w:rsidRPr="000B6B19">
              <w:rPr>
                <w:rFonts w:ascii="Arial" w:hAnsi="Arial" w:cs="Arial"/>
                <w:sz w:val="16"/>
                <w:szCs w:val="16"/>
              </w:rPr>
              <w:t>.</w:t>
            </w:r>
            <w:r w:rsidRPr="000B6B19">
              <w:rPr>
                <w:rFonts w:ascii="Arial" w:hAnsi="Arial" w:cs="Arial"/>
                <w:sz w:val="16"/>
                <w:szCs w:val="16"/>
              </w:rPr>
              <w:t>3</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1554</w:t>
            </w:r>
            <w:r w:rsidR="000B6B19" w:rsidRPr="000B6B19">
              <w:rPr>
                <w:rFonts w:ascii="Arial" w:hAnsi="Arial" w:cs="Arial"/>
                <w:sz w:val="16"/>
                <w:szCs w:val="16"/>
              </w:rPr>
              <w:t>.</w:t>
            </w:r>
            <w:r w:rsidRPr="000B6B19">
              <w:rPr>
                <w:rFonts w:ascii="Arial" w:hAnsi="Arial" w:cs="Arial"/>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-55</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5</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25</w:t>
            </w:r>
            <w:r w:rsidR="000B6B19" w:rsidRPr="000B6B19">
              <w:rPr>
                <w:rFonts w:ascii="Arial" w:hAnsi="Arial" w:cs="Arial"/>
                <w:sz w:val="16"/>
                <w:szCs w:val="16"/>
              </w:rPr>
              <w:t>.</w:t>
            </w:r>
            <w:r w:rsidRPr="000B6B19">
              <w:rPr>
                <w:rFonts w:ascii="Arial" w:hAnsi="Arial" w:cs="Arial"/>
                <w:sz w:val="16"/>
                <w:szCs w:val="16"/>
              </w:rPr>
              <w:t>3</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255</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34</w:t>
            </w:r>
            <w:r w:rsidR="000B6B19" w:rsidRPr="000B6B19">
              <w:rPr>
                <w:rFonts w:ascii="Arial" w:hAnsi="Arial" w:cs="Arial"/>
                <w:sz w:val="16"/>
                <w:szCs w:val="16"/>
              </w:rPr>
              <w:t>.</w:t>
            </w:r>
            <w:r w:rsidRPr="000B6B19">
              <w:rPr>
                <w:rFonts w:ascii="Arial" w:hAnsi="Arial" w:cs="Arial"/>
                <w:sz w:val="16"/>
                <w:szCs w:val="16"/>
              </w:rPr>
              <w:t>6</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w:t>
            </w:r>
            <w:r w:rsidR="000B6B19" w:rsidRPr="000B6B19">
              <w:rPr>
                <w:rFonts w:ascii="Arial" w:hAnsi="Arial" w:cs="Arial"/>
                <w:sz w:val="16"/>
                <w:szCs w:val="16"/>
              </w:rPr>
              <w:t>.</w:t>
            </w:r>
            <w:r w:rsidRPr="000B6B19">
              <w:rPr>
                <w:rFonts w:ascii="Arial" w:hAnsi="Arial" w:cs="Arial"/>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27</w:t>
            </w:r>
            <w:r w:rsidR="000B6B19" w:rsidRPr="000B6B19">
              <w:rPr>
                <w:rFonts w:ascii="Arial" w:hAnsi="Arial" w:cs="Arial"/>
                <w:sz w:val="16"/>
                <w:szCs w:val="16"/>
              </w:rPr>
              <w:t>.</w:t>
            </w:r>
            <w:r w:rsidRPr="000B6B19">
              <w:rPr>
                <w:rFonts w:ascii="Arial" w:hAnsi="Arial" w:cs="Arial"/>
                <w:sz w:val="16"/>
                <w:szCs w:val="16"/>
              </w:rPr>
              <w:t>0</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1071</w:t>
            </w:r>
            <w:r w:rsidR="000B6B19" w:rsidRPr="000B6B19">
              <w:rPr>
                <w:rFonts w:ascii="Arial" w:hAnsi="Arial" w:cs="Arial"/>
                <w:sz w:val="16"/>
                <w:szCs w:val="16"/>
              </w:rPr>
              <w:t>.</w:t>
            </w:r>
            <w:r w:rsidRPr="000B6B19">
              <w:rPr>
                <w:rFonts w:ascii="Arial" w:hAnsi="Arial" w:cs="Arial"/>
                <w:sz w:val="16"/>
                <w:szCs w:val="16"/>
              </w:rPr>
              <w:t>5</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-66</w:t>
            </w:r>
            <w:r w:rsidR="000B6B19" w:rsidRPr="000B6B19">
              <w:rPr>
                <w:rFonts w:ascii="Arial" w:hAnsi="Arial" w:cs="Arial"/>
                <w:sz w:val="16"/>
                <w:szCs w:val="16"/>
              </w:rPr>
              <w:t>.</w:t>
            </w:r>
            <w:r w:rsidRPr="000B6B19">
              <w:rPr>
                <w:rFonts w:ascii="Arial" w:hAnsi="Arial" w:cs="Arial"/>
                <w:sz w:val="16"/>
                <w:szCs w:val="16"/>
              </w:rPr>
              <w:t>6</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1614"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Female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3092</w:t>
            </w:r>
            <w:r w:rsidR="000B6B19" w:rsidRPr="000B6B19">
              <w:rPr>
                <w:rFonts w:ascii="Arial" w:hAnsi="Arial" w:cs="Arial"/>
                <w:b/>
                <w:sz w:val="16"/>
                <w:szCs w:val="16"/>
              </w:rPr>
              <w:t>.</w:t>
            </w:r>
            <w:r w:rsidRPr="000B6B19">
              <w:rPr>
                <w:rFonts w:ascii="Arial" w:hAnsi="Arial" w:cs="Arial"/>
                <w:b/>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7</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-15</w:t>
            </w:r>
            <w:r w:rsidR="000B6B19" w:rsidRPr="000B6B19">
              <w:rPr>
                <w:rFonts w:ascii="Arial" w:hAnsi="Arial" w:cs="Arial"/>
                <w:b/>
                <w:sz w:val="16"/>
                <w:szCs w:val="16"/>
              </w:rPr>
              <w:t>.</w:t>
            </w:r>
            <w:r w:rsidRPr="000B6B19">
              <w:rPr>
                <w:rFonts w:ascii="Arial" w:hAnsi="Arial" w:cs="Arial"/>
                <w:b/>
                <w:sz w:val="16"/>
                <w:szCs w:val="16"/>
              </w:rPr>
              <w:t>8</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1429</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-49</w:t>
            </w:r>
            <w:r w:rsidR="000B6B19" w:rsidRPr="000B6B19">
              <w:rPr>
                <w:rFonts w:ascii="Arial" w:hAnsi="Arial" w:cs="Arial"/>
                <w:sz w:val="16"/>
                <w:szCs w:val="16"/>
              </w:rPr>
              <w:t>.</w:t>
            </w:r>
            <w:r w:rsidRPr="000B6B19">
              <w:rPr>
                <w:rFonts w:ascii="Arial" w:hAnsi="Arial" w:cs="Arial"/>
                <w:sz w:val="16"/>
                <w:szCs w:val="16"/>
              </w:rPr>
              <w:t>7</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45</w:t>
            </w:r>
            <w:r w:rsidR="000B6B19" w:rsidRPr="000B6B19">
              <w:rPr>
                <w:rFonts w:ascii="Arial" w:hAnsi="Arial" w:cs="Arial"/>
                <w:sz w:val="16"/>
                <w:szCs w:val="16"/>
              </w:rPr>
              <w:t>.</w:t>
            </w:r>
            <w:r w:rsidRPr="000B6B19">
              <w:rPr>
                <w:rFonts w:ascii="Arial" w:hAnsi="Arial" w:cs="Arial"/>
                <w:sz w:val="16"/>
                <w:szCs w:val="16"/>
              </w:rPr>
              <w:t>6</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1208</w:t>
            </w:r>
            <w:r w:rsidR="000B6B19" w:rsidRPr="000B6B19">
              <w:rPr>
                <w:rFonts w:ascii="Arial" w:hAnsi="Arial" w:cs="Arial"/>
                <w:sz w:val="16"/>
                <w:szCs w:val="16"/>
              </w:rPr>
              <w:t>.</w:t>
            </w:r>
            <w:r w:rsidRPr="000B6B19">
              <w:rPr>
                <w:rFonts w:ascii="Arial" w:hAnsi="Arial" w:cs="Arial"/>
                <w:sz w:val="16"/>
                <w:szCs w:val="16"/>
              </w:rPr>
              <w:t>9</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-62</w:t>
            </w:r>
            <w:r w:rsidR="000B6B19" w:rsidRPr="000B6B19">
              <w:rPr>
                <w:rFonts w:ascii="Arial" w:hAnsi="Arial" w:cs="Arial"/>
                <w:sz w:val="16"/>
                <w:szCs w:val="16"/>
              </w:rPr>
              <w:t>.</w:t>
            </w:r>
            <w:r w:rsidRPr="000B6B19">
              <w:rPr>
                <w:rFonts w:ascii="Arial" w:hAnsi="Arial" w:cs="Arial"/>
                <w:sz w:val="16"/>
                <w:szCs w:val="16"/>
              </w:rPr>
              <w:t>4</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9</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220</w:t>
            </w:r>
            <w:r w:rsidR="000B6B19" w:rsidRPr="000B6B19">
              <w:rPr>
                <w:rFonts w:ascii="Arial" w:hAnsi="Arial" w:cs="Arial"/>
                <w:sz w:val="16"/>
                <w:szCs w:val="16"/>
              </w:rPr>
              <w:t>.</w:t>
            </w:r>
            <w:r w:rsidRPr="000B6B19">
              <w:rPr>
                <w:rFonts w:ascii="Arial" w:hAnsi="Arial" w:cs="Arial"/>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8</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38</w:t>
            </w:r>
            <w:r w:rsidR="000B6B19" w:rsidRPr="000B6B19">
              <w:rPr>
                <w:rFonts w:ascii="Arial" w:hAnsi="Arial" w:cs="Arial"/>
                <w:sz w:val="16"/>
                <w:szCs w:val="16"/>
              </w:rPr>
              <w:t>.</w:t>
            </w:r>
            <w:r w:rsidRPr="000B6B19">
              <w:rPr>
                <w:rFonts w:ascii="Arial" w:hAnsi="Arial" w:cs="Arial"/>
                <w:sz w:val="16"/>
                <w:szCs w:val="16"/>
              </w:rPr>
              <w:t>7</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3</w:t>
            </w:r>
          </w:p>
        </w:tc>
      </w:tr>
      <w:tr w:rsidR="00F735B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1663</w:t>
            </w:r>
            <w:r w:rsidR="000B6B19" w:rsidRPr="000B6B19">
              <w:rPr>
                <w:rFonts w:ascii="Arial" w:hAnsi="Arial" w:cs="Arial"/>
                <w:sz w:val="16"/>
                <w:szCs w:val="16"/>
              </w:rPr>
              <w:t>.</w:t>
            </w:r>
            <w:r w:rsidRPr="000B6B19">
              <w:rPr>
                <w:rFonts w:ascii="Arial" w:hAnsi="Arial" w:cs="Arial"/>
                <w:sz w:val="16"/>
                <w:szCs w:val="16"/>
              </w:rPr>
              <w:t>5</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46</w:t>
            </w:r>
            <w:r w:rsidR="000B6B19" w:rsidRPr="000B6B19">
              <w:rPr>
                <w:rFonts w:ascii="Arial" w:hAnsi="Arial" w:cs="Arial"/>
                <w:sz w:val="16"/>
                <w:szCs w:val="16"/>
              </w:rPr>
              <w:t>.</w:t>
            </w:r>
            <w:r w:rsidRPr="000B6B19">
              <w:rPr>
                <w:rFonts w:ascii="Arial" w:hAnsi="Arial" w:cs="Arial"/>
                <w:sz w:val="16"/>
                <w:szCs w:val="16"/>
              </w:rPr>
              <w:t>0</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8</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-61</w:t>
            </w:r>
            <w:r w:rsidR="000B6B19" w:rsidRPr="000B6B19">
              <w:rPr>
                <w:rFonts w:ascii="Arial" w:hAnsi="Arial" w:cs="Arial"/>
                <w:sz w:val="16"/>
                <w:szCs w:val="16"/>
              </w:rPr>
              <w:t>.</w:t>
            </w:r>
            <w:r w:rsidRPr="000B6B19">
              <w:rPr>
                <w:rFonts w:ascii="Arial" w:hAnsi="Arial" w:cs="Arial"/>
                <w:sz w:val="16"/>
                <w:szCs w:val="16"/>
              </w:rPr>
              <w:t>4</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6</w:t>
            </w:r>
          </w:p>
        </w:tc>
      </w:tr>
    </w:tbl>
    <w:p w:rsidR="005A3371" w:rsidRPr="002F20C3" w:rsidRDefault="005A3371" w:rsidP="005A3371">
      <w:pPr>
        <w:spacing w:after="0" w:line="240" w:lineRule="auto"/>
        <w:jc w:val="center"/>
        <w:rPr>
          <w:rFonts w:ascii="Arial" w:hAnsi="Arial" w:cs="Arial"/>
          <w:bCs/>
          <w:sz w:val="20"/>
          <w:szCs w:val="20"/>
        </w:rPr>
      </w:pPr>
    </w:p>
    <w:p w:rsidR="005A3371" w:rsidRPr="002F20C3" w:rsidRDefault="005A3371" w:rsidP="009F02F9">
      <w:pPr>
        <w:spacing w:after="120" w:line="240" w:lineRule="auto"/>
        <w:jc w:val="center"/>
        <w:rPr>
          <w:rFonts w:ascii="Arial" w:hAnsi="Arial" w:cs="Arial"/>
          <w:b/>
          <w:bCs/>
          <w:sz w:val="20"/>
          <w:szCs w:val="20"/>
        </w:rPr>
      </w:pPr>
    </w:p>
    <w:p w:rsidR="00066E6C" w:rsidRPr="002F20C3" w:rsidRDefault="00066E6C" w:rsidP="001651B0">
      <w:pPr>
        <w:spacing w:line="240" w:lineRule="auto"/>
        <w:jc w:val="center"/>
        <w:rPr>
          <w:rFonts w:ascii="Arial" w:hAnsi="Arial" w:cs="Arial"/>
          <w:b/>
          <w:bCs/>
        </w:rPr>
      </w:pPr>
    </w:p>
    <w:p w:rsidR="00742757" w:rsidRPr="002F20C3" w:rsidRDefault="00066E6C" w:rsidP="00EA5A51">
      <w:pPr>
        <w:spacing w:after="60" w:line="288" w:lineRule="auto"/>
        <w:jc w:val="center"/>
        <w:rPr>
          <w:rFonts w:ascii="Arial" w:hAnsi="Arial" w:cs="Arial"/>
          <w:bCs/>
          <w:sz w:val="20"/>
          <w:szCs w:val="20"/>
        </w:rPr>
      </w:pPr>
      <w:r w:rsidRPr="002F20C3">
        <w:rPr>
          <w:rFonts w:ascii="Arial" w:hAnsi="Arial" w:cs="Arial"/>
          <w:b/>
          <w:bCs/>
          <w:sz w:val="20"/>
          <w:szCs w:val="20"/>
        </w:rPr>
        <w:t>Table 1а</w:t>
      </w:r>
      <w:r w:rsidRPr="002F20C3">
        <w:rPr>
          <w:rFonts w:ascii="Arial" w:hAnsi="Arial" w:cs="Arial"/>
          <w:sz w:val="20"/>
          <w:szCs w:val="20"/>
        </w:rPr>
        <w:t xml:space="preserve"> </w:t>
      </w:r>
      <w:r w:rsidRPr="002F20C3">
        <w:rPr>
          <w:rFonts w:ascii="Arial" w:hAnsi="Arial" w:cs="Arial"/>
          <w:bCs/>
          <w:sz w:val="20"/>
          <w:szCs w:val="20"/>
        </w:rPr>
        <w:t>Rates of activity, employment, unemployment and inactivity by sex, population aged 15 and over</w:t>
      </w:r>
      <w:r w:rsidR="00742757" w:rsidRPr="002F20C3">
        <w:rPr>
          <w:rFonts w:ascii="Arial" w:hAnsi="Arial" w:cs="Arial"/>
          <w:bCs/>
          <w:sz w:val="20"/>
          <w:szCs w:val="20"/>
        </w:rPr>
        <w:t xml:space="preserve">, </w:t>
      </w:r>
    </w:p>
    <w:p w:rsidR="00066E6C" w:rsidRPr="002F20C3" w:rsidRDefault="00066E6C" w:rsidP="00EA5A51">
      <w:pPr>
        <w:spacing w:after="60" w:line="288" w:lineRule="auto"/>
        <w:jc w:val="center"/>
        <w:rPr>
          <w:rFonts w:ascii="Arial" w:hAnsi="Arial" w:cs="Arial"/>
          <w:bCs/>
          <w:sz w:val="20"/>
          <w:szCs w:val="20"/>
        </w:rPr>
      </w:pPr>
      <w:r w:rsidRPr="002F20C3">
        <w:rPr>
          <w:rFonts w:ascii="Arial" w:hAnsi="Arial" w:cs="Arial"/>
          <w:bCs/>
          <w:sz w:val="20"/>
          <w:szCs w:val="20"/>
        </w:rPr>
        <w:t>Q</w:t>
      </w:r>
      <w:r w:rsidR="004C76DA"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9072" w:type="dxa"/>
        <w:jc w:val="center"/>
        <w:tblCellMar>
          <w:left w:w="28" w:type="dxa"/>
          <w:right w:w="28" w:type="dxa"/>
        </w:tblCellMar>
        <w:tblLook w:val="04A0" w:firstRow="1" w:lastRow="0" w:firstColumn="1" w:lastColumn="0" w:noHBand="0" w:noVBand="1"/>
      </w:tblPr>
      <w:tblGrid>
        <w:gridCol w:w="3240"/>
        <w:gridCol w:w="1608"/>
        <w:gridCol w:w="2112"/>
        <w:gridCol w:w="2112"/>
      </w:tblGrid>
      <w:tr w:rsidR="002F20C3" w:rsidRPr="002F20C3" w:rsidTr="005A3371">
        <w:trPr>
          <w:trHeight w:val="765"/>
          <w:jc w:val="center"/>
        </w:trPr>
        <w:tc>
          <w:tcPr>
            <w:tcW w:w="3240" w:type="dxa"/>
            <w:vMerge w:val="restart"/>
            <w:tcBorders>
              <w:top w:val="single" w:sz="4" w:space="0" w:color="0C5498"/>
              <w:bottom w:val="single" w:sz="4" w:space="0" w:color="0C5498"/>
              <w:right w:val="single" w:sz="4" w:space="0" w:color="0C5498"/>
            </w:tcBorders>
            <w:shd w:val="clear" w:color="auto" w:fill="auto"/>
            <w:noWrap/>
            <w:vAlign w:val="center"/>
            <w:hideMark/>
          </w:tcPr>
          <w:p w:rsidR="005A3371" w:rsidRPr="002F20C3" w:rsidRDefault="005A3371" w:rsidP="005A3371">
            <w:pPr>
              <w:spacing w:after="0" w:line="288" w:lineRule="auto"/>
              <w:jc w:val="center"/>
              <w:rPr>
                <w:rFonts w:cs="Arial"/>
                <w:sz w:val="16"/>
                <w:szCs w:val="16"/>
                <w:lang w:eastAsia="sr-Latn-RS"/>
              </w:rPr>
            </w:pPr>
            <w:r w:rsidRPr="002F20C3">
              <w:rPr>
                <w:rFonts w:cs="Arial"/>
                <w:sz w:val="16"/>
                <w:szCs w:val="16"/>
                <w:lang w:eastAsia="sr-Latn-RS"/>
              </w:rPr>
              <w:t> </w:t>
            </w:r>
          </w:p>
          <w:p w:rsidR="005A3371" w:rsidRPr="002F20C3" w:rsidRDefault="005A3371" w:rsidP="005A3371">
            <w:pPr>
              <w:spacing w:after="0" w:line="288" w:lineRule="auto"/>
              <w:jc w:val="center"/>
              <w:rPr>
                <w:rFonts w:cs="Arial"/>
                <w:sz w:val="16"/>
                <w:szCs w:val="16"/>
                <w:lang w:eastAsia="sr-Latn-RS"/>
              </w:rPr>
            </w:pPr>
            <w:r w:rsidRPr="002F20C3">
              <w:rPr>
                <w:rFonts w:cs="Arial"/>
                <w:sz w:val="16"/>
                <w:szCs w:val="16"/>
                <w:lang w:eastAsia="sr-Latn-RS"/>
              </w:rPr>
              <w:t> </w:t>
            </w:r>
          </w:p>
        </w:tc>
        <w:tc>
          <w:tcPr>
            <w:tcW w:w="160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112"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previous quarter</w:t>
            </w:r>
          </w:p>
        </w:tc>
        <w:tc>
          <w:tcPr>
            <w:tcW w:w="2112"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3240" w:type="dxa"/>
            <w:vMerge/>
            <w:tcBorders>
              <w:top w:val="single" w:sz="4" w:space="0" w:color="0C5498"/>
              <w:bottom w:val="single" w:sz="4" w:space="0" w:color="0C5498"/>
              <w:right w:val="single" w:sz="4" w:space="0" w:color="0C5498"/>
            </w:tcBorders>
            <w:shd w:val="clear" w:color="auto" w:fill="auto"/>
            <w:noWrap/>
            <w:vAlign w:val="center"/>
            <w:hideMark/>
          </w:tcPr>
          <w:p w:rsidR="005A3371" w:rsidRPr="002F20C3" w:rsidRDefault="005A3371" w:rsidP="005A3371">
            <w:pPr>
              <w:spacing w:after="0" w:line="288" w:lineRule="auto"/>
              <w:jc w:val="center"/>
              <w:rPr>
                <w:rFonts w:cs="Arial"/>
                <w:sz w:val="16"/>
                <w:szCs w:val="16"/>
                <w:lang w:eastAsia="sr-Latn-RS"/>
              </w:rPr>
            </w:pPr>
          </w:p>
        </w:tc>
        <w:tc>
          <w:tcPr>
            <w:tcW w:w="160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4224"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5A3371">
        <w:trPr>
          <w:trHeight w:val="255"/>
          <w:jc w:val="center"/>
        </w:trPr>
        <w:tc>
          <w:tcPr>
            <w:tcW w:w="3240" w:type="dxa"/>
            <w:tcBorders>
              <w:top w:val="single" w:sz="4" w:space="0" w:color="0C5498"/>
              <w:right w:val="single" w:sz="4" w:space="0" w:color="0C5498"/>
            </w:tcBorders>
            <w:shd w:val="clear" w:color="auto" w:fill="auto"/>
            <w:vAlign w:val="center"/>
          </w:tcPr>
          <w:p w:rsidR="005A3371" w:rsidRPr="002F20C3" w:rsidRDefault="005A3371" w:rsidP="005A3371">
            <w:pPr>
              <w:spacing w:after="0" w:line="288" w:lineRule="auto"/>
              <w:rPr>
                <w:rFonts w:cs="Arial"/>
                <w:b/>
                <w:bCs/>
                <w:sz w:val="16"/>
                <w:szCs w:val="16"/>
                <w:lang w:eastAsia="sr-Latn-RS"/>
              </w:rPr>
            </w:pPr>
          </w:p>
        </w:tc>
        <w:tc>
          <w:tcPr>
            <w:tcW w:w="1608" w:type="dxa"/>
            <w:tcBorders>
              <w:top w:val="single" w:sz="4" w:space="0" w:color="0C5498"/>
              <w:left w:val="single" w:sz="4" w:space="0" w:color="0C5498"/>
              <w:righ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2112" w:type="dxa"/>
            <w:tcBorders>
              <w:top w:val="single" w:sz="4" w:space="0" w:color="0C5498"/>
              <w:lef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2112" w:type="dxa"/>
            <w:tcBorders>
              <w:top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r>
      <w:tr w:rsidR="002F20C3" w:rsidRPr="002F20C3" w:rsidTr="005A3371">
        <w:trPr>
          <w:trHeight w:val="20"/>
          <w:jc w:val="center"/>
        </w:trPr>
        <w:tc>
          <w:tcPr>
            <w:tcW w:w="3240" w:type="dxa"/>
            <w:tcBorders>
              <w:top w:val="nil"/>
              <w:right w:val="single" w:sz="4" w:space="0" w:color="0C5498"/>
            </w:tcBorders>
            <w:shd w:val="clear" w:color="auto" w:fill="auto"/>
            <w:vAlign w:val="center"/>
          </w:tcPr>
          <w:p w:rsidR="005A3371" w:rsidRPr="002F20C3" w:rsidRDefault="005A3371" w:rsidP="00F735B3">
            <w:pPr>
              <w:spacing w:after="0" w:line="240" w:lineRule="auto"/>
              <w:rPr>
                <w:rFonts w:ascii="Arial" w:hAnsi="Arial" w:cs="Arial"/>
                <w:sz w:val="16"/>
                <w:szCs w:val="16"/>
              </w:rPr>
            </w:pPr>
            <w:r w:rsidRPr="002F20C3">
              <w:rPr>
                <w:rFonts w:ascii="Arial" w:hAnsi="Arial" w:cs="Arial"/>
                <w:b/>
                <w:bCs/>
                <w:sz w:val="16"/>
                <w:szCs w:val="16"/>
              </w:rPr>
              <w:t>Total</w:t>
            </w:r>
          </w:p>
        </w:tc>
        <w:tc>
          <w:tcPr>
            <w:tcW w:w="1608" w:type="dxa"/>
            <w:tcBorders>
              <w:top w:val="nil"/>
              <w:left w:val="single" w:sz="4" w:space="0" w:color="0C5498"/>
              <w:right w:val="single" w:sz="4" w:space="0" w:color="0C5498"/>
            </w:tcBorders>
            <w:shd w:val="clear" w:color="auto" w:fill="auto"/>
            <w:vAlign w:val="bottom"/>
          </w:tcPr>
          <w:p w:rsidR="005A3371" w:rsidRPr="002F20C3" w:rsidRDefault="005A3371" w:rsidP="00F735B3">
            <w:pPr>
              <w:spacing w:after="0" w:line="288" w:lineRule="auto"/>
              <w:ind w:right="284"/>
              <w:jc w:val="right"/>
              <w:rPr>
                <w:rFonts w:cs="Arial"/>
                <w:sz w:val="16"/>
                <w:szCs w:val="16"/>
                <w:lang w:eastAsia="sr-Latn-RS"/>
              </w:rPr>
            </w:pPr>
          </w:p>
        </w:tc>
        <w:tc>
          <w:tcPr>
            <w:tcW w:w="2112" w:type="dxa"/>
            <w:tcBorders>
              <w:top w:val="nil"/>
              <w:left w:val="single" w:sz="4" w:space="0" w:color="0C5498"/>
            </w:tcBorders>
            <w:shd w:val="clear" w:color="auto" w:fill="auto"/>
            <w:vAlign w:val="bottom"/>
          </w:tcPr>
          <w:p w:rsidR="005A3371" w:rsidRPr="002F20C3" w:rsidRDefault="005A3371" w:rsidP="00F735B3">
            <w:pPr>
              <w:spacing w:after="0" w:line="288" w:lineRule="auto"/>
              <w:ind w:right="284"/>
              <w:jc w:val="right"/>
              <w:rPr>
                <w:rFonts w:cs="Arial"/>
                <w:sz w:val="16"/>
                <w:szCs w:val="16"/>
                <w:lang w:eastAsia="sr-Latn-RS"/>
              </w:rPr>
            </w:pPr>
          </w:p>
        </w:tc>
        <w:tc>
          <w:tcPr>
            <w:tcW w:w="2112" w:type="dxa"/>
            <w:tcBorders>
              <w:top w:val="nil"/>
            </w:tcBorders>
            <w:shd w:val="clear" w:color="auto" w:fill="auto"/>
            <w:vAlign w:val="bottom"/>
          </w:tcPr>
          <w:p w:rsidR="005A3371" w:rsidRPr="002F20C3" w:rsidRDefault="005A3371" w:rsidP="00F735B3">
            <w:pPr>
              <w:spacing w:after="0" w:line="288" w:lineRule="auto"/>
              <w:ind w:right="284"/>
              <w:jc w:val="right"/>
              <w:rPr>
                <w:rFonts w:cs="Arial"/>
                <w:sz w:val="16"/>
                <w:szCs w:val="16"/>
                <w:lang w:eastAsia="sr-Latn-RS"/>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54</w:t>
            </w:r>
            <w:r w:rsidR="000B6B19" w:rsidRPr="000B6B19">
              <w:rPr>
                <w:rFonts w:ascii="Arial" w:hAnsi="Arial" w:cs="Arial"/>
                <w:sz w:val="16"/>
                <w:szCs w:val="16"/>
              </w:rPr>
              <w:t>.</w:t>
            </w:r>
            <w:r w:rsidRPr="000B6B19">
              <w:rPr>
                <w:rFonts w:ascii="Arial" w:hAnsi="Arial" w:cs="Arial"/>
                <w:sz w:val="16"/>
                <w:szCs w:val="16"/>
              </w:rPr>
              <w:t>2</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46</w:t>
            </w:r>
            <w:r w:rsidR="000B6B19" w:rsidRPr="000B6B19">
              <w:rPr>
                <w:rFonts w:ascii="Arial" w:hAnsi="Arial" w:cs="Arial"/>
                <w:sz w:val="16"/>
                <w:szCs w:val="16"/>
              </w:rPr>
              <w:t>.</w:t>
            </w:r>
            <w:r w:rsidRPr="000B6B19">
              <w:rPr>
                <w:rFonts w:ascii="Arial" w:hAnsi="Arial" w:cs="Arial"/>
                <w:sz w:val="16"/>
                <w:szCs w:val="16"/>
              </w:rPr>
              <w:t>3</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45</w:t>
            </w:r>
            <w:r w:rsidR="000B6B19" w:rsidRPr="000B6B19">
              <w:rPr>
                <w:rFonts w:ascii="Arial" w:hAnsi="Arial" w:cs="Arial"/>
                <w:sz w:val="16"/>
                <w:szCs w:val="16"/>
              </w:rPr>
              <w:t>.</w:t>
            </w:r>
            <w:r w:rsidRPr="000B6B19">
              <w:rPr>
                <w:rFonts w:ascii="Arial" w:hAnsi="Arial" w:cs="Arial"/>
                <w:sz w:val="16"/>
                <w:szCs w:val="16"/>
              </w:rPr>
              <w:t>8</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3240"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b/>
                <w:bCs/>
                <w:sz w:val="16"/>
                <w:szCs w:val="16"/>
              </w:rPr>
              <w:t>Male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62</w:t>
            </w:r>
            <w:r w:rsidR="000B6B19" w:rsidRPr="000B6B19">
              <w:rPr>
                <w:rFonts w:ascii="Arial" w:hAnsi="Arial" w:cs="Arial"/>
                <w:sz w:val="16"/>
                <w:szCs w:val="16"/>
              </w:rPr>
              <w:t>.</w:t>
            </w:r>
            <w:r w:rsidRPr="000B6B19">
              <w:rPr>
                <w:rFonts w:ascii="Arial" w:hAnsi="Arial" w:cs="Arial"/>
                <w:sz w:val="16"/>
                <w:szCs w:val="16"/>
              </w:rPr>
              <w:t>8</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54</w:t>
            </w:r>
            <w:r w:rsidR="000B6B19" w:rsidRPr="000B6B19">
              <w:rPr>
                <w:rFonts w:ascii="Arial" w:hAnsi="Arial" w:cs="Arial"/>
                <w:sz w:val="16"/>
                <w:szCs w:val="16"/>
              </w:rPr>
              <w:t>.</w:t>
            </w:r>
            <w:r w:rsidRPr="000B6B19">
              <w:rPr>
                <w:rFonts w:ascii="Arial" w:hAnsi="Arial" w:cs="Arial"/>
                <w:sz w:val="16"/>
                <w:szCs w:val="16"/>
              </w:rPr>
              <w:t>0</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37</w:t>
            </w:r>
            <w:r w:rsidR="000B6B19" w:rsidRPr="000B6B19">
              <w:rPr>
                <w:rFonts w:ascii="Arial" w:hAnsi="Arial" w:cs="Arial"/>
                <w:sz w:val="16"/>
                <w:szCs w:val="16"/>
              </w:rPr>
              <w:t>.</w:t>
            </w:r>
            <w:r w:rsidRPr="000B6B19">
              <w:rPr>
                <w:rFonts w:ascii="Arial" w:hAnsi="Arial" w:cs="Arial"/>
                <w:sz w:val="16"/>
                <w:szCs w:val="16"/>
              </w:rPr>
              <w:t>2</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5A3371">
        <w:trPr>
          <w:trHeight w:val="20"/>
          <w:jc w:val="center"/>
        </w:trPr>
        <w:tc>
          <w:tcPr>
            <w:tcW w:w="3240"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w:t>
            </w:r>
            <w:r w:rsidRPr="002F20C3">
              <w:rPr>
                <w:rFonts w:ascii="Arial" w:hAnsi="Arial" w:cs="Arial"/>
                <w:b/>
                <w:bCs/>
                <w:sz w:val="16"/>
                <w:szCs w:val="16"/>
              </w:rPr>
              <w:t>Female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46</w:t>
            </w:r>
            <w:r w:rsidR="000B6B19" w:rsidRPr="000B6B19">
              <w:rPr>
                <w:rFonts w:ascii="Arial" w:hAnsi="Arial" w:cs="Arial"/>
                <w:sz w:val="16"/>
                <w:szCs w:val="16"/>
              </w:rPr>
              <w:t>.</w:t>
            </w:r>
            <w:r w:rsidRPr="000B6B19">
              <w:rPr>
                <w:rFonts w:ascii="Arial" w:hAnsi="Arial" w:cs="Arial"/>
                <w:sz w:val="16"/>
                <w:szCs w:val="16"/>
              </w:rPr>
              <w:t>2</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39</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0</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F735B3">
        <w:trPr>
          <w:trHeight w:val="20"/>
          <w:jc w:val="center"/>
        </w:trPr>
        <w:tc>
          <w:tcPr>
            <w:tcW w:w="3240" w:type="dxa"/>
            <w:tcBorders>
              <w:top w:val="nil"/>
              <w:bottom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08" w:type="dxa"/>
            <w:tcBorders>
              <w:top w:val="nil"/>
              <w:left w:val="single" w:sz="4" w:space="0" w:color="0C5498"/>
              <w:bottom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w:t>
            </w:r>
            <w:r w:rsidR="000B6B19" w:rsidRPr="000B6B19">
              <w:rPr>
                <w:rFonts w:ascii="Arial" w:hAnsi="Arial" w:cs="Arial"/>
                <w:sz w:val="16"/>
                <w:szCs w:val="16"/>
              </w:rPr>
              <w:t>.</w:t>
            </w:r>
            <w:r w:rsidRPr="000B6B19">
              <w:rPr>
                <w:rFonts w:ascii="Arial" w:hAnsi="Arial" w:cs="Arial"/>
                <w:sz w:val="16"/>
                <w:szCs w:val="16"/>
              </w:rPr>
              <w:t>4</w:t>
            </w:r>
          </w:p>
        </w:tc>
        <w:tc>
          <w:tcPr>
            <w:tcW w:w="2112" w:type="dxa"/>
            <w:tcBorders>
              <w:top w:val="nil"/>
              <w:left w:val="single" w:sz="4" w:space="0" w:color="0C5498"/>
              <w:bottom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4</w:t>
            </w:r>
          </w:p>
        </w:tc>
        <w:tc>
          <w:tcPr>
            <w:tcW w:w="2112" w:type="dxa"/>
            <w:tcBorders>
              <w:top w:val="nil"/>
              <w:bottom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r>
      <w:tr w:rsidR="00F735B3" w:rsidRPr="002F20C3" w:rsidTr="005A3371">
        <w:trPr>
          <w:trHeight w:val="20"/>
          <w:jc w:val="center"/>
        </w:trPr>
        <w:tc>
          <w:tcPr>
            <w:tcW w:w="3240"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53</w:t>
            </w:r>
            <w:r w:rsidR="000B6B19" w:rsidRPr="000B6B19">
              <w:rPr>
                <w:rFonts w:ascii="Arial" w:hAnsi="Arial" w:cs="Arial"/>
                <w:sz w:val="16"/>
                <w:szCs w:val="16"/>
              </w:rPr>
              <w:t>.</w:t>
            </w:r>
            <w:r w:rsidRPr="000B6B19">
              <w:rPr>
                <w:rFonts w:ascii="Arial" w:hAnsi="Arial" w:cs="Arial"/>
                <w:sz w:val="16"/>
                <w:szCs w:val="16"/>
              </w:rPr>
              <w:t>8</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bl>
    <w:p w:rsidR="005A3371" w:rsidRPr="002F20C3" w:rsidRDefault="005A3371" w:rsidP="00EA5A51">
      <w:pPr>
        <w:spacing w:after="60" w:line="288" w:lineRule="auto"/>
        <w:jc w:val="center"/>
        <w:rPr>
          <w:rFonts w:ascii="Arial" w:hAnsi="Arial" w:cs="Arial"/>
          <w:bCs/>
          <w:sz w:val="20"/>
          <w:szCs w:val="20"/>
        </w:rPr>
      </w:pPr>
    </w:p>
    <w:p w:rsidR="005A3371" w:rsidRPr="002F20C3" w:rsidRDefault="005A3371" w:rsidP="00EA5A51">
      <w:pPr>
        <w:spacing w:after="60" w:line="288" w:lineRule="auto"/>
        <w:jc w:val="center"/>
        <w:rPr>
          <w:rFonts w:ascii="Arial" w:hAnsi="Arial" w:cs="Arial"/>
          <w:bCs/>
          <w:sz w:val="20"/>
          <w:szCs w:val="20"/>
        </w:rPr>
      </w:pPr>
    </w:p>
    <w:p w:rsidR="005A3371" w:rsidRPr="002F20C3" w:rsidRDefault="005A3371" w:rsidP="00EA5A51">
      <w:pPr>
        <w:spacing w:after="60" w:line="288" w:lineRule="auto"/>
        <w:jc w:val="center"/>
        <w:rPr>
          <w:rFonts w:ascii="Arial" w:hAnsi="Arial" w:cs="Arial"/>
          <w:b/>
          <w:bCs/>
          <w:sz w:val="20"/>
          <w:szCs w:val="20"/>
        </w:rPr>
      </w:pPr>
    </w:p>
    <w:p w:rsidR="00EB573C" w:rsidRPr="002F20C3" w:rsidRDefault="00EB573C">
      <w:pPr>
        <w:spacing w:after="0" w:line="240" w:lineRule="auto"/>
        <w:rPr>
          <w:rFonts w:ascii="Arial" w:hAnsi="Arial" w:cs="Arial"/>
          <w:b/>
          <w:bCs/>
          <w:sz w:val="20"/>
          <w:szCs w:val="20"/>
        </w:rPr>
      </w:pPr>
      <w:r w:rsidRPr="002F20C3">
        <w:rPr>
          <w:rFonts w:ascii="Arial" w:hAnsi="Arial" w:cs="Arial"/>
          <w:b/>
          <w:bCs/>
          <w:sz w:val="20"/>
          <w:szCs w:val="20"/>
        </w:rPr>
        <w:br w:type="page"/>
      </w:r>
    </w:p>
    <w:p w:rsidR="00066E6C" w:rsidRPr="002F20C3" w:rsidRDefault="00066E6C" w:rsidP="00EB573C">
      <w:pPr>
        <w:spacing w:after="120" w:line="240" w:lineRule="auto"/>
        <w:jc w:val="center"/>
        <w:rPr>
          <w:rFonts w:ascii="Arial" w:hAnsi="Arial" w:cs="Arial"/>
          <w:bCs/>
          <w:sz w:val="20"/>
          <w:szCs w:val="20"/>
        </w:rPr>
      </w:pPr>
      <w:r w:rsidRPr="002F20C3">
        <w:rPr>
          <w:rFonts w:ascii="Arial" w:hAnsi="Arial" w:cs="Arial"/>
          <w:b/>
          <w:bCs/>
          <w:sz w:val="20"/>
          <w:szCs w:val="20"/>
        </w:rPr>
        <w:lastRenderedPageBreak/>
        <w:t>Table 2</w:t>
      </w:r>
      <w:r w:rsidRPr="002F20C3">
        <w:rPr>
          <w:rFonts w:ascii="Arial" w:hAnsi="Arial" w:cs="Arial"/>
          <w:sz w:val="20"/>
          <w:szCs w:val="20"/>
        </w:rPr>
        <w:t xml:space="preserve"> </w:t>
      </w:r>
      <w:r w:rsidRPr="002F20C3">
        <w:rPr>
          <w:rFonts w:ascii="Arial" w:hAnsi="Arial" w:cs="Arial"/>
          <w:bCs/>
          <w:sz w:val="20"/>
          <w:szCs w:val="20"/>
        </w:rPr>
        <w:t>Main contingents of labour force by sex, population aged 15 to 24, Q</w:t>
      </w:r>
      <w:r w:rsidR="00742757"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10206" w:type="dxa"/>
        <w:jc w:val="center"/>
        <w:tblCellMar>
          <w:left w:w="28" w:type="dxa"/>
          <w:right w:w="28" w:type="dxa"/>
        </w:tblCellMar>
        <w:tblLook w:val="04A0" w:firstRow="1" w:lastRow="0" w:firstColumn="1" w:lastColumn="0" w:noHBand="0" w:noVBand="1"/>
      </w:tblPr>
      <w:tblGrid>
        <w:gridCol w:w="1472"/>
        <w:gridCol w:w="1746"/>
        <w:gridCol w:w="1747"/>
        <w:gridCol w:w="1747"/>
        <w:gridCol w:w="1747"/>
        <w:gridCol w:w="1747"/>
      </w:tblGrid>
      <w:tr w:rsidR="002F20C3" w:rsidRPr="002F20C3" w:rsidTr="005A3371">
        <w:trPr>
          <w:trHeight w:val="706"/>
          <w:jc w:val="center"/>
        </w:trPr>
        <w:tc>
          <w:tcPr>
            <w:tcW w:w="1472"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2F20C3" w:rsidRDefault="005A3371" w:rsidP="005A3371">
            <w:pPr>
              <w:spacing w:after="0"/>
              <w:jc w:val="center"/>
              <w:rPr>
                <w:rFonts w:cs="Arial"/>
                <w:sz w:val="16"/>
                <w:szCs w:val="16"/>
                <w:lang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3494"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3494"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1472"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jc w:val="center"/>
              <w:rPr>
                <w:rFonts w:cs="Arial"/>
                <w:sz w:val="16"/>
                <w:szCs w:val="16"/>
                <w:lang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47"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55"/>
          <w:jc w:val="center"/>
        </w:trPr>
        <w:tc>
          <w:tcPr>
            <w:tcW w:w="1472"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rPr>
                <w:rFonts w:cs="Arial"/>
                <w:b/>
                <w:bCs/>
                <w:sz w:val="16"/>
                <w:szCs w:val="16"/>
                <w:lang w:eastAsia="sr-Latn-RS"/>
              </w:rPr>
            </w:pPr>
          </w:p>
        </w:tc>
        <w:tc>
          <w:tcPr>
            <w:tcW w:w="1746" w:type="dxa"/>
            <w:tcBorders>
              <w:top w:val="single" w:sz="4" w:space="0" w:color="0C5498"/>
              <w:left w:val="single" w:sz="4" w:space="0" w:color="0C5498"/>
              <w:righ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Total</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734</w:t>
            </w:r>
            <w:r w:rsidR="000B6B19" w:rsidRPr="000B6B19">
              <w:rPr>
                <w:rFonts w:ascii="Arial" w:hAnsi="Arial" w:cs="Arial"/>
                <w:b/>
                <w:sz w:val="16"/>
                <w:szCs w:val="16"/>
              </w:rPr>
              <w:t>.</w:t>
            </w:r>
            <w:r w:rsidRPr="000B6B19">
              <w:rPr>
                <w:rFonts w:ascii="Arial" w:hAnsi="Arial" w:cs="Arial"/>
                <w:b/>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-15</w:t>
            </w:r>
            <w:r w:rsidR="000B6B19" w:rsidRPr="000B6B19">
              <w:rPr>
                <w:rFonts w:ascii="Arial" w:hAnsi="Arial" w:cs="Arial"/>
                <w:b/>
                <w:sz w:val="16"/>
                <w:szCs w:val="16"/>
              </w:rPr>
              <w:t>.</w:t>
            </w:r>
            <w:r w:rsidRPr="000B6B19">
              <w:rPr>
                <w:rFonts w:ascii="Arial" w:hAnsi="Arial" w:cs="Arial"/>
                <w:b/>
                <w:sz w:val="16"/>
                <w:szCs w:val="16"/>
              </w:rPr>
              <w:t>1</w:t>
            </w:r>
          </w:p>
        </w:tc>
        <w:tc>
          <w:tcPr>
            <w:tcW w:w="1747" w:type="dxa"/>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235</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8</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0</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3</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157</w:t>
            </w:r>
            <w:r w:rsidR="000B6B19" w:rsidRPr="000B6B19">
              <w:rPr>
                <w:rFonts w:ascii="Arial" w:hAnsi="Arial" w:cs="Arial"/>
                <w:sz w:val="16"/>
                <w:szCs w:val="16"/>
              </w:rPr>
              <w:t>.</w:t>
            </w:r>
            <w:r w:rsidRPr="000B6B19">
              <w:rPr>
                <w:rFonts w:ascii="Arial" w:hAnsi="Arial" w:cs="Arial"/>
                <w:sz w:val="16"/>
                <w:szCs w:val="16"/>
              </w:rPr>
              <w:t>4</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5</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0</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8</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78</w:t>
            </w:r>
            <w:r w:rsidR="000B6B19" w:rsidRPr="000B6B19">
              <w:rPr>
                <w:rFonts w:ascii="Arial" w:hAnsi="Arial" w:cs="Arial"/>
                <w:sz w:val="16"/>
                <w:szCs w:val="16"/>
              </w:rPr>
              <w:t>.</w:t>
            </w:r>
            <w:r w:rsidRPr="000B6B19">
              <w:rPr>
                <w:rFonts w:ascii="Arial" w:hAnsi="Arial" w:cs="Arial"/>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7</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8</w:t>
            </w:r>
            <w:r w:rsidR="000B6B19" w:rsidRPr="000B6B19">
              <w:rPr>
                <w:rFonts w:ascii="Arial" w:hAnsi="Arial" w:cs="Arial"/>
                <w:sz w:val="16"/>
                <w:szCs w:val="16"/>
              </w:rPr>
              <w:t>.</w:t>
            </w:r>
            <w:r w:rsidRPr="000B6B19">
              <w:rPr>
                <w:rFonts w:ascii="Arial" w:hAnsi="Arial" w:cs="Arial"/>
                <w:sz w:val="16"/>
                <w:szCs w:val="16"/>
              </w:rPr>
              <w:t>6</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498</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3</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-26</w:t>
            </w:r>
            <w:r w:rsidR="000B6B19" w:rsidRPr="000B6B19">
              <w:rPr>
                <w:rFonts w:ascii="Arial" w:hAnsi="Arial" w:cs="Arial"/>
                <w:sz w:val="16"/>
                <w:szCs w:val="16"/>
              </w:rPr>
              <w:t>.</w:t>
            </w:r>
            <w:r w:rsidRPr="000B6B19">
              <w:rPr>
                <w:rFonts w:ascii="Arial" w:hAnsi="Arial" w:cs="Arial"/>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Male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378</w:t>
            </w:r>
            <w:r w:rsidR="000B6B19" w:rsidRPr="000B6B19">
              <w:rPr>
                <w:rFonts w:ascii="Arial" w:hAnsi="Arial" w:cs="Arial"/>
                <w:b/>
                <w:sz w:val="16"/>
                <w:szCs w:val="16"/>
              </w:rPr>
              <w:t>.</w:t>
            </w:r>
            <w:r w:rsidRPr="000B6B19">
              <w:rPr>
                <w:rFonts w:ascii="Arial" w:hAnsi="Arial" w:cs="Arial"/>
                <w:b/>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w:t>
            </w:r>
            <w:r w:rsidR="000B6B19" w:rsidRPr="000B6B19">
              <w:rPr>
                <w:rFonts w:ascii="Arial" w:hAnsi="Arial" w:cs="Arial"/>
                <w:b/>
                <w:sz w:val="16"/>
                <w:szCs w:val="16"/>
              </w:rPr>
              <w:t>.</w:t>
            </w:r>
            <w:r w:rsidRPr="000B6B19">
              <w:rPr>
                <w:rFonts w:ascii="Arial" w:hAnsi="Arial" w:cs="Arial"/>
                <w:b/>
                <w:sz w:val="16"/>
                <w:szCs w:val="16"/>
              </w:rPr>
              <w:t>7</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w:t>
            </w:r>
            <w:r w:rsidR="000B6B19" w:rsidRPr="000B6B19">
              <w:rPr>
                <w:rFonts w:ascii="Arial" w:hAnsi="Arial" w:cs="Arial"/>
                <w:b/>
                <w:sz w:val="16"/>
                <w:szCs w:val="16"/>
              </w:rPr>
              <w:t>.</w:t>
            </w:r>
            <w:r w:rsidRPr="000B6B19">
              <w:rPr>
                <w:rFonts w:ascii="Arial" w:hAnsi="Arial" w:cs="Arial"/>
                <w:b/>
                <w:sz w:val="16"/>
                <w:szCs w:val="16"/>
              </w:rPr>
              <w:t>6</w:t>
            </w:r>
          </w:p>
        </w:tc>
        <w:tc>
          <w:tcPr>
            <w:tcW w:w="1747" w:type="dxa"/>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149</w:t>
            </w:r>
            <w:r w:rsidR="000B6B19" w:rsidRPr="000B6B19">
              <w:rPr>
                <w:rFonts w:ascii="Arial" w:hAnsi="Arial" w:cs="Arial"/>
                <w:sz w:val="16"/>
                <w:szCs w:val="16"/>
              </w:rPr>
              <w:t>.</w:t>
            </w:r>
            <w:r w:rsidRPr="000B6B19">
              <w:rPr>
                <w:rFonts w:ascii="Arial" w:hAnsi="Arial" w:cs="Arial"/>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7</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8</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100</w:t>
            </w:r>
            <w:r w:rsidR="000B6B19" w:rsidRPr="000B6B19">
              <w:rPr>
                <w:rFonts w:ascii="Arial" w:hAnsi="Arial" w:cs="Arial"/>
                <w:sz w:val="16"/>
                <w:szCs w:val="16"/>
              </w:rPr>
              <w:t>.</w:t>
            </w:r>
            <w:r w:rsidRPr="000B6B19">
              <w:rPr>
                <w:rFonts w:ascii="Arial" w:hAnsi="Arial" w:cs="Arial"/>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0</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2</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3</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48</w:t>
            </w:r>
            <w:r w:rsidR="000B6B19" w:rsidRPr="000B6B19">
              <w:rPr>
                <w:rFonts w:ascii="Arial" w:hAnsi="Arial" w:cs="Arial"/>
                <w:sz w:val="16"/>
                <w:szCs w:val="16"/>
              </w:rPr>
              <w:t>.</w:t>
            </w:r>
            <w:r w:rsidRPr="000B6B19">
              <w:rPr>
                <w:rFonts w:ascii="Arial" w:hAnsi="Arial" w:cs="Arial"/>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9</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35</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228</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4</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Female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356</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w:t>
            </w:r>
            <w:r w:rsidR="000B6B19" w:rsidRPr="000B6B19">
              <w:rPr>
                <w:rFonts w:ascii="Arial" w:hAnsi="Arial" w:cs="Arial"/>
                <w:b/>
                <w:sz w:val="16"/>
                <w:szCs w:val="16"/>
              </w:rPr>
              <w:t>.</w:t>
            </w:r>
            <w:r w:rsidRPr="000B6B19">
              <w:rPr>
                <w:rFonts w:ascii="Arial" w:hAnsi="Arial" w:cs="Arial"/>
                <w:b/>
                <w:sz w:val="16"/>
                <w:szCs w:val="16"/>
              </w:rPr>
              <w:t>8</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w:t>
            </w:r>
            <w:r w:rsidR="000B6B19" w:rsidRPr="000B6B19">
              <w:rPr>
                <w:rFonts w:ascii="Arial" w:hAnsi="Arial" w:cs="Arial"/>
                <w:b/>
                <w:sz w:val="16"/>
                <w:szCs w:val="16"/>
              </w:rPr>
              <w:t>.</w:t>
            </w:r>
            <w:r w:rsidRPr="000B6B19">
              <w:rPr>
                <w:rFonts w:ascii="Arial" w:hAnsi="Arial" w:cs="Arial"/>
                <w:b/>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1</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86</w:t>
            </w:r>
            <w:r w:rsidR="000B6B19" w:rsidRPr="000B6B19">
              <w:rPr>
                <w:rFonts w:ascii="Arial" w:hAnsi="Arial" w:cs="Arial"/>
                <w:sz w:val="16"/>
                <w:szCs w:val="16"/>
              </w:rPr>
              <w:t>.</w:t>
            </w:r>
            <w:r w:rsidRPr="000B6B19">
              <w:rPr>
                <w:rFonts w:ascii="Arial" w:hAnsi="Arial" w:cs="Arial"/>
                <w:sz w:val="16"/>
                <w:szCs w:val="16"/>
              </w:rPr>
              <w:t>6</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-8</w:t>
            </w:r>
            <w:r w:rsidR="000B6B19" w:rsidRPr="000B6B19">
              <w:rPr>
                <w:rFonts w:ascii="Arial" w:hAnsi="Arial" w:cs="Arial"/>
                <w:sz w:val="16"/>
                <w:szCs w:val="16"/>
              </w:rPr>
              <w:t>.</w:t>
            </w:r>
            <w:r w:rsidRPr="000B6B19">
              <w:rPr>
                <w:rFonts w:ascii="Arial" w:hAnsi="Arial" w:cs="Arial"/>
                <w:sz w:val="16"/>
                <w:szCs w:val="16"/>
              </w:rPr>
              <w:t>7</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1</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56</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5</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6</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29</w:t>
            </w:r>
            <w:r w:rsidR="000B6B19" w:rsidRPr="000B6B19">
              <w:rPr>
                <w:rFonts w:ascii="Arial" w:hAnsi="Arial" w:cs="Arial"/>
                <w:sz w:val="16"/>
                <w:szCs w:val="16"/>
              </w:rPr>
              <w:t>.</w:t>
            </w:r>
            <w:r w:rsidRPr="000B6B19">
              <w:rPr>
                <w:rFonts w:ascii="Arial" w:hAnsi="Arial" w:cs="Arial"/>
                <w:sz w:val="16"/>
                <w:szCs w:val="16"/>
              </w:rPr>
              <w:t>7</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2</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1</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16</w:t>
            </w:r>
            <w:r w:rsidR="000B6B19" w:rsidRPr="000B6B19">
              <w:rPr>
                <w:rFonts w:ascii="Arial" w:hAnsi="Arial" w:cs="Arial"/>
                <w:sz w:val="16"/>
                <w:szCs w:val="16"/>
              </w:rPr>
              <w:t>.</w:t>
            </w:r>
            <w:r w:rsidRPr="000B6B19">
              <w:rPr>
                <w:rFonts w:ascii="Arial" w:hAnsi="Arial" w:cs="Arial"/>
                <w:sz w:val="16"/>
                <w:szCs w:val="16"/>
              </w:rPr>
              <w:t>0</w:t>
            </w:r>
          </w:p>
        </w:tc>
      </w:tr>
      <w:tr w:rsidR="00F735B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269</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0</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6</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1</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bl>
    <w:p w:rsidR="00066E6C" w:rsidRPr="002F20C3" w:rsidRDefault="00066E6C" w:rsidP="00C64C5C">
      <w:pPr>
        <w:spacing w:line="240" w:lineRule="auto"/>
        <w:jc w:val="center"/>
        <w:rPr>
          <w:rFonts w:ascii="Arial" w:hAnsi="Arial" w:cs="Arial"/>
          <w:b/>
          <w:bCs/>
        </w:rPr>
      </w:pPr>
    </w:p>
    <w:p w:rsidR="007951B3" w:rsidRPr="002F20C3" w:rsidRDefault="007951B3" w:rsidP="00C64C5C">
      <w:pPr>
        <w:spacing w:line="240" w:lineRule="auto"/>
        <w:jc w:val="center"/>
        <w:rPr>
          <w:rFonts w:ascii="Arial" w:hAnsi="Arial" w:cs="Arial"/>
          <w:b/>
          <w:bCs/>
        </w:rPr>
      </w:pPr>
    </w:p>
    <w:p w:rsidR="005A3371" w:rsidRPr="002F20C3" w:rsidRDefault="00066E6C" w:rsidP="00EB573C">
      <w:pPr>
        <w:spacing w:after="120" w:line="240" w:lineRule="auto"/>
        <w:jc w:val="center"/>
        <w:rPr>
          <w:rFonts w:ascii="Arial" w:hAnsi="Arial" w:cs="Arial"/>
          <w:bCs/>
          <w:sz w:val="20"/>
          <w:szCs w:val="20"/>
        </w:rPr>
      </w:pPr>
      <w:r w:rsidRPr="002F20C3">
        <w:rPr>
          <w:rFonts w:ascii="Arial" w:hAnsi="Arial" w:cs="Arial"/>
          <w:b/>
          <w:bCs/>
          <w:sz w:val="20"/>
          <w:szCs w:val="20"/>
        </w:rPr>
        <w:t>Table 2а</w:t>
      </w:r>
      <w:r w:rsidRPr="002F20C3">
        <w:rPr>
          <w:rFonts w:ascii="Arial" w:hAnsi="Arial" w:cs="Arial"/>
          <w:sz w:val="20"/>
          <w:szCs w:val="20"/>
        </w:rPr>
        <w:t xml:space="preserve"> </w:t>
      </w:r>
      <w:r w:rsidRPr="002F20C3">
        <w:rPr>
          <w:rFonts w:ascii="Arial" w:hAnsi="Arial" w:cs="Arial"/>
          <w:bCs/>
          <w:sz w:val="20"/>
          <w:szCs w:val="20"/>
        </w:rPr>
        <w:t>Rates of activity, employment, unemployment and inactivity by sex, population aged</w:t>
      </w:r>
      <w:r w:rsidR="00EF4A8E" w:rsidRPr="002F20C3">
        <w:rPr>
          <w:rFonts w:ascii="Arial" w:hAnsi="Arial" w:cs="Arial"/>
          <w:bCs/>
          <w:sz w:val="20"/>
          <w:szCs w:val="20"/>
        </w:rPr>
        <w:t xml:space="preserve"> </w:t>
      </w:r>
      <w:r w:rsidRPr="002F20C3">
        <w:rPr>
          <w:rFonts w:ascii="Arial" w:hAnsi="Arial" w:cs="Arial"/>
          <w:bCs/>
          <w:sz w:val="20"/>
          <w:szCs w:val="20"/>
        </w:rPr>
        <w:t>15 to 24</w:t>
      </w:r>
      <w:r w:rsidR="00742757" w:rsidRPr="002F20C3">
        <w:rPr>
          <w:rFonts w:ascii="Arial" w:hAnsi="Arial" w:cs="Arial"/>
          <w:bCs/>
          <w:sz w:val="20"/>
          <w:szCs w:val="20"/>
        </w:rPr>
        <w:t xml:space="preserve">,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9251" w:type="dxa"/>
        <w:jc w:val="center"/>
        <w:tblCellMar>
          <w:left w:w="28" w:type="dxa"/>
          <w:right w:w="28" w:type="dxa"/>
        </w:tblCellMar>
        <w:tblLook w:val="04A0" w:firstRow="1" w:lastRow="0" w:firstColumn="1" w:lastColumn="0" w:noHBand="0" w:noVBand="1"/>
      </w:tblPr>
      <w:tblGrid>
        <w:gridCol w:w="3231"/>
        <w:gridCol w:w="1660"/>
        <w:gridCol w:w="2180"/>
        <w:gridCol w:w="2180"/>
      </w:tblGrid>
      <w:tr w:rsidR="002F20C3" w:rsidRPr="002F20C3" w:rsidTr="005A3371">
        <w:trPr>
          <w:trHeight w:val="765"/>
          <w:jc w:val="center"/>
        </w:trPr>
        <w:tc>
          <w:tcPr>
            <w:tcW w:w="3231"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2F20C3" w:rsidRDefault="005A3371" w:rsidP="005A3371">
            <w:pPr>
              <w:spacing w:after="0"/>
              <w:jc w:val="center"/>
              <w:rPr>
                <w:rFonts w:cs="Arial"/>
                <w:sz w:val="16"/>
                <w:szCs w:val="16"/>
                <w:lang w:eastAsia="sr-Latn-RS"/>
              </w:rPr>
            </w:pPr>
            <w:r w:rsidRPr="002F20C3">
              <w:rPr>
                <w:rFonts w:cs="Arial"/>
                <w:sz w:val="16"/>
                <w:szCs w:val="16"/>
                <w:lang w:eastAsia="sr-Latn-RS"/>
              </w:rPr>
              <w:t> </w:t>
            </w: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6901F2">
            <w:pPr>
              <w:spacing w:after="0" w:line="240" w:lineRule="auto"/>
              <w:jc w:val="center"/>
              <w:rPr>
                <w:rFonts w:ascii="Arial" w:hAnsi="Arial" w:cs="Arial"/>
                <w:sz w:val="16"/>
                <w:szCs w:val="16"/>
              </w:rPr>
            </w:pPr>
            <w:r w:rsidRPr="002F20C3">
              <w:rPr>
                <w:rFonts w:ascii="Arial" w:hAnsi="Arial" w:cs="Arial"/>
                <w:sz w:val="16"/>
                <w:szCs w:val="16"/>
              </w:rPr>
              <w:t>Q</w:t>
            </w:r>
            <w:r w:rsidR="006901F2" w:rsidRPr="002F20C3">
              <w:rPr>
                <w:rFonts w:ascii="Arial" w:hAnsi="Arial" w:cs="Arial"/>
                <w:sz w:val="16"/>
                <w:szCs w:val="16"/>
              </w:rPr>
              <w:t>4</w:t>
            </w:r>
            <w:r w:rsidRPr="002F20C3">
              <w:rPr>
                <w:rFonts w:ascii="Arial" w:hAnsi="Arial" w:cs="Arial"/>
                <w:sz w:val="16"/>
                <w:szCs w:val="16"/>
              </w:rPr>
              <w:t xml:space="preserve"> 2017</w:t>
            </w:r>
          </w:p>
        </w:tc>
        <w:tc>
          <w:tcPr>
            <w:tcW w:w="218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3231"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rPr>
                <w:rFonts w:cs="Arial"/>
                <w:sz w:val="16"/>
                <w:szCs w:val="16"/>
                <w:lang w:eastAsia="sr-Latn-RS"/>
              </w:rPr>
            </w:pP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40" w:after="40" w:line="240" w:lineRule="auto"/>
              <w:jc w:val="center"/>
              <w:rPr>
                <w:rFonts w:ascii="Arial" w:hAnsi="Arial" w:cs="Arial"/>
                <w:sz w:val="16"/>
                <w:szCs w:val="16"/>
              </w:rPr>
            </w:pPr>
            <w:r w:rsidRPr="002F20C3">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40" w:after="4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5A3371">
        <w:trPr>
          <w:trHeight w:val="255"/>
          <w:jc w:val="center"/>
        </w:trPr>
        <w:tc>
          <w:tcPr>
            <w:tcW w:w="3231" w:type="dxa"/>
            <w:tcBorders>
              <w:top w:val="single" w:sz="4" w:space="0" w:color="0C5498"/>
              <w:right w:val="single" w:sz="4" w:space="0" w:color="0C5498"/>
            </w:tcBorders>
            <w:shd w:val="clear" w:color="auto" w:fill="auto"/>
            <w:vAlign w:val="center"/>
          </w:tcPr>
          <w:p w:rsidR="005A3371" w:rsidRPr="002F20C3" w:rsidRDefault="005A3371" w:rsidP="005A3371">
            <w:pPr>
              <w:spacing w:after="0"/>
              <w:rPr>
                <w:rFonts w:cs="Arial"/>
                <w:sz w:val="16"/>
                <w:szCs w:val="16"/>
                <w:lang w:eastAsia="sr-Latn-RS"/>
              </w:rPr>
            </w:pPr>
          </w:p>
        </w:tc>
        <w:tc>
          <w:tcPr>
            <w:tcW w:w="1660" w:type="dxa"/>
            <w:tcBorders>
              <w:top w:val="single" w:sz="4" w:space="0" w:color="0C5498"/>
              <w:left w:val="single" w:sz="4" w:space="0" w:color="0C5498"/>
              <w:right w:val="single" w:sz="4" w:space="0" w:color="0C5498"/>
            </w:tcBorders>
            <w:shd w:val="clear" w:color="auto" w:fill="auto"/>
            <w:vAlign w:val="center"/>
          </w:tcPr>
          <w:p w:rsidR="005A3371" w:rsidRPr="002F20C3" w:rsidRDefault="005A3371" w:rsidP="005A3371">
            <w:pPr>
              <w:spacing w:after="0"/>
              <w:jc w:val="right"/>
              <w:rPr>
                <w:rFonts w:cs="Arial"/>
                <w:sz w:val="16"/>
                <w:szCs w:val="16"/>
                <w:lang w:eastAsia="sr-Latn-RS"/>
              </w:rPr>
            </w:pPr>
          </w:p>
        </w:tc>
        <w:tc>
          <w:tcPr>
            <w:tcW w:w="2180"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jc w:val="right"/>
              <w:rPr>
                <w:rFonts w:cs="Arial"/>
                <w:bCs/>
                <w:sz w:val="16"/>
                <w:szCs w:val="16"/>
                <w:lang w:eastAsia="sr-Latn-RS"/>
              </w:rPr>
            </w:pPr>
          </w:p>
        </w:tc>
        <w:tc>
          <w:tcPr>
            <w:tcW w:w="2180" w:type="dxa"/>
            <w:tcBorders>
              <w:top w:val="single" w:sz="4" w:space="0" w:color="0C5498"/>
            </w:tcBorders>
            <w:shd w:val="clear" w:color="auto" w:fill="auto"/>
            <w:noWrap/>
            <w:vAlign w:val="center"/>
          </w:tcPr>
          <w:p w:rsidR="005A3371" w:rsidRPr="002F20C3" w:rsidRDefault="005A3371" w:rsidP="005A3371">
            <w:pPr>
              <w:spacing w:after="0"/>
              <w:jc w:val="right"/>
              <w:rPr>
                <w:rFonts w:cs="Arial"/>
                <w:bCs/>
                <w:sz w:val="16"/>
                <w:szCs w:val="16"/>
                <w:lang w:eastAsia="sr-Latn-RS"/>
              </w:rPr>
            </w:pPr>
          </w:p>
        </w:tc>
      </w:tr>
      <w:tr w:rsidR="002F20C3" w:rsidRPr="002F20C3" w:rsidTr="005A3371">
        <w:trPr>
          <w:trHeight w:val="20"/>
          <w:jc w:val="center"/>
        </w:trPr>
        <w:tc>
          <w:tcPr>
            <w:tcW w:w="3231" w:type="dxa"/>
            <w:tcBorders>
              <w:right w:val="single" w:sz="4" w:space="0" w:color="0C5498"/>
            </w:tcBorders>
            <w:shd w:val="clear" w:color="auto" w:fill="auto"/>
            <w:vAlign w:val="center"/>
          </w:tcPr>
          <w:p w:rsidR="005A3371" w:rsidRPr="002F20C3" w:rsidRDefault="005A3371" w:rsidP="00A56B03">
            <w:pPr>
              <w:spacing w:after="0" w:line="240" w:lineRule="auto"/>
              <w:rPr>
                <w:rFonts w:ascii="Arial" w:hAnsi="Arial" w:cs="Arial"/>
                <w:sz w:val="16"/>
                <w:szCs w:val="16"/>
              </w:rPr>
            </w:pPr>
            <w:r w:rsidRPr="002F20C3">
              <w:rPr>
                <w:rFonts w:ascii="Arial" w:hAnsi="Arial" w:cs="Arial"/>
                <w:b/>
                <w:bCs/>
                <w:sz w:val="16"/>
                <w:szCs w:val="16"/>
              </w:rPr>
              <w:t>Total</w:t>
            </w:r>
          </w:p>
        </w:tc>
        <w:tc>
          <w:tcPr>
            <w:tcW w:w="1660" w:type="dxa"/>
            <w:tcBorders>
              <w:left w:val="single" w:sz="4" w:space="0" w:color="0C5498"/>
              <w:right w:val="single" w:sz="4" w:space="0" w:color="0C5498"/>
            </w:tcBorders>
            <w:shd w:val="clear" w:color="auto" w:fill="auto"/>
            <w:vAlign w:val="bottom"/>
          </w:tcPr>
          <w:p w:rsidR="005A3371" w:rsidRPr="002F20C3" w:rsidRDefault="005A3371" w:rsidP="00A56B03">
            <w:pPr>
              <w:spacing w:after="0" w:line="264" w:lineRule="auto"/>
              <w:jc w:val="center"/>
              <w:rPr>
                <w:rFonts w:cs="Arial"/>
                <w:sz w:val="16"/>
                <w:szCs w:val="16"/>
              </w:rPr>
            </w:pPr>
            <w:r w:rsidRPr="002F20C3">
              <w:rPr>
                <w:rFonts w:cs="Arial"/>
                <w:sz w:val="16"/>
                <w:szCs w:val="16"/>
              </w:rPr>
              <w:t> </w:t>
            </w:r>
          </w:p>
        </w:tc>
        <w:tc>
          <w:tcPr>
            <w:tcW w:w="2180" w:type="dxa"/>
            <w:tcBorders>
              <w:left w:val="single" w:sz="4" w:space="0" w:color="0C5498"/>
            </w:tcBorders>
            <w:shd w:val="clear" w:color="auto" w:fill="auto"/>
            <w:noWrap/>
            <w:vAlign w:val="bottom"/>
          </w:tcPr>
          <w:p w:rsidR="005A3371" w:rsidRPr="002F20C3" w:rsidRDefault="005A3371" w:rsidP="00A56B03">
            <w:pPr>
              <w:spacing w:after="0" w:line="264" w:lineRule="auto"/>
              <w:jc w:val="center"/>
              <w:rPr>
                <w:rFonts w:cs="Arial"/>
                <w:sz w:val="16"/>
                <w:szCs w:val="16"/>
              </w:rPr>
            </w:pPr>
            <w:r w:rsidRPr="002F20C3">
              <w:rPr>
                <w:rFonts w:cs="Arial"/>
                <w:sz w:val="16"/>
                <w:szCs w:val="16"/>
              </w:rPr>
              <w:t> </w:t>
            </w:r>
          </w:p>
        </w:tc>
        <w:tc>
          <w:tcPr>
            <w:tcW w:w="2180" w:type="dxa"/>
            <w:shd w:val="clear" w:color="auto" w:fill="auto"/>
            <w:noWrap/>
            <w:vAlign w:val="bottom"/>
          </w:tcPr>
          <w:p w:rsidR="005A3371" w:rsidRPr="002F20C3" w:rsidRDefault="005A3371" w:rsidP="00A56B03">
            <w:pPr>
              <w:spacing w:after="0" w:line="264" w:lineRule="auto"/>
              <w:jc w:val="center"/>
              <w:rPr>
                <w:rFonts w:cs="Arial"/>
                <w:sz w:val="16"/>
                <w:szCs w:val="16"/>
              </w:rPr>
            </w:pPr>
            <w:r w:rsidRPr="002F20C3">
              <w:rPr>
                <w:rFonts w:cs="Arial"/>
                <w:sz w:val="16"/>
                <w:szCs w:val="16"/>
              </w:rPr>
              <w:t> </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32</w:t>
            </w:r>
            <w:r w:rsidR="000B6B19" w:rsidRPr="000B6B19">
              <w:rPr>
                <w:rFonts w:ascii="Arial" w:hAnsi="Arial" w:cs="Arial"/>
                <w:sz w:val="16"/>
                <w:szCs w:val="16"/>
              </w:rPr>
              <w:t>.</w:t>
            </w:r>
            <w:r w:rsidRPr="000B6B19">
              <w:rPr>
                <w:rFonts w:ascii="Arial" w:hAnsi="Arial" w:cs="Arial"/>
                <w:sz w:val="16"/>
                <w:szCs w:val="16"/>
              </w:rPr>
              <w:t>1</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4</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33</w:t>
            </w:r>
            <w:r w:rsidR="000B6B19" w:rsidRPr="000B6B19">
              <w:rPr>
                <w:rFonts w:ascii="Arial" w:hAnsi="Arial" w:cs="Arial"/>
                <w:sz w:val="16"/>
                <w:szCs w:val="16"/>
              </w:rPr>
              <w:t>.</w:t>
            </w:r>
            <w:r w:rsidRPr="000B6B19">
              <w:rPr>
                <w:rFonts w:ascii="Arial" w:hAnsi="Arial" w:cs="Arial"/>
                <w:sz w:val="16"/>
                <w:szCs w:val="16"/>
              </w:rPr>
              <w:t>3</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67</w:t>
            </w:r>
            <w:r w:rsidR="000B6B19" w:rsidRPr="000B6B19">
              <w:rPr>
                <w:rFonts w:ascii="Arial" w:hAnsi="Arial" w:cs="Arial"/>
                <w:sz w:val="16"/>
                <w:szCs w:val="16"/>
              </w:rPr>
              <w:t>.</w:t>
            </w:r>
            <w:r w:rsidRPr="000B6B19">
              <w:rPr>
                <w:rFonts w:ascii="Arial" w:hAnsi="Arial" w:cs="Arial"/>
                <w:sz w:val="16"/>
                <w:szCs w:val="16"/>
              </w:rPr>
              <w:t>9</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5A3371">
        <w:trPr>
          <w:trHeight w:val="20"/>
          <w:jc w:val="center"/>
        </w:trPr>
        <w:tc>
          <w:tcPr>
            <w:tcW w:w="3231" w:type="dxa"/>
            <w:tcBorders>
              <w:right w:val="single" w:sz="4" w:space="0" w:color="0C5498"/>
            </w:tcBorders>
            <w:shd w:val="clear" w:color="auto" w:fill="auto"/>
            <w:noWrap/>
            <w:vAlign w:val="center"/>
          </w:tcPr>
          <w:p w:rsidR="00A56B03" w:rsidRPr="002F20C3" w:rsidRDefault="00A56B03" w:rsidP="00A56B0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noWrap/>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b/>
                <w:bCs/>
                <w:sz w:val="16"/>
                <w:szCs w:val="16"/>
              </w:rPr>
              <w:t>Male</w:t>
            </w: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39</w:t>
            </w:r>
            <w:r w:rsidR="000B6B19" w:rsidRPr="000B6B19">
              <w:rPr>
                <w:rFonts w:ascii="Arial" w:hAnsi="Arial" w:cs="Arial"/>
                <w:sz w:val="16"/>
                <w:szCs w:val="16"/>
              </w:rPr>
              <w:t>.</w:t>
            </w:r>
            <w:r w:rsidRPr="000B6B19">
              <w:rPr>
                <w:rFonts w:ascii="Arial" w:hAnsi="Arial" w:cs="Arial"/>
                <w:sz w:val="16"/>
                <w:szCs w:val="16"/>
              </w:rPr>
              <w:t>5</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1</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26</w:t>
            </w:r>
            <w:r w:rsidR="000B6B19" w:rsidRPr="000B6B19">
              <w:rPr>
                <w:rFonts w:ascii="Arial" w:hAnsi="Arial" w:cs="Arial"/>
                <w:sz w:val="16"/>
                <w:szCs w:val="16"/>
              </w:rPr>
              <w:t>.</w:t>
            </w:r>
            <w:r w:rsidRPr="000B6B19">
              <w:rPr>
                <w:rFonts w:ascii="Arial" w:hAnsi="Arial" w:cs="Arial"/>
                <w:sz w:val="16"/>
                <w:szCs w:val="16"/>
              </w:rPr>
              <w:t>6</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6</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32</w:t>
            </w:r>
            <w:r w:rsidR="000B6B19" w:rsidRPr="000B6B19">
              <w:rPr>
                <w:rFonts w:ascii="Arial" w:hAnsi="Arial" w:cs="Arial"/>
                <w:sz w:val="16"/>
                <w:szCs w:val="16"/>
              </w:rPr>
              <w:t>.</w:t>
            </w:r>
            <w:r w:rsidRPr="000B6B19">
              <w:rPr>
                <w:rFonts w:ascii="Arial" w:hAnsi="Arial" w:cs="Arial"/>
                <w:sz w:val="16"/>
                <w:szCs w:val="16"/>
              </w:rPr>
              <w:t>7</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8</w:t>
            </w:r>
            <w:r w:rsidR="000B6B19" w:rsidRPr="000B6B19">
              <w:rPr>
                <w:rFonts w:ascii="Arial" w:hAnsi="Arial" w:cs="Arial"/>
                <w:sz w:val="16"/>
                <w:szCs w:val="16"/>
              </w:rPr>
              <w:t>.</w:t>
            </w:r>
            <w:r w:rsidRPr="000B6B19">
              <w:rPr>
                <w:rFonts w:ascii="Arial" w:hAnsi="Arial" w:cs="Arial"/>
                <w:sz w:val="16"/>
                <w:szCs w:val="16"/>
              </w:rPr>
              <w:t>8</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60</w:t>
            </w:r>
            <w:r w:rsidR="000B6B19" w:rsidRPr="000B6B19">
              <w:rPr>
                <w:rFonts w:ascii="Arial" w:hAnsi="Arial" w:cs="Arial"/>
                <w:sz w:val="16"/>
                <w:szCs w:val="16"/>
              </w:rPr>
              <w:t>.</w:t>
            </w:r>
            <w:r w:rsidRPr="000B6B19">
              <w:rPr>
                <w:rFonts w:ascii="Arial" w:hAnsi="Arial" w:cs="Arial"/>
                <w:sz w:val="16"/>
                <w:szCs w:val="16"/>
              </w:rPr>
              <w:t>5</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1</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5A3371">
        <w:trPr>
          <w:trHeight w:val="20"/>
          <w:jc w:val="center"/>
        </w:trPr>
        <w:tc>
          <w:tcPr>
            <w:tcW w:w="3231" w:type="dxa"/>
            <w:tcBorders>
              <w:right w:val="single" w:sz="4" w:space="0" w:color="0C5498"/>
            </w:tcBorders>
            <w:shd w:val="clear" w:color="auto" w:fill="auto"/>
            <w:noWrap/>
            <w:vAlign w:val="center"/>
          </w:tcPr>
          <w:p w:rsidR="00A56B03" w:rsidRPr="002F20C3" w:rsidRDefault="00A56B03" w:rsidP="00A56B0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noWrap/>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b/>
                <w:bCs/>
                <w:sz w:val="16"/>
                <w:szCs w:val="16"/>
              </w:rPr>
              <w:t>Female</w:t>
            </w: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24</w:t>
            </w:r>
            <w:r w:rsidR="000B6B19" w:rsidRPr="000B6B19">
              <w:rPr>
                <w:rFonts w:ascii="Arial" w:hAnsi="Arial" w:cs="Arial"/>
                <w:sz w:val="16"/>
                <w:szCs w:val="16"/>
              </w:rPr>
              <w:t>.</w:t>
            </w:r>
            <w:r w:rsidRPr="000B6B19">
              <w:rPr>
                <w:rFonts w:ascii="Arial" w:hAnsi="Arial" w:cs="Arial"/>
                <w:sz w:val="16"/>
                <w:szCs w:val="16"/>
              </w:rPr>
              <w:t>3</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16</w:t>
            </w:r>
            <w:r w:rsidR="000B6B19" w:rsidRPr="000B6B19">
              <w:rPr>
                <w:rFonts w:ascii="Arial" w:hAnsi="Arial" w:cs="Arial"/>
                <w:sz w:val="16"/>
                <w:szCs w:val="16"/>
              </w:rPr>
              <w:t>.</w:t>
            </w:r>
            <w:r w:rsidRPr="000B6B19">
              <w:rPr>
                <w:rFonts w:ascii="Arial" w:hAnsi="Arial" w:cs="Arial"/>
                <w:sz w:val="16"/>
                <w:szCs w:val="16"/>
              </w:rPr>
              <w:t>0</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34</w:t>
            </w:r>
            <w:r w:rsidR="000B6B19" w:rsidRPr="000B6B19">
              <w:rPr>
                <w:rFonts w:ascii="Arial" w:hAnsi="Arial" w:cs="Arial"/>
                <w:sz w:val="16"/>
                <w:szCs w:val="16"/>
              </w:rPr>
              <w:t>.</w:t>
            </w:r>
            <w:r w:rsidRPr="000B6B19">
              <w:rPr>
                <w:rFonts w:ascii="Arial" w:hAnsi="Arial" w:cs="Arial"/>
                <w:sz w:val="16"/>
                <w:szCs w:val="16"/>
              </w:rPr>
              <w:t>3</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75</w:t>
            </w:r>
            <w:r w:rsidR="000B6B19" w:rsidRPr="000B6B19">
              <w:rPr>
                <w:rFonts w:ascii="Arial" w:hAnsi="Arial" w:cs="Arial"/>
                <w:sz w:val="16"/>
                <w:szCs w:val="16"/>
              </w:rPr>
              <w:t>.</w:t>
            </w:r>
            <w:r w:rsidRPr="000B6B19">
              <w:rPr>
                <w:rFonts w:ascii="Arial" w:hAnsi="Arial" w:cs="Arial"/>
                <w:sz w:val="16"/>
                <w:szCs w:val="16"/>
              </w:rPr>
              <w:t>7</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3231" w:type="dxa"/>
            <w:tcBorders>
              <w:right w:val="single" w:sz="4" w:space="0" w:color="0C5498"/>
            </w:tcBorders>
            <w:shd w:val="clear" w:color="auto" w:fill="auto"/>
            <w:vAlign w:val="center"/>
          </w:tcPr>
          <w:p w:rsidR="00A56B03" w:rsidRPr="002F20C3" w:rsidRDefault="00A56B03" w:rsidP="00A56B0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NEETs (15-24)</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6</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5</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A56B0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Early school leavers (18-24)</w:t>
            </w:r>
            <w:r w:rsidRPr="002F20C3">
              <w:rPr>
                <w:rStyle w:val="FootnoteReference"/>
                <w:rFonts w:ascii="Arial" w:hAnsi="Arial" w:cs="Arial"/>
                <w:sz w:val="16"/>
                <w:szCs w:val="16"/>
              </w:rPr>
              <w:footnoteReference w:id="1"/>
            </w:r>
            <w:r w:rsidRPr="002F20C3">
              <w:rPr>
                <w:rFonts w:ascii="Arial" w:hAnsi="Arial" w:cs="Arial"/>
                <w:sz w:val="16"/>
                <w:szCs w:val="16"/>
                <w:vertAlign w:val="superscript"/>
              </w:rPr>
              <w:t>)</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7</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r>
    </w:tbl>
    <w:p w:rsidR="005A3371" w:rsidRPr="002F20C3" w:rsidRDefault="005A3371" w:rsidP="00EB573C">
      <w:pPr>
        <w:spacing w:after="120" w:line="240" w:lineRule="auto"/>
        <w:jc w:val="center"/>
        <w:rPr>
          <w:rFonts w:ascii="Arial" w:hAnsi="Arial" w:cs="Arial"/>
          <w:bCs/>
          <w:sz w:val="20"/>
          <w:szCs w:val="20"/>
        </w:rPr>
      </w:pPr>
    </w:p>
    <w:p w:rsidR="005A3371" w:rsidRPr="002F20C3" w:rsidRDefault="005A3371" w:rsidP="00EB573C">
      <w:pPr>
        <w:spacing w:after="120" w:line="240" w:lineRule="auto"/>
        <w:jc w:val="center"/>
        <w:rPr>
          <w:rFonts w:ascii="Arial" w:hAnsi="Arial" w:cs="Arial"/>
          <w:bCs/>
          <w:sz w:val="20"/>
          <w:szCs w:val="20"/>
        </w:rPr>
      </w:pPr>
    </w:p>
    <w:p w:rsidR="00066E6C" w:rsidRPr="002F20C3" w:rsidRDefault="00066E6C" w:rsidP="00EB573C">
      <w:pPr>
        <w:spacing w:after="120" w:line="240" w:lineRule="auto"/>
        <w:jc w:val="center"/>
        <w:rPr>
          <w:rFonts w:ascii="Arial" w:hAnsi="Arial" w:cs="Arial"/>
          <w:sz w:val="20"/>
          <w:szCs w:val="20"/>
        </w:rPr>
      </w:pPr>
      <w:r w:rsidRPr="002F20C3">
        <w:rPr>
          <w:rFonts w:ascii="Arial" w:hAnsi="Arial" w:cs="Arial"/>
          <w:sz w:val="20"/>
          <w:szCs w:val="20"/>
        </w:rPr>
        <w:t xml:space="preserve"> </w:t>
      </w:r>
    </w:p>
    <w:p w:rsidR="00EF2758" w:rsidRPr="002F20C3" w:rsidRDefault="00EF2758" w:rsidP="00EF2758">
      <w:pPr>
        <w:spacing w:after="0" w:line="264" w:lineRule="auto"/>
        <w:ind w:right="284"/>
        <w:rPr>
          <w:rFonts w:ascii="Arial" w:hAnsi="Arial" w:cs="Arial"/>
          <w:b/>
          <w:bCs/>
          <w:sz w:val="20"/>
          <w:szCs w:val="20"/>
        </w:rPr>
      </w:pPr>
    </w:p>
    <w:p w:rsidR="00EF2758" w:rsidRPr="002F20C3" w:rsidRDefault="00EF2758" w:rsidP="00EF2758">
      <w:pPr>
        <w:spacing w:after="0" w:line="264" w:lineRule="auto"/>
        <w:ind w:right="284"/>
        <w:rPr>
          <w:rFonts w:ascii="Arial" w:hAnsi="Arial" w:cs="Arial"/>
          <w:b/>
          <w:bCs/>
          <w:sz w:val="20"/>
          <w:szCs w:val="20"/>
        </w:rPr>
      </w:pPr>
    </w:p>
    <w:p w:rsidR="0033726E" w:rsidRDefault="0033726E">
      <w:pPr>
        <w:spacing w:after="0" w:line="240" w:lineRule="auto"/>
        <w:rPr>
          <w:rFonts w:ascii="Arial" w:hAnsi="Arial" w:cs="Arial"/>
          <w:b/>
          <w:bCs/>
          <w:sz w:val="20"/>
          <w:szCs w:val="20"/>
        </w:rPr>
      </w:pPr>
      <w:r>
        <w:rPr>
          <w:rFonts w:ascii="Arial" w:hAnsi="Arial" w:cs="Arial"/>
          <w:b/>
          <w:bCs/>
          <w:sz w:val="20"/>
          <w:szCs w:val="20"/>
        </w:rPr>
        <w:br w:type="page"/>
      </w:r>
    </w:p>
    <w:p w:rsidR="00AC3D77" w:rsidRPr="002F20C3" w:rsidRDefault="00066E6C" w:rsidP="007951B3">
      <w:pPr>
        <w:tabs>
          <w:tab w:val="left" w:pos="4035"/>
        </w:tabs>
        <w:spacing w:after="0" w:line="264" w:lineRule="auto"/>
        <w:ind w:right="284"/>
        <w:jc w:val="center"/>
        <w:rPr>
          <w:rFonts w:ascii="Arial" w:hAnsi="Arial" w:cs="Arial"/>
          <w:bCs/>
          <w:sz w:val="20"/>
          <w:szCs w:val="20"/>
        </w:rPr>
      </w:pPr>
      <w:r w:rsidRPr="002F20C3">
        <w:rPr>
          <w:rFonts w:ascii="Arial" w:hAnsi="Arial" w:cs="Arial"/>
          <w:b/>
          <w:bCs/>
          <w:sz w:val="20"/>
          <w:szCs w:val="20"/>
        </w:rPr>
        <w:lastRenderedPageBreak/>
        <w:t>Table 3</w:t>
      </w:r>
      <w:r w:rsidRPr="002F20C3">
        <w:rPr>
          <w:rFonts w:ascii="Arial" w:hAnsi="Arial" w:cs="Arial"/>
          <w:sz w:val="20"/>
          <w:szCs w:val="20"/>
        </w:rPr>
        <w:t xml:space="preserve"> </w:t>
      </w:r>
      <w:r w:rsidRPr="002F20C3">
        <w:rPr>
          <w:rFonts w:ascii="Arial" w:hAnsi="Arial" w:cs="Arial"/>
          <w:bCs/>
          <w:sz w:val="20"/>
          <w:szCs w:val="20"/>
        </w:rPr>
        <w:t xml:space="preserve">Active population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p>
    <w:tbl>
      <w:tblPr>
        <w:tblW w:w="10210" w:type="dxa"/>
        <w:jc w:val="center"/>
        <w:tblCellMar>
          <w:left w:w="28" w:type="dxa"/>
          <w:right w:w="28" w:type="dxa"/>
        </w:tblCellMar>
        <w:tblLook w:val="04A0" w:firstRow="1" w:lastRow="0" w:firstColumn="1" w:lastColumn="0" w:noHBand="0" w:noVBand="1"/>
      </w:tblPr>
      <w:tblGrid>
        <w:gridCol w:w="3150"/>
        <w:gridCol w:w="1350"/>
        <w:gridCol w:w="1567"/>
        <w:gridCol w:w="1313"/>
        <w:gridCol w:w="1449"/>
        <w:gridCol w:w="1381"/>
      </w:tblGrid>
      <w:tr w:rsidR="002F20C3" w:rsidRPr="002F20C3" w:rsidTr="005A3371">
        <w:trPr>
          <w:trHeight w:val="20"/>
          <w:jc w:val="center"/>
        </w:trPr>
        <w:tc>
          <w:tcPr>
            <w:tcW w:w="3150" w:type="dxa"/>
            <w:vMerge w:val="restart"/>
            <w:tcBorders>
              <w:top w:val="single" w:sz="4" w:space="0" w:color="0C5498"/>
              <w:bottom w:val="single" w:sz="4" w:space="0" w:color="0C5498"/>
              <w:right w:val="single" w:sz="4" w:space="0" w:color="0C5498"/>
            </w:tcBorders>
            <w:shd w:val="clear" w:color="auto" w:fill="auto"/>
            <w:vAlign w:val="bottom"/>
            <w:hideMark/>
          </w:tcPr>
          <w:p w:rsidR="005A3371" w:rsidRPr="002F20C3" w:rsidRDefault="005A3371" w:rsidP="005A3371">
            <w:pPr>
              <w:spacing w:after="0"/>
              <w:rPr>
                <w:rFonts w:cs="Arial"/>
                <w:sz w:val="16"/>
                <w:szCs w:val="16"/>
              </w:rPr>
            </w:pPr>
            <w:r w:rsidRPr="002F20C3">
              <w:rPr>
                <w:rFonts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before="60" w:after="6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880"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0"/>
          <w:jc w:val="center"/>
        </w:trPr>
        <w:tc>
          <w:tcPr>
            <w:tcW w:w="3150"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rPr>
                <w:rFonts w:cs="Arial"/>
                <w:sz w:val="16"/>
                <w:szCs w:val="16"/>
              </w:rPr>
            </w:pPr>
          </w:p>
        </w:tc>
        <w:tc>
          <w:tcPr>
            <w:tcW w:w="135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56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31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44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381"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0"/>
          <w:jc w:val="center"/>
        </w:trPr>
        <w:tc>
          <w:tcPr>
            <w:tcW w:w="3150" w:type="dxa"/>
            <w:tcBorders>
              <w:top w:val="single" w:sz="4" w:space="0" w:color="0C5498"/>
              <w:right w:val="single" w:sz="4" w:space="0" w:color="0C5498"/>
            </w:tcBorders>
            <w:shd w:val="clear" w:color="auto" w:fill="auto"/>
            <w:vAlign w:val="center"/>
          </w:tcPr>
          <w:p w:rsidR="005A3371" w:rsidRPr="002F20C3" w:rsidRDefault="005A3371" w:rsidP="005A3371">
            <w:pPr>
              <w:spacing w:after="0"/>
              <w:rPr>
                <w:rFonts w:cs="Arial"/>
                <w:b/>
                <w:bCs/>
                <w:sz w:val="16"/>
                <w:szCs w:val="16"/>
              </w:rPr>
            </w:pPr>
          </w:p>
        </w:tc>
        <w:tc>
          <w:tcPr>
            <w:tcW w:w="1350" w:type="dxa"/>
            <w:tcBorders>
              <w:top w:val="single" w:sz="4" w:space="0" w:color="0C5498"/>
              <w:righ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567" w:type="dxa"/>
            <w:tcBorders>
              <w:top w:val="single" w:sz="4" w:space="0" w:color="0C5498"/>
              <w:lef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313" w:type="dxa"/>
            <w:tcBorders>
              <w:top w:val="single" w:sz="4" w:space="0" w:color="0C5498"/>
              <w:righ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449" w:type="dxa"/>
            <w:tcBorders>
              <w:top w:val="single" w:sz="4" w:space="0" w:color="0C5498"/>
              <w:lef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381" w:type="dxa"/>
            <w:tcBorders>
              <w:top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Active – total</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3239</w:t>
            </w:r>
            <w:r w:rsidR="000B6B19" w:rsidRPr="000B6B19">
              <w:rPr>
                <w:rFonts w:ascii="Arial" w:hAnsi="Arial" w:cs="Arial"/>
                <w:b/>
                <w:sz w:val="16"/>
                <w:szCs w:val="16"/>
              </w:rPr>
              <w:t>.</w:t>
            </w:r>
            <w:r w:rsidRPr="000B6B19">
              <w:rPr>
                <w:rFonts w:ascii="Arial" w:hAnsi="Arial" w:cs="Arial"/>
                <w:b/>
                <w:sz w:val="16"/>
                <w:szCs w:val="16"/>
              </w:rPr>
              <w:t>2</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-70</w:t>
            </w:r>
            <w:r w:rsidR="000B6B19" w:rsidRPr="000B6B19">
              <w:rPr>
                <w:rFonts w:ascii="Arial" w:hAnsi="Arial" w:cs="Arial"/>
                <w:b/>
                <w:sz w:val="16"/>
                <w:szCs w:val="16"/>
              </w:rPr>
              <w:t>.</w:t>
            </w:r>
            <w:r w:rsidRPr="000B6B19">
              <w:rPr>
                <w:rFonts w:ascii="Arial" w:hAnsi="Arial" w:cs="Arial"/>
                <w:b/>
                <w:sz w:val="16"/>
                <w:szCs w:val="16"/>
              </w:rPr>
              <w:t>9</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1</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97</w:t>
            </w:r>
            <w:r w:rsidR="000B6B19" w:rsidRPr="000B6B19">
              <w:rPr>
                <w:rFonts w:ascii="Arial" w:hAnsi="Arial" w:cs="Arial"/>
                <w:b/>
                <w:sz w:val="16"/>
                <w:szCs w:val="16"/>
              </w:rPr>
              <w:t>.</w:t>
            </w:r>
            <w:r w:rsidRPr="000B6B19">
              <w:rPr>
                <w:rFonts w:ascii="Arial" w:hAnsi="Arial" w:cs="Arial"/>
                <w:b/>
                <w:sz w:val="16"/>
                <w:szCs w:val="16"/>
              </w:rPr>
              <w:t>9</w:t>
            </w:r>
          </w:p>
        </w:tc>
        <w:tc>
          <w:tcPr>
            <w:tcW w:w="1381" w:type="dxa"/>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1</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1809</w:t>
            </w:r>
            <w:r w:rsidR="000B6B19" w:rsidRPr="000B6B19">
              <w:rPr>
                <w:rFonts w:ascii="Arial" w:hAnsi="Arial" w:cs="Arial"/>
                <w:sz w:val="16"/>
                <w:szCs w:val="16"/>
              </w:rPr>
              <w:t>.</w:t>
            </w:r>
            <w:r w:rsidRPr="000B6B19">
              <w:rPr>
                <w:rFonts w:ascii="Arial" w:hAnsi="Arial" w:cs="Arial"/>
                <w:sz w:val="16"/>
                <w:szCs w:val="16"/>
              </w:rPr>
              <w:t>9</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2</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52</w:t>
            </w:r>
            <w:r w:rsidR="000B6B19" w:rsidRPr="000B6B19">
              <w:rPr>
                <w:rFonts w:ascii="Arial" w:hAnsi="Arial" w:cs="Arial"/>
                <w:sz w:val="16"/>
                <w:szCs w:val="16"/>
              </w:rPr>
              <w:t>.</w:t>
            </w:r>
            <w:r w:rsidRPr="000B6B19">
              <w:rPr>
                <w:rFonts w:ascii="Arial" w:hAnsi="Arial" w:cs="Arial"/>
                <w:sz w:val="16"/>
                <w:szCs w:val="16"/>
              </w:rPr>
              <w:t>3</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1429</w:t>
            </w:r>
            <w:r w:rsidR="000B6B19" w:rsidRPr="000B6B19">
              <w:rPr>
                <w:rFonts w:ascii="Arial" w:hAnsi="Arial" w:cs="Arial"/>
                <w:sz w:val="16"/>
                <w:szCs w:val="16"/>
              </w:rPr>
              <w:t>.</w:t>
            </w:r>
            <w:r w:rsidRPr="000B6B19">
              <w:rPr>
                <w:rFonts w:ascii="Arial" w:hAnsi="Arial" w:cs="Arial"/>
                <w:sz w:val="16"/>
                <w:szCs w:val="16"/>
              </w:rPr>
              <w:t>2</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-49</w:t>
            </w:r>
            <w:r w:rsidR="000B6B19" w:rsidRPr="000B6B19">
              <w:rPr>
                <w:rFonts w:ascii="Arial" w:hAnsi="Arial" w:cs="Arial"/>
                <w:sz w:val="16"/>
                <w:szCs w:val="16"/>
              </w:rPr>
              <w:t>.</w:t>
            </w:r>
            <w:r w:rsidRPr="000B6B19">
              <w:rPr>
                <w:rFonts w:ascii="Arial" w:hAnsi="Arial" w:cs="Arial"/>
                <w:sz w:val="16"/>
                <w:szCs w:val="16"/>
              </w:rPr>
              <w:t>7</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4</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45</w:t>
            </w:r>
            <w:r w:rsidR="000B6B19" w:rsidRPr="000B6B19">
              <w:rPr>
                <w:rFonts w:ascii="Arial" w:hAnsi="Arial" w:cs="Arial"/>
                <w:sz w:val="16"/>
                <w:szCs w:val="16"/>
              </w:rPr>
              <w:t>.</w:t>
            </w:r>
            <w:r w:rsidRPr="000B6B19">
              <w:rPr>
                <w:rFonts w:ascii="Arial" w:hAnsi="Arial" w:cs="Arial"/>
                <w:sz w:val="16"/>
                <w:szCs w:val="16"/>
              </w:rPr>
              <w:t>6</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Beogradski Region</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809</w:t>
            </w:r>
            <w:r w:rsidR="000B6B19" w:rsidRPr="000B6B19">
              <w:rPr>
                <w:rFonts w:ascii="Arial" w:hAnsi="Arial" w:cs="Arial"/>
                <w:sz w:val="16"/>
                <w:szCs w:val="16"/>
              </w:rPr>
              <w:t>.</w:t>
            </w:r>
            <w:r w:rsidRPr="000B6B19">
              <w:rPr>
                <w:rFonts w:ascii="Arial" w:hAnsi="Arial" w:cs="Arial"/>
                <w:sz w:val="16"/>
                <w:szCs w:val="16"/>
              </w:rPr>
              <w:t>1</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2</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41</w:t>
            </w:r>
            <w:r w:rsidR="000B6B19" w:rsidRPr="000B6B19">
              <w:rPr>
                <w:rFonts w:ascii="Arial" w:hAnsi="Arial" w:cs="Arial"/>
                <w:sz w:val="16"/>
                <w:szCs w:val="16"/>
              </w:rPr>
              <w:t>.</w:t>
            </w:r>
            <w:r w:rsidRPr="000B6B19">
              <w:rPr>
                <w:rFonts w:ascii="Arial" w:hAnsi="Arial" w:cs="Arial"/>
                <w:sz w:val="16"/>
                <w:szCs w:val="16"/>
              </w:rPr>
              <w:t>0</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Vojvodine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839</w:t>
            </w:r>
            <w:r w:rsidR="000B6B19" w:rsidRPr="000B6B19">
              <w:rPr>
                <w:rFonts w:ascii="Arial" w:hAnsi="Arial" w:cs="Arial"/>
                <w:sz w:val="16"/>
                <w:szCs w:val="16"/>
              </w:rPr>
              <w:t>.</w:t>
            </w:r>
            <w:r w:rsidRPr="000B6B19">
              <w:rPr>
                <w:rFonts w:ascii="Arial" w:hAnsi="Arial" w:cs="Arial"/>
                <w:sz w:val="16"/>
                <w:szCs w:val="16"/>
              </w:rPr>
              <w:t>9</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-24</w:t>
            </w:r>
            <w:r w:rsidR="000B6B19" w:rsidRPr="000B6B19">
              <w:rPr>
                <w:rFonts w:ascii="Arial" w:hAnsi="Arial" w:cs="Arial"/>
                <w:sz w:val="16"/>
                <w:szCs w:val="16"/>
              </w:rPr>
              <w:t>.</w:t>
            </w:r>
            <w:r w:rsidRPr="000B6B19">
              <w:rPr>
                <w:rFonts w:ascii="Arial" w:hAnsi="Arial" w:cs="Arial"/>
                <w:sz w:val="16"/>
                <w:szCs w:val="16"/>
              </w:rPr>
              <w:t>3</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8</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27</w:t>
            </w:r>
            <w:r w:rsidR="000B6B19" w:rsidRPr="000B6B19">
              <w:rPr>
                <w:rFonts w:ascii="Arial" w:hAnsi="Arial" w:cs="Arial"/>
                <w:sz w:val="16"/>
                <w:szCs w:val="16"/>
              </w:rPr>
              <w:t>.</w:t>
            </w:r>
            <w:r w:rsidRPr="000B6B19">
              <w:rPr>
                <w:rFonts w:ascii="Arial" w:hAnsi="Arial" w:cs="Arial"/>
                <w:sz w:val="16"/>
                <w:szCs w:val="16"/>
              </w:rPr>
              <w:t>4</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Šumadije i  Zapadne Srbije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931</w:t>
            </w:r>
            <w:r w:rsidR="000B6B19" w:rsidRPr="000B6B19">
              <w:rPr>
                <w:rFonts w:ascii="Arial" w:hAnsi="Arial" w:cs="Arial"/>
                <w:sz w:val="16"/>
                <w:szCs w:val="16"/>
              </w:rPr>
              <w:t>.</w:t>
            </w:r>
            <w:r w:rsidRPr="000B6B19">
              <w:rPr>
                <w:rFonts w:ascii="Arial" w:hAnsi="Arial" w:cs="Arial"/>
                <w:sz w:val="16"/>
                <w:szCs w:val="16"/>
              </w:rPr>
              <w:t>8</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-15</w:t>
            </w:r>
            <w:r w:rsidR="000B6B19" w:rsidRPr="000B6B19">
              <w:rPr>
                <w:rFonts w:ascii="Arial" w:hAnsi="Arial" w:cs="Arial"/>
                <w:sz w:val="16"/>
                <w:szCs w:val="16"/>
              </w:rPr>
              <w:t>.</w:t>
            </w:r>
            <w:r w:rsidRPr="000B6B19">
              <w:rPr>
                <w:rFonts w:ascii="Arial" w:hAnsi="Arial" w:cs="Arial"/>
                <w:sz w:val="16"/>
                <w:szCs w:val="16"/>
              </w:rPr>
              <w:t>9</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22</w:t>
            </w:r>
            <w:r w:rsidR="000B6B19" w:rsidRPr="000B6B19">
              <w:rPr>
                <w:rFonts w:ascii="Arial" w:hAnsi="Arial" w:cs="Arial"/>
                <w:sz w:val="16"/>
                <w:szCs w:val="16"/>
              </w:rPr>
              <w:t>.</w:t>
            </w:r>
            <w:r w:rsidRPr="000B6B19">
              <w:rPr>
                <w:rFonts w:ascii="Arial" w:hAnsi="Arial" w:cs="Arial"/>
                <w:sz w:val="16"/>
                <w:szCs w:val="16"/>
              </w:rPr>
              <w:t>2</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Južne i Istočne Srbije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658</w:t>
            </w:r>
            <w:r w:rsidR="000B6B19" w:rsidRPr="000B6B19">
              <w:rPr>
                <w:rFonts w:ascii="Arial" w:hAnsi="Arial" w:cs="Arial"/>
                <w:sz w:val="16"/>
                <w:szCs w:val="16"/>
              </w:rPr>
              <w:t>.</w:t>
            </w:r>
            <w:r w:rsidRPr="000B6B19">
              <w:rPr>
                <w:rFonts w:ascii="Arial" w:hAnsi="Arial" w:cs="Arial"/>
                <w:sz w:val="16"/>
                <w:szCs w:val="16"/>
              </w:rPr>
              <w:t>4</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-25</w:t>
            </w:r>
            <w:r w:rsidR="000B6B19" w:rsidRPr="000B6B19">
              <w:rPr>
                <w:rFonts w:ascii="Arial" w:hAnsi="Arial" w:cs="Arial"/>
                <w:sz w:val="16"/>
                <w:szCs w:val="16"/>
              </w:rPr>
              <w:t>.</w:t>
            </w:r>
            <w:r w:rsidRPr="000B6B19">
              <w:rPr>
                <w:rFonts w:ascii="Arial" w:hAnsi="Arial" w:cs="Arial"/>
                <w:sz w:val="16"/>
                <w:szCs w:val="16"/>
              </w:rPr>
              <w:t>5</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7</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4</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6901F2" w:rsidRPr="002F20C3" w:rsidTr="00F735B3">
        <w:trPr>
          <w:trHeight w:val="20"/>
          <w:jc w:val="center"/>
        </w:trPr>
        <w:tc>
          <w:tcPr>
            <w:tcW w:w="3150" w:type="dxa"/>
            <w:tcBorders>
              <w:right w:val="single" w:sz="4" w:space="0" w:color="0C5498"/>
            </w:tcBorders>
            <w:shd w:val="clear" w:color="auto" w:fill="auto"/>
            <w:noWrap/>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i Metohija </w:t>
            </w:r>
          </w:p>
        </w:tc>
        <w:tc>
          <w:tcPr>
            <w:tcW w:w="1350" w:type="dxa"/>
            <w:tcBorders>
              <w:righ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567"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313" w:type="dxa"/>
            <w:tcBorders>
              <w:righ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49"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381" w:type="dxa"/>
            <w:shd w:val="clear" w:color="auto" w:fill="auto"/>
            <w:noWrap/>
            <w:vAlign w:val="bottom"/>
          </w:tcPr>
          <w:p w:rsidR="006901F2" w:rsidRPr="002F20C3" w:rsidRDefault="006901F2" w:rsidP="006901F2">
            <w:pPr>
              <w:spacing w:after="0"/>
              <w:ind w:right="144"/>
              <w:jc w:val="right"/>
              <w:rPr>
                <w:sz w:val="16"/>
              </w:rPr>
            </w:pPr>
            <w:r w:rsidRPr="002F20C3">
              <w:rPr>
                <w:sz w:val="16"/>
              </w:rPr>
              <w:t>…</w:t>
            </w:r>
          </w:p>
        </w:tc>
      </w:tr>
    </w:tbl>
    <w:p w:rsidR="005A3371" w:rsidRPr="002F20C3" w:rsidRDefault="005A3371" w:rsidP="00EB573C">
      <w:pPr>
        <w:spacing w:after="120" w:line="240" w:lineRule="auto"/>
        <w:jc w:val="center"/>
        <w:rPr>
          <w:rFonts w:ascii="Arial" w:hAnsi="Arial" w:cs="Arial"/>
          <w:bCs/>
          <w:sz w:val="20"/>
          <w:szCs w:val="20"/>
        </w:rPr>
      </w:pPr>
    </w:p>
    <w:p w:rsidR="005A3371" w:rsidRPr="002F20C3" w:rsidRDefault="005A3371" w:rsidP="00EB573C">
      <w:pPr>
        <w:spacing w:after="120" w:line="240" w:lineRule="auto"/>
        <w:jc w:val="center"/>
        <w:rPr>
          <w:rFonts w:ascii="Arial" w:eastAsia="Times New Roman" w:hAnsi="Arial" w:cs="Arial"/>
          <w:b/>
          <w:bCs/>
          <w:sz w:val="20"/>
          <w:szCs w:val="20"/>
          <w:lang w:eastAsia="sr-Latn-RS"/>
        </w:rPr>
      </w:pPr>
    </w:p>
    <w:p w:rsidR="00066E6C" w:rsidRPr="002F20C3" w:rsidRDefault="00066E6C" w:rsidP="00EB573C">
      <w:pPr>
        <w:spacing w:after="120" w:line="240" w:lineRule="auto"/>
        <w:jc w:val="center"/>
        <w:rPr>
          <w:rFonts w:ascii="Arial" w:hAnsi="Arial" w:cs="Arial"/>
          <w:bCs/>
          <w:sz w:val="20"/>
          <w:szCs w:val="20"/>
        </w:rPr>
      </w:pPr>
      <w:r w:rsidRPr="002F20C3">
        <w:rPr>
          <w:rFonts w:ascii="Arial" w:hAnsi="Arial" w:cs="Arial"/>
          <w:b/>
          <w:bCs/>
          <w:sz w:val="20"/>
          <w:szCs w:val="20"/>
        </w:rPr>
        <w:t xml:space="preserve">Table 4 </w:t>
      </w:r>
      <w:r w:rsidRPr="002F20C3">
        <w:rPr>
          <w:rFonts w:ascii="Arial" w:hAnsi="Arial" w:cs="Arial"/>
          <w:bCs/>
          <w:sz w:val="20"/>
          <w:szCs w:val="20"/>
        </w:rPr>
        <w:t xml:space="preserve">Employed persons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p>
    <w:tbl>
      <w:tblPr>
        <w:tblW w:w="10209" w:type="dxa"/>
        <w:jc w:val="center"/>
        <w:tblCellMar>
          <w:left w:w="28" w:type="dxa"/>
          <w:right w:w="28" w:type="dxa"/>
        </w:tblCellMar>
        <w:tblLook w:val="04A0" w:firstRow="1" w:lastRow="0" w:firstColumn="1" w:lastColumn="0" w:noHBand="0" w:noVBand="1"/>
      </w:tblPr>
      <w:tblGrid>
        <w:gridCol w:w="3119"/>
        <w:gridCol w:w="1418"/>
        <w:gridCol w:w="1418"/>
        <w:gridCol w:w="1418"/>
        <w:gridCol w:w="1418"/>
        <w:gridCol w:w="1418"/>
      </w:tblGrid>
      <w:tr w:rsidR="002F20C3" w:rsidRPr="002F20C3" w:rsidTr="005A3371">
        <w:trPr>
          <w:trHeight w:val="706"/>
          <w:jc w:val="center"/>
        </w:trPr>
        <w:tc>
          <w:tcPr>
            <w:tcW w:w="3119" w:type="dxa"/>
            <w:vMerge w:val="restart"/>
            <w:tcBorders>
              <w:top w:val="single" w:sz="4" w:space="0" w:color="0C5498"/>
              <w:bottom w:val="single" w:sz="4" w:space="0" w:color="0C5498"/>
              <w:right w:val="single" w:sz="4" w:space="0" w:color="0C5498"/>
            </w:tcBorders>
            <w:shd w:val="clear" w:color="auto" w:fill="auto"/>
            <w:noWrap/>
            <w:vAlign w:val="bottom"/>
          </w:tcPr>
          <w:p w:rsidR="005A3371" w:rsidRPr="002F20C3" w:rsidRDefault="005A3371" w:rsidP="005A3371">
            <w:pPr>
              <w:spacing w:after="0"/>
              <w:jc w:val="center"/>
              <w:rPr>
                <w:rFonts w:cs="Arial"/>
                <w:sz w:val="16"/>
                <w:szCs w:val="16"/>
                <w:lang w:eastAsia="sr-Latn-RS"/>
              </w:rPr>
            </w:pP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F735B3">
            <w:pPr>
              <w:spacing w:before="60" w:after="6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836"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3119" w:type="dxa"/>
            <w:vMerge/>
            <w:tcBorders>
              <w:top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after="0"/>
              <w:jc w:val="center"/>
              <w:rPr>
                <w:rFonts w:cs="Arial"/>
                <w:sz w:val="16"/>
                <w:szCs w:val="16"/>
                <w:lang w:eastAsia="sr-Latn-RS"/>
              </w:rPr>
            </w:pP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55"/>
          <w:jc w:val="center"/>
        </w:trPr>
        <w:tc>
          <w:tcPr>
            <w:tcW w:w="3119"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rPr>
                <w:rFonts w:cs="Arial"/>
                <w:b/>
                <w:bCs/>
                <w:sz w:val="16"/>
                <w:szCs w:val="16"/>
                <w:lang w:eastAsia="sr-Latn-RS"/>
              </w:rPr>
            </w:pPr>
          </w:p>
        </w:tc>
        <w:tc>
          <w:tcPr>
            <w:tcW w:w="1418" w:type="dxa"/>
            <w:tcBorders>
              <w:top w:val="single" w:sz="4" w:space="0" w:color="0C5498"/>
              <w:left w:val="single" w:sz="4" w:space="0" w:color="0C5498"/>
              <w:righ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Employed - total</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2763</w:t>
            </w:r>
            <w:r w:rsidR="000B6B19" w:rsidRPr="000B6B19">
              <w:rPr>
                <w:rFonts w:ascii="Arial" w:hAnsi="Arial" w:cs="Arial"/>
                <w:b/>
                <w:sz w:val="16"/>
                <w:szCs w:val="16"/>
              </w:rPr>
              <w:t>.</w:t>
            </w:r>
            <w:r w:rsidRPr="000B6B19">
              <w:rPr>
                <w:rFonts w:ascii="Arial" w:hAnsi="Arial" w:cs="Arial"/>
                <w:b/>
                <w:sz w:val="16"/>
                <w:szCs w:val="16"/>
              </w:rPr>
              <w:t>6</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-118</w:t>
            </w:r>
            <w:r w:rsidR="000B6B19" w:rsidRPr="000B6B19">
              <w:rPr>
                <w:rFonts w:ascii="Arial" w:hAnsi="Arial" w:cs="Arial"/>
                <w:b/>
                <w:sz w:val="16"/>
                <w:szCs w:val="16"/>
              </w:rPr>
              <w:t>.</w:t>
            </w:r>
            <w:r w:rsidRPr="000B6B19">
              <w:rPr>
                <w:rFonts w:ascii="Arial" w:hAnsi="Arial" w:cs="Arial"/>
                <w:b/>
                <w:sz w:val="16"/>
                <w:szCs w:val="16"/>
              </w:rPr>
              <w:t>3</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-4</w:t>
            </w:r>
            <w:r w:rsidR="000B6B19" w:rsidRPr="000B6B19">
              <w:rPr>
                <w:rFonts w:ascii="Arial" w:hAnsi="Arial" w:cs="Arial"/>
                <w:b/>
                <w:sz w:val="16"/>
                <w:szCs w:val="16"/>
              </w:rPr>
              <w:t>.</w:t>
            </w:r>
            <w:r w:rsidRPr="000B6B19">
              <w:rPr>
                <w:rFonts w:ascii="Arial" w:hAnsi="Arial" w:cs="Arial"/>
                <w:b/>
                <w:sz w:val="16"/>
                <w:szCs w:val="16"/>
              </w:rPr>
              <w:t>1</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32</w:t>
            </w:r>
            <w:r w:rsidR="000B6B19" w:rsidRPr="000B6B19">
              <w:rPr>
                <w:rFonts w:ascii="Arial" w:hAnsi="Arial" w:cs="Arial"/>
                <w:b/>
                <w:sz w:val="16"/>
                <w:szCs w:val="16"/>
              </w:rPr>
              <w:t>.</w:t>
            </w:r>
            <w:r w:rsidRPr="000B6B19">
              <w:rPr>
                <w:rFonts w:ascii="Arial" w:hAnsi="Arial" w:cs="Arial"/>
                <w:b/>
                <w:sz w:val="16"/>
                <w:szCs w:val="16"/>
              </w:rPr>
              <w:t>2</w:t>
            </w:r>
          </w:p>
        </w:tc>
        <w:tc>
          <w:tcPr>
            <w:tcW w:w="1418" w:type="dxa"/>
            <w:shd w:val="clear" w:color="auto" w:fill="auto"/>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1</w:t>
            </w:r>
            <w:r w:rsidR="000B6B19" w:rsidRPr="000B6B19">
              <w:rPr>
                <w:rFonts w:ascii="Arial" w:hAnsi="Arial" w:cs="Arial"/>
                <w:b/>
                <w:sz w:val="16"/>
                <w:szCs w:val="16"/>
              </w:rPr>
              <w:t>.</w:t>
            </w:r>
            <w:r w:rsidRPr="000B6B19">
              <w:rPr>
                <w:rFonts w:ascii="Arial" w:hAnsi="Arial" w:cs="Arial"/>
                <w:b/>
                <w:sz w:val="16"/>
                <w:szCs w:val="16"/>
              </w:rPr>
              <w:t>2</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1554</w:t>
            </w:r>
            <w:r w:rsidR="000B6B19" w:rsidRPr="000B6B19">
              <w:rPr>
                <w:rFonts w:ascii="Arial" w:hAnsi="Arial" w:cs="Arial"/>
                <w:sz w:val="16"/>
                <w:szCs w:val="16"/>
              </w:rPr>
              <w:t>.</w:t>
            </w:r>
            <w:r w:rsidRPr="000B6B19">
              <w:rPr>
                <w:rFonts w:ascii="Arial" w:hAnsi="Arial" w:cs="Arial"/>
                <w:sz w:val="16"/>
                <w:szCs w:val="16"/>
              </w:rPr>
              <w:t>7</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-55</w:t>
            </w:r>
            <w:r w:rsidR="000B6B19" w:rsidRPr="000B6B19">
              <w:rPr>
                <w:rFonts w:ascii="Arial" w:hAnsi="Arial" w:cs="Arial"/>
                <w:sz w:val="16"/>
                <w:szCs w:val="16"/>
              </w:rPr>
              <w:t>.</w:t>
            </w:r>
            <w:r w:rsidRPr="000B6B19">
              <w:rPr>
                <w:rFonts w:ascii="Arial" w:hAnsi="Arial" w:cs="Arial"/>
                <w:sz w:val="16"/>
                <w:szCs w:val="16"/>
              </w:rPr>
              <w:t>9</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5</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25</w:t>
            </w:r>
            <w:r w:rsidR="000B6B19" w:rsidRPr="000B6B19">
              <w:rPr>
                <w:rFonts w:ascii="Arial" w:hAnsi="Arial" w:cs="Arial"/>
                <w:sz w:val="16"/>
                <w:szCs w:val="16"/>
              </w:rPr>
              <w:t>.</w:t>
            </w:r>
            <w:r w:rsidRPr="000B6B19">
              <w:rPr>
                <w:rFonts w:ascii="Arial" w:hAnsi="Arial" w:cs="Arial"/>
                <w:sz w:val="16"/>
                <w:szCs w:val="16"/>
              </w:rPr>
              <w:t>3</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1208</w:t>
            </w:r>
            <w:r w:rsidR="000B6B19" w:rsidRPr="000B6B19">
              <w:rPr>
                <w:rFonts w:ascii="Arial" w:hAnsi="Arial" w:cs="Arial"/>
                <w:sz w:val="16"/>
                <w:szCs w:val="16"/>
              </w:rPr>
              <w:t>.</w:t>
            </w:r>
            <w:r w:rsidRPr="000B6B19">
              <w:rPr>
                <w:rFonts w:ascii="Arial" w:hAnsi="Arial" w:cs="Arial"/>
                <w:sz w:val="16"/>
                <w:szCs w:val="16"/>
              </w:rPr>
              <w:t>9</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-62</w:t>
            </w:r>
            <w:r w:rsidR="000B6B19" w:rsidRPr="000B6B19">
              <w:rPr>
                <w:rFonts w:ascii="Arial" w:hAnsi="Arial" w:cs="Arial"/>
                <w:sz w:val="16"/>
                <w:szCs w:val="16"/>
              </w:rPr>
              <w:t>.</w:t>
            </w:r>
            <w:r w:rsidRPr="000B6B19">
              <w:rPr>
                <w:rFonts w:ascii="Arial" w:hAnsi="Arial" w:cs="Arial"/>
                <w:sz w:val="16"/>
                <w:szCs w:val="16"/>
              </w:rPr>
              <w:t>4</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9</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9</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Beogradski Region</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693</w:t>
            </w:r>
            <w:r w:rsidR="000B6B19" w:rsidRPr="000B6B19">
              <w:rPr>
                <w:rFonts w:ascii="Arial" w:hAnsi="Arial" w:cs="Arial"/>
                <w:sz w:val="16"/>
                <w:szCs w:val="16"/>
              </w:rPr>
              <w:t>.</w:t>
            </w:r>
            <w:r w:rsidRPr="000B6B19">
              <w:rPr>
                <w:rFonts w:ascii="Arial" w:hAnsi="Arial" w:cs="Arial"/>
                <w:sz w:val="16"/>
                <w:szCs w:val="16"/>
              </w:rPr>
              <w:t>0</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7</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28</w:t>
            </w:r>
            <w:r w:rsidR="000B6B19" w:rsidRPr="000B6B19">
              <w:rPr>
                <w:rFonts w:ascii="Arial" w:hAnsi="Arial" w:cs="Arial"/>
                <w:sz w:val="16"/>
                <w:szCs w:val="16"/>
              </w:rPr>
              <w:t>.</w:t>
            </w:r>
            <w:r w:rsidRPr="000B6B19">
              <w:rPr>
                <w:rFonts w:ascii="Arial" w:hAnsi="Arial" w:cs="Arial"/>
                <w:sz w:val="16"/>
                <w:szCs w:val="16"/>
              </w:rPr>
              <w:t>2</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Vojvodine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728</w:t>
            </w:r>
            <w:r w:rsidR="000B6B19" w:rsidRPr="000B6B19">
              <w:rPr>
                <w:rFonts w:ascii="Arial" w:hAnsi="Arial" w:cs="Arial"/>
                <w:sz w:val="16"/>
                <w:szCs w:val="16"/>
              </w:rPr>
              <w:t>.</w:t>
            </w:r>
            <w:r w:rsidRPr="000B6B19">
              <w:rPr>
                <w:rFonts w:ascii="Arial" w:hAnsi="Arial" w:cs="Arial"/>
                <w:sz w:val="16"/>
                <w:szCs w:val="16"/>
              </w:rPr>
              <w:t>9</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-34</w:t>
            </w:r>
            <w:r w:rsidR="000B6B19" w:rsidRPr="000B6B19">
              <w:rPr>
                <w:rFonts w:ascii="Arial" w:hAnsi="Arial" w:cs="Arial"/>
                <w:sz w:val="16"/>
                <w:szCs w:val="16"/>
              </w:rPr>
              <w:t>.</w:t>
            </w:r>
            <w:r w:rsidRPr="000B6B19">
              <w:rPr>
                <w:rFonts w:ascii="Arial" w:hAnsi="Arial" w:cs="Arial"/>
                <w:sz w:val="16"/>
                <w:szCs w:val="16"/>
              </w:rPr>
              <w:t>3</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13</w:t>
            </w:r>
            <w:r w:rsidR="000B6B19" w:rsidRPr="000B6B19">
              <w:rPr>
                <w:rFonts w:ascii="Arial" w:hAnsi="Arial" w:cs="Arial"/>
                <w:sz w:val="16"/>
                <w:szCs w:val="16"/>
              </w:rPr>
              <w:t>.</w:t>
            </w:r>
            <w:r w:rsidRPr="000B6B19">
              <w:rPr>
                <w:rFonts w:ascii="Arial" w:hAnsi="Arial" w:cs="Arial"/>
                <w:sz w:val="16"/>
                <w:szCs w:val="16"/>
              </w:rPr>
              <w:t>3</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Šumadije i  Zapadne Srbije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791</w:t>
            </w:r>
            <w:r w:rsidR="000B6B19" w:rsidRPr="000B6B19">
              <w:rPr>
                <w:rFonts w:ascii="Arial" w:hAnsi="Arial" w:cs="Arial"/>
                <w:sz w:val="16"/>
                <w:szCs w:val="16"/>
              </w:rPr>
              <w:t>.</w:t>
            </w:r>
            <w:r w:rsidRPr="000B6B19">
              <w:rPr>
                <w:rFonts w:ascii="Arial" w:hAnsi="Arial" w:cs="Arial"/>
                <w:sz w:val="16"/>
                <w:szCs w:val="16"/>
              </w:rPr>
              <w:t>1</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-36</w:t>
            </w:r>
            <w:r w:rsidR="000B6B19" w:rsidRPr="000B6B19">
              <w:rPr>
                <w:rFonts w:ascii="Arial" w:hAnsi="Arial" w:cs="Arial"/>
                <w:sz w:val="16"/>
                <w:szCs w:val="16"/>
              </w:rPr>
              <w:t>.</w:t>
            </w:r>
            <w:r w:rsidRPr="000B6B19">
              <w:rPr>
                <w:rFonts w:ascii="Arial" w:hAnsi="Arial" w:cs="Arial"/>
                <w:sz w:val="16"/>
                <w:szCs w:val="16"/>
              </w:rPr>
              <w:t>2</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4</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2</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Južne i Istočne Srbije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550</w:t>
            </w:r>
            <w:r w:rsidR="000B6B19" w:rsidRPr="000B6B19">
              <w:rPr>
                <w:rFonts w:ascii="Arial" w:hAnsi="Arial" w:cs="Arial"/>
                <w:sz w:val="16"/>
                <w:szCs w:val="16"/>
              </w:rPr>
              <w:t>.</w:t>
            </w:r>
            <w:r w:rsidRPr="000B6B19">
              <w:rPr>
                <w:rFonts w:ascii="Arial" w:hAnsi="Arial" w:cs="Arial"/>
                <w:sz w:val="16"/>
                <w:szCs w:val="16"/>
              </w:rPr>
              <w:t>6</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-37</w:t>
            </w:r>
            <w:r w:rsidR="000B6B19" w:rsidRPr="000B6B19">
              <w:rPr>
                <w:rFonts w:ascii="Arial" w:hAnsi="Arial" w:cs="Arial"/>
                <w:sz w:val="16"/>
                <w:szCs w:val="16"/>
              </w:rPr>
              <w:t>.</w:t>
            </w:r>
            <w:r w:rsidRPr="000B6B19">
              <w:rPr>
                <w:rFonts w:ascii="Arial" w:hAnsi="Arial" w:cs="Arial"/>
                <w:sz w:val="16"/>
                <w:szCs w:val="16"/>
              </w:rPr>
              <w:t>1</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3</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5</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0</w:t>
            </w:r>
          </w:p>
        </w:tc>
      </w:tr>
      <w:tr w:rsidR="006901F2"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i Metohija </w:t>
            </w:r>
          </w:p>
        </w:tc>
        <w:tc>
          <w:tcPr>
            <w:tcW w:w="1418" w:type="dxa"/>
            <w:tcBorders>
              <w:left w:val="single" w:sz="4" w:space="0" w:color="0C5498"/>
              <w:righ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18"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18" w:type="dxa"/>
            <w:tcBorders>
              <w:right w:val="single" w:sz="4" w:space="0" w:color="0C5498"/>
            </w:tcBorders>
            <w:shd w:val="clear" w:color="auto" w:fill="auto"/>
            <w:vAlign w:val="bottom"/>
          </w:tcPr>
          <w:p w:rsidR="006901F2" w:rsidRPr="002F20C3" w:rsidRDefault="006901F2" w:rsidP="006901F2">
            <w:pPr>
              <w:spacing w:after="0"/>
              <w:ind w:right="144"/>
              <w:jc w:val="right"/>
              <w:rPr>
                <w:sz w:val="16"/>
              </w:rPr>
            </w:pPr>
            <w:r w:rsidRPr="002F20C3">
              <w:rPr>
                <w:sz w:val="16"/>
              </w:rPr>
              <w:t>…</w:t>
            </w:r>
          </w:p>
        </w:tc>
        <w:tc>
          <w:tcPr>
            <w:tcW w:w="1418"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18" w:type="dxa"/>
            <w:shd w:val="clear" w:color="auto" w:fill="auto"/>
            <w:vAlign w:val="bottom"/>
          </w:tcPr>
          <w:p w:rsidR="006901F2" w:rsidRPr="002F20C3" w:rsidRDefault="006901F2" w:rsidP="006901F2">
            <w:pPr>
              <w:spacing w:after="0"/>
              <w:ind w:right="144"/>
              <w:jc w:val="right"/>
              <w:rPr>
                <w:sz w:val="16"/>
              </w:rPr>
            </w:pPr>
            <w:r w:rsidRPr="002F20C3">
              <w:rPr>
                <w:sz w:val="16"/>
              </w:rPr>
              <w:t>…</w:t>
            </w:r>
          </w:p>
        </w:tc>
      </w:tr>
    </w:tbl>
    <w:p w:rsidR="005A3371" w:rsidRPr="002F20C3" w:rsidRDefault="005A3371" w:rsidP="00EB573C">
      <w:pPr>
        <w:spacing w:after="120" w:line="240" w:lineRule="auto"/>
        <w:jc w:val="center"/>
        <w:rPr>
          <w:rFonts w:ascii="Arial" w:hAnsi="Arial" w:cs="Arial"/>
          <w:b/>
          <w:bCs/>
          <w:sz w:val="20"/>
          <w:szCs w:val="20"/>
        </w:rPr>
      </w:pPr>
    </w:p>
    <w:p w:rsidR="00066E6C" w:rsidRPr="002F20C3" w:rsidRDefault="00066E6C" w:rsidP="00EB573C">
      <w:pPr>
        <w:spacing w:after="120" w:line="240" w:lineRule="auto"/>
        <w:jc w:val="center"/>
        <w:rPr>
          <w:rFonts w:ascii="Arial" w:hAnsi="Arial" w:cs="Arial"/>
          <w:b/>
          <w:bCs/>
          <w:sz w:val="20"/>
          <w:szCs w:val="20"/>
        </w:rPr>
      </w:pPr>
      <w:r w:rsidRPr="002F20C3">
        <w:rPr>
          <w:rFonts w:ascii="Arial" w:hAnsi="Arial" w:cs="Arial"/>
          <w:b/>
          <w:bCs/>
          <w:sz w:val="20"/>
          <w:szCs w:val="20"/>
        </w:rPr>
        <w:t>Table 5</w:t>
      </w:r>
      <w:r w:rsidRPr="002F20C3">
        <w:rPr>
          <w:rFonts w:ascii="Arial" w:hAnsi="Arial" w:cs="Arial"/>
          <w:sz w:val="20"/>
          <w:szCs w:val="20"/>
        </w:rPr>
        <w:t xml:space="preserve"> </w:t>
      </w:r>
      <w:r w:rsidRPr="002F20C3">
        <w:rPr>
          <w:rFonts w:ascii="Arial" w:hAnsi="Arial" w:cs="Arial"/>
          <w:bCs/>
          <w:sz w:val="20"/>
          <w:szCs w:val="20"/>
        </w:rPr>
        <w:t xml:space="preserve">Formally/Informally employed persons aged 15 and over,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r w:rsidRPr="002F20C3">
        <w:rPr>
          <w:rFonts w:ascii="Arial" w:hAnsi="Arial" w:cs="Arial"/>
          <w:b/>
          <w:bCs/>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2F20C3" w:rsidRPr="002F20C3" w:rsidTr="00BF0214">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2200AF" w:rsidRPr="002F20C3" w:rsidRDefault="002200AF" w:rsidP="00BF0214">
            <w:pPr>
              <w:spacing w:after="0" w:line="240" w:lineRule="auto"/>
              <w:jc w:val="center"/>
              <w:rPr>
                <w:rFonts w:ascii="Arial" w:hAnsi="Arial" w:cs="Arial"/>
                <w:b/>
                <w:bCs/>
                <w:sz w:val="16"/>
                <w:szCs w:val="16"/>
              </w:rPr>
            </w:pPr>
            <w:r w:rsidRPr="002F20C3">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2200AF" w:rsidRPr="002F20C3" w:rsidRDefault="002200AF" w:rsidP="00BF0214">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BF0214">
        <w:trPr>
          <w:trHeight w:val="216"/>
          <w:jc w:val="center"/>
        </w:trPr>
        <w:tc>
          <w:tcPr>
            <w:tcW w:w="4377" w:type="dxa"/>
            <w:vMerge/>
            <w:tcBorders>
              <w:top w:val="single" w:sz="4" w:space="0" w:color="0C5498"/>
              <w:bottom w:val="single" w:sz="4" w:space="0" w:color="0C5498"/>
              <w:right w:val="single" w:sz="4" w:space="0" w:color="0C5498"/>
            </w:tcBorders>
            <w:vAlign w:val="center"/>
          </w:tcPr>
          <w:p w:rsidR="002200AF" w:rsidRPr="002F20C3" w:rsidRDefault="002200AF" w:rsidP="00BF0214">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BF0214">
        <w:trPr>
          <w:trHeight w:val="259"/>
          <w:jc w:val="center"/>
        </w:trPr>
        <w:tc>
          <w:tcPr>
            <w:tcW w:w="4377" w:type="dxa"/>
            <w:tcBorders>
              <w:top w:val="single" w:sz="4" w:space="0" w:color="0C5498"/>
              <w:right w:val="single" w:sz="4" w:space="0" w:color="0C5498"/>
            </w:tcBorders>
            <w:vAlign w:val="center"/>
          </w:tcPr>
          <w:p w:rsidR="002200AF" w:rsidRPr="002F20C3" w:rsidRDefault="002200AF" w:rsidP="00BF0214">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2763</w:t>
            </w:r>
            <w:r w:rsidR="00403E97" w:rsidRPr="00403E97">
              <w:rPr>
                <w:rFonts w:ascii="Arial" w:hAnsi="Arial" w:cs="Arial"/>
                <w:b/>
                <w:sz w:val="16"/>
                <w:szCs w:val="16"/>
              </w:rPr>
              <w:t>.</w:t>
            </w:r>
            <w:r w:rsidRPr="00403E97">
              <w:rPr>
                <w:rFonts w:ascii="Arial" w:hAnsi="Arial" w:cs="Arial"/>
                <w:b/>
                <w:sz w:val="16"/>
                <w:szCs w:val="16"/>
              </w:rPr>
              <w:t>6</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-118</w:t>
            </w:r>
            <w:r w:rsidR="00403E97" w:rsidRPr="00403E97">
              <w:rPr>
                <w:rFonts w:ascii="Arial" w:hAnsi="Arial" w:cs="Arial"/>
                <w:b/>
                <w:sz w:val="16"/>
                <w:szCs w:val="16"/>
              </w:rPr>
              <w:t>.</w:t>
            </w:r>
            <w:r w:rsidRPr="00403E97">
              <w:rPr>
                <w:rFonts w:ascii="Arial" w:hAnsi="Arial" w:cs="Arial"/>
                <w:b/>
                <w:sz w:val="16"/>
                <w:szCs w:val="16"/>
              </w:rPr>
              <w:t>3</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w:t>
            </w:r>
            <w:r w:rsidR="00403E97" w:rsidRPr="00403E97">
              <w:rPr>
                <w:rFonts w:ascii="Arial" w:hAnsi="Arial" w:cs="Arial"/>
                <w:b/>
                <w:sz w:val="16"/>
                <w:szCs w:val="16"/>
              </w:rPr>
              <w:t>.</w:t>
            </w:r>
            <w:r w:rsidRPr="00403E97">
              <w:rPr>
                <w:rFonts w:ascii="Arial" w:hAnsi="Arial" w:cs="Arial"/>
                <w:b/>
                <w:sz w:val="16"/>
                <w:szCs w:val="16"/>
              </w:rPr>
              <w:t>1</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32</w:t>
            </w:r>
            <w:r w:rsidR="00403E97" w:rsidRPr="00403E97">
              <w:rPr>
                <w:rFonts w:ascii="Arial" w:hAnsi="Arial" w:cs="Arial"/>
                <w:b/>
                <w:sz w:val="16"/>
                <w:szCs w:val="16"/>
              </w:rPr>
              <w:t>.</w:t>
            </w:r>
            <w:r w:rsidRPr="00403E97">
              <w:rPr>
                <w:rFonts w:ascii="Arial" w:hAnsi="Arial" w:cs="Arial"/>
                <w:b/>
                <w:sz w:val="16"/>
                <w:szCs w:val="16"/>
              </w:rPr>
              <w:t>2</w:t>
            </w:r>
          </w:p>
        </w:tc>
        <w:tc>
          <w:tcPr>
            <w:tcW w:w="1077" w:type="dxa"/>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w:t>
            </w:r>
            <w:r w:rsidR="00403E97" w:rsidRPr="00403E97">
              <w:rPr>
                <w:rFonts w:ascii="Arial" w:hAnsi="Arial" w:cs="Arial"/>
                <w:b/>
                <w:sz w:val="16"/>
                <w:szCs w:val="16"/>
              </w:rPr>
              <w:t>.</w:t>
            </w:r>
            <w:r w:rsidRPr="00403E97">
              <w:rPr>
                <w:rFonts w:ascii="Arial" w:hAnsi="Arial" w:cs="Arial"/>
                <w:b/>
                <w:sz w:val="16"/>
                <w:szCs w:val="16"/>
              </w:rPr>
              <w:t>2</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Formally employed</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2217</w:t>
            </w:r>
            <w:r w:rsidR="00403E97" w:rsidRPr="00403E97">
              <w:rPr>
                <w:rFonts w:ascii="Arial" w:hAnsi="Arial" w:cs="Arial"/>
                <w:sz w:val="16"/>
                <w:szCs w:val="16"/>
              </w:rPr>
              <w:t>.</w:t>
            </w:r>
            <w:r w:rsidRPr="00403E97">
              <w:rPr>
                <w:rFonts w:ascii="Arial" w:hAnsi="Arial" w:cs="Arial"/>
                <w:sz w:val="16"/>
                <w:szCs w:val="16"/>
              </w:rPr>
              <w:t>2</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-36</w:t>
            </w:r>
            <w:r w:rsidR="00403E97" w:rsidRPr="00403E97">
              <w:rPr>
                <w:rFonts w:ascii="Arial" w:hAnsi="Arial" w:cs="Arial"/>
                <w:sz w:val="16"/>
                <w:szCs w:val="16"/>
              </w:rPr>
              <w:t>.</w:t>
            </w:r>
            <w:r w:rsidRPr="00403E97">
              <w:rPr>
                <w:rFonts w:ascii="Arial" w:hAnsi="Arial" w:cs="Arial"/>
                <w:sz w:val="16"/>
                <w:szCs w:val="16"/>
              </w:rPr>
              <w:t>3</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6</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5</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Formally employed, excl. agriculture</w:t>
            </w:r>
            <w:r w:rsidRPr="002F20C3">
              <w:rPr>
                <w:rStyle w:val="FootnoteReference"/>
                <w:rFonts w:ascii="Arial" w:hAnsi="Arial" w:cs="Arial"/>
                <w:sz w:val="16"/>
                <w:szCs w:val="16"/>
              </w:rPr>
              <w:footnoteReference w:id="2"/>
            </w:r>
            <w:r w:rsidRPr="002F20C3">
              <w:rPr>
                <w:rFonts w:ascii="Arial" w:hAnsi="Arial" w:cs="Arial"/>
                <w:sz w:val="16"/>
                <w:szCs w:val="16"/>
                <w:vertAlign w:val="superscript"/>
              </w:rPr>
              <w:t>)</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1984</w:t>
            </w:r>
            <w:r w:rsidR="00403E97" w:rsidRPr="00403E97">
              <w:rPr>
                <w:rFonts w:ascii="Arial" w:hAnsi="Arial" w:cs="Arial"/>
                <w:sz w:val="16"/>
                <w:szCs w:val="16"/>
              </w:rPr>
              <w:t>.</w:t>
            </w:r>
            <w:r w:rsidRPr="00403E97">
              <w:rPr>
                <w:rFonts w:ascii="Arial" w:hAnsi="Arial" w:cs="Arial"/>
                <w:sz w:val="16"/>
                <w:szCs w:val="16"/>
              </w:rPr>
              <w:t>2</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w:t>
            </w:r>
            <w:r w:rsidR="00403E97" w:rsidRPr="00403E97">
              <w:rPr>
                <w:rFonts w:ascii="Arial" w:hAnsi="Arial" w:cs="Arial"/>
                <w:sz w:val="16"/>
                <w:szCs w:val="16"/>
              </w:rPr>
              <w:t>.</w:t>
            </w:r>
            <w:r w:rsidRPr="00403E97">
              <w:rPr>
                <w:rFonts w:ascii="Arial" w:hAnsi="Arial" w:cs="Arial"/>
                <w:sz w:val="16"/>
                <w:szCs w:val="16"/>
              </w:rPr>
              <w:t>1</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3</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52</w:t>
            </w:r>
            <w:r w:rsidR="00403E97" w:rsidRPr="00403E97">
              <w:rPr>
                <w:rFonts w:ascii="Arial" w:hAnsi="Arial" w:cs="Arial"/>
                <w:sz w:val="16"/>
                <w:szCs w:val="16"/>
              </w:rPr>
              <w:t>.</w:t>
            </w:r>
            <w:r w:rsidRPr="00403E97">
              <w:rPr>
                <w:rFonts w:ascii="Arial" w:hAnsi="Arial" w:cs="Arial"/>
                <w:sz w:val="16"/>
                <w:szCs w:val="16"/>
              </w:rPr>
              <w:t>6</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7</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232</w:t>
            </w:r>
            <w:r w:rsidR="00403E97" w:rsidRPr="00403E97">
              <w:rPr>
                <w:rFonts w:ascii="Arial" w:hAnsi="Arial" w:cs="Arial"/>
                <w:sz w:val="16"/>
                <w:szCs w:val="16"/>
              </w:rPr>
              <w:t>.</w:t>
            </w:r>
            <w:r w:rsidRPr="00403E97">
              <w:rPr>
                <w:rFonts w:ascii="Arial" w:hAnsi="Arial" w:cs="Arial"/>
                <w:sz w:val="16"/>
                <w:szCs w:val="16"/>
              </w:rPr>
              <w:t>8</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-42</w:t>
            </w:r>
            <w:r w:rsidR="00403E97" w:rsidRPr="00403E97">
              <w:rPr>
                <w:rFonts w:ascii="Arial" w:hAnsi="Arial" w:cs="Arial"/>
                <w:sz w:val="16"/>
                <w:szCs w:val="16"/>
              </w:rPr>
              <w:t>.</w:t>
            </w:r>
            <w:r w:rsidRPr="00403E97">
              <w:rPr>
                <w:rFonts w:ascii="Arial" w:hAnsi="Arial" w:cs="Arial"/>
                <w:sz w:val="16"/>
                <w:szCs w:val="16"/>
              </w:rPr>
              <w:t>6</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5</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7</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Informally employed</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546</w:t>
            </w:r>
            <w:r w:rsidR="00403E97" w:rsidRPr="00403E97">
              <w:rPr>
                <w:rFonts w:ascii="Arial" w:hAnsi="Arial" w:cs="Arial"/>
                <w:sz w:val="16"/>
                <w:szCs w:val="16"/>
              </w:rPr>
              <w:t>.</w:t>
            </w:r>
            <w:r w:rsidRPr="00403E97">
              <w:rPr>
                <w:rFonts w:ascii="Arial" w:hAnsi="Arial" w:cs="Arial"/>
                <w:sz w:val="16"/>
                <w:szCs w:val="16"/>
              </w:rPr>
              <w:t>4</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-81</w:t>
            </w:r>
            <w:r w:rsidR="00403E97" w:rsidRPr="00403E97">
              <w:rPr>
                <w:rFonts w:ascii="Arial" w:hAnsi="Arial" w:cs="Arial"/>
                <w:sz w:val="16"/>
                <w:szCs w:val="16"/>
              </w:rPr>
              <w:t>.</w:t>
            </w:r>
            <w:r w:rsidRPr="00403E97">
              <w:rPr>
                <w:rFonts w:ascii="Arial" w:hAnsi="Arial" w:cs="Arial"/>
                <w:sz w:val="16"/>
                <w:szCs w:val="16"/>
              </w:rPr>
              <w:t>9</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0</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-24</w:t>
            </w:r>
            <w:r w:rsidR="00403E97" w:rsidRPr="00403E97">
              <w:rPr>
                <w:rFonts w:ascii="Arial" w:hAnsi="Arial" w:cs="Arial"/>
                <w:sz w:val="16"/>
                <w:szCs w:val="16"/>
              </w:rPr>
              <w:t>.</w:t>
            </w:r>
            <w:r w:rsidRPr="00403E97">
              <w:rPr>
                <w:rFonts w:ascii="Arial" w:hAnsi="Arial" w:cs="Arial"/>
                <w:sz w:val="16"/>
                <w:szCs w:val="16"/>
              </w:rPr>
              <w:t>3</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2</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215</w:t>
            </w:r>
            <w:r w:rsidR="00403E97" w:rsidRPr="00403E97">
              <w:rPr>
                <w:rFonts w:ascii="Arial" w:hAnsi="Arial" w:cs="Arial"/>
                <w:sz w:val="16"/>
                <w:szCs w:val="16"/>
              </w:rPr>
              <w:t>.</w:t>
            </w:r>
            <w:r w:rsidRPr="00403E97">
              <w:rPr>
                <w:rFonts w:ascii="Arial" w:hAnsi="Arial" w:cs="Arial"/>
                <w:sz w:val="16"/>
                <w:szCs w:val="16"/>
              </w:rPr>
              <w:t>0</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-23</w:t>
            </w:r>
            <w:r w:rsidR="00403E97" w:rsidRPr="00403E97">
              <w:rPr>
                <w:rFonts w:ascii="Arial" w:hAnsi="Arial" w:cs="Arial"/>
                <w:sz w:val="16"/>
                <w:szCs w:val="16"/>
              </w:rPr>
              <w:t>.</w:t>
            </w:r>
            <w:r w:rsidRPr="00403E97">
              <w:rPr>
                <w:rFonts w:ascii="Arial" w:hAnsi="Arial" w:cs="Arial"/>
                <w:sz w:val="16"/>
                <w:szCs w:val="16"/>
              </w:rPr>
              <w:t>1</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7</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2</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8</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Informally employed in agriculture </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331</w:t>
            </w:r>
            <w:r w:rsidR="00403E97" w:rsidRPr="00403E97">
              <w:rPr>
                <w:rFonts w:ascii="Arial" w:hAnsi="Arial" w:cs="Arial"/>
                <w:sz w:val="16"/>
                <w:szCs w:val="16"/>
              </w:rPr>
              <w:t>.</w:t>
            </w:r>
            <w:r w:rsidRPr="00403E97">
              <w:rPr>
                <w:rFonts w:ascii="Arial" w:hAnsi="Arial" w:cs="Arial"/>
                <w:sz w:val="16"/>
                <w:szCs w:val="16"/>
              </w:rPr>
              <w:t>4</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-58</w:t>
            </w:r>
            <w:r w:rsidR="00403E97" w:rsidRPr="00403E97">
              <w:rPr>
                <w:rFonts w:ascii="Arial" w:hAnsi="Arial" w:cs="Arial"/>
                <w:sz w:val="16"/>
                <w:szCs w:val="16"/>
              </w:rPr>
              <w:t>.</w:t>
            </w:r>
            <w:r w:rsidRPr="00403E97">
              <w:rPr>
                <w:rFonts w:ascii="Arial" w:hAnsi="Arial" w:cs="Arial"/>
                <w:sz w:val="16"/>
                <w:szCs w:val="16"/>
              </w:rPr>
              <w:t>9</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1</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5</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4377" w:type="dxa"/>
            <w:tcBorders>
              <w:bottom w:val="single" w:sz="4" w:space="0" w:color="0C5498"/>
              <w:right w:val="single" w:sz="4" w:space="0" w:color="0C5498"/>
            </w:tcBorders>
            <w:vAlign w:val="center"/>
          </w:tcPr>
          <w:p w:rsidR="006901F2" w:rsidRPr="002F20C3" w:rsidRDefault="006901F2" w:rsidP="006901F2">
            <w:pPr>
              <w:spacing w:after="0" w:line="240" w:lineRule="auto"/>
              <w:rPr>
                <w:rFonts w:ascii="Arial" w:hAnsi="Arial" w:cs="Arial"/>
                <w:sz w:val="16"/>
                <w:szCs w:val="16"/>
              </w:rPr>
            </w:pPr>
          </w:p>
        </w:tc>
        <w:tc>
          <w:tcPr>
            <w:tcW w:w="1333" w:type="dxa"/>
            <w:tcBorders>
              <w:left w:val="single" w:sz="4" w:space="0" w:color="0C5498"/>
              <w:bottom w:val="single" w:sz="4" w:space="0" w:color="0C5498"/>
              <w:right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753" w:type="dxa"/>
            <w:tcBorders>
              <w:bottom w:val="single" w:sz="4" w:space="0" w:color="0C5498"/>
              <w:right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1077" w:type="dxa"/>
            <w:tcBorders>
              <w:bottom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r>
      <w:tr w:rsidR="002F20C3" w:rsidRPr="002F20C3" w:rsidTr="00BF0214">
        <w:trPr>
          <w:trHeight w:val="259"/>
          <w:jc w:val="center"/>
        </w:trPr>
        <w:tc>
          <w:tcPr>
            <w:tcW w:w="4377" w:type="dxa"/>
            <w:tcBorders>
              <w:top w:val="single" w:sz="4" w:space="0" w:color="0C5498"/>
              <w:bottom w:val="single" w:sz="4" w:space="0" w:color="0C5498"/>
              <w:right w:val="single" w:sz="4" w:space="0" w:color="0C5498"/>
            </w:tcBorders>
            <w:vAlign w:val="bottom"/>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6901F2" w:rsidRPr="002F20C3" w:rsidRDefault="006901F2" w:rsidP="006901F2">
            <w:pPr>
              <w:spacing w:after="0" w:line="240" w:lineRule="auto"/>
              <w:jc w:val="center"/>
              <w:rPr>
                <w:rFonts w:ascii="Arial" w:hAnsi="Arial" w:cs="Arial"/>
                <w:b/>
                <w:bCs/>
                <w:sz w:val="16"/>
                <w:szCs w:val="16"/>
              </w:rPr>
            </w:pPr>
            <w:r w:rsidRPr="002F20C3">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6901F2" w:rsidRPr="002F20C3" w:rsidRDefault="006901F2" w:rsidP="006901F2">
            <w:pPr>
              <w:spacing w:after="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8E1B11">
        <w:trPr>
          <w:trHeight w:val="259"/>
          <w:jc w:val="center"/>
        </w:trPr>
        <w:tc>
          <w:tcPr>
            <w:tcW w:w="4377" w:type="dxa"/>
            <w:tcBorders>
              <w:top w:val="single" w:sz="4" w:space="0" w:color="0C5498"/>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8</w:t>
            </w:r>
          </w:p>
        </w:tc>
        <w:tc>
          <w:tcPr>
            <w:tcW w:w="1333" w:type="dxa"/>
            <w:vMerge w:val="restart"/>
            <w:tcBorders>
              <w:top w:val="single" w:sz="4" w:space="0" w:color="0C5498"/>
              <w:lef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p>
          <w:p w:rsidR="006901F2" w:rsidRPr="00403E97" w:rsidRDefault="006901F2" w:rsidP="006901F2">
            <w:pPr>
              <w:spacing w:after="0"/>
              <w:ind w:right="113"/>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0</w:t>
            </w:r>
          </w:p>
        </w:tc>
        <w:tc>
          <w:tcPr>
            <w:tcW w:w="1333" w:type="dxa"/>
            <w:vMerge w:val="restart"/>
            <w:tcBorders>
              <w:top w:val="single" w:sz="4" w:space="0" w:color="0C5498"/>
              <w:lef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p>
          <w:p w:rsidR="006901F2" w:rsidRPr="00403E97" w:rsidRDefault="006901F2" w:rsidP="006901F2">
            <w:pPr>
              <w:spacing w:after="0"/>
              <w:ind w:right="113"/>
              <w:jc w:val="right"/>
              <w:rPr>
                <w:rFonts w:ascii="Arial" w:hAnsi="Arial" w:cs="Arial"/>
                <w:sz w:val="16"/>
                <w:szCs w:val="16"/>
              </w:rPr>
            </w:pPr>
          </w:p>
        </w:tc>
        <w:tc>
          <w:tcPr>
            <w:tcW w:w="1077" w:type="dxa"/>
            <w:tcBorders>
              <w:top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1</w:t>
            </w:r>
          </w:p>
        </w:tc>
      </w:tr>
      <w:tr w:rsidR="006901F2" w:rsidRPr="002F20C3" w:rsidTr="008E1B11">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line="240" w:lineRule="auto"/>
              <w:ind w:right="113"/>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8</w:t>
            </w:r>
          </w:p>
        </w:tc>
        <w:tc>
          <w:tcPr>
            <w:tcW w:w="1333" w:type="dxa"/>
            <w:vMerge/>
            <w:tcBorders>
              <w:left w:val="single" w:sz="4" w:space="0" w:color="0C5498"/>
            </w:tcBorders>
            <w:vAlign w:val="center"/>
          </w:tcPr>
          <w:p w:rsidR="006901F2" w:rsidRPr="00403E97" w:rsidRDefault="006901F2" w:rsidP="006901F2">
            <w:pPr>
              <w:spacing w:after="0" w:line="240" w:lineRule="auto"/>
              <w:ind w:right="113"/>
              <w:jc w:val="right"/>
              <w:rPr>
                <w:rFonts w:ascii="Arial" w:hAnsi="Arial" w:cs="Arial"/>
                <w:sz w:val="16"/>
                <w:szCs w:val="16"/>
              </w:rPr>
            </w:pPr>
          </w:p>
        </w:tc>
        <w:tc>
          <w:tcPr>
            <w:tcW w:w="753" w:type="dxa"/>
            <w:tcBorders>
              <w:right w:val="single" w:sz="4" w:space="0" w:color="0C5498"/>
            </w:tcBorders>
            <w:noWrap/>
            <w:vAlign w:val="center"/>
          </w:tcPr>
          <w:p w:rsidR="006901F2" w:rsidRPr="00403E97" w:rsidRDefault="006901F2" w:rsidP="006901F2">
            <w:pPr>
              <w:spacing w:after="0" w:line="240" w:lineRule="auto"/>
              <w:ind w:right="113"/>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0</w:t>
            </w:r>
          </w:p>
        </w:tc>
        <w:tc>
          <w:tcPr>
            <w:tcW w:w="1333" w:type="dxa"/>
            <w:vMerge/>
            <w:tcBorders>
              <w:left w:val="single" w:sz="4" w:space="0" w:color="0C5498"/>
            </w:tcBorders>
            <w:vAlign w:val="center"/>
          </w:tcPr>
          <w:p w:rsidR="006901F2" w:rsidRPr="00403E97" w:rsidRDefault="006901F2" w:rsidP="006901F2">
            <w:pPr>
              <w:spacing w:after="0" w:line="240" w:lineRule="auto"/>
              <w:ind w:right="113"/>
              <w:jc w:val="right"/>
              <w:rPr>
                <w:rFonts w:ascii="Arial" w:hAnsi="Arial" w:cs="Arial"/>
                <w:sz w:val="16"/>
                <w:szCs w:val="16"/>
              </w:rPr>
            </w:pPr>
          </w:p>
        </w:tc>
        <w:tc>
          <w:tcPr>
            <w:tcW w:w="1077" w:type="dxa"/>
            <w:noWrap/>
            <w:vAlign w:val="center"/>
          </w:tcPr>
          <w:p w:rsidR="006901F2" w:rsidRPr="00403E97" w:rsidRDefault="006901F2" w:rsidP="006901F2">
            <w:pPr>
              <w:spacing w:after="0" w:line="240" w:lineRule="auto"/>
              <w:ind w:right="113"/>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6</w:t>
            </w:r>
          </w:p>
        </w:tc>
      </w:tr>
    </w:tbl>
    <w:p w:rsidR="006F4FA6" w:rsidRPr="002F20C3" w:rsidRDefault="006F4FA6" w:rsidP="00AB32BD">
      <w:pPr>
        <w:spacing w:after="120" w:line="240" w:lineRule="auto"/>
        <w:jc w:val="center"/>
        <w:rPr>
          <w:rFonts w:ascii="Arial" w:hAnsi="Arial" w:cs="Arial"/>
          <w:b/>
          <w:bCs/>
          <w:sz w:val="20"/>
          <w:szCs w:val="20"/>
        </w:rPr>
      </w:pPr>
    </w:p>
    <w:p w:rsidR="0033726E" w:rsidRDefault="0033726E">
      <w:pPr>
        <w:spacing w:after="0" w:line="240" w:lineRule="auto"/>
        <w:rPr>
          <w:rFonts w:ascii="Arial" w:hAnsi="Arial" w:cs="Arial"/>
          <w:b/>
          <w:bCs/>
          <w:sz w:val="20"/>
          <w:szCs w:val="20"/>
        </w:rPr>
      </w:pPr>
      <w:r>
        <w:rPr>
          <w:rFonts w:ascii="Arial" w:hAnsi="Arial" w:cs="Arial"/>
          <w:b/>
          <w:bCs/>
          <w:sz w:val="20"/>
          <w:szCs w:val="20"/>
        </w:rPr>
        <w:br w:type="page"/>
      </w:r>
    </w:p>
    <w:p w:rsidR="00066E6C" w:rsidRPr="002F20C3" w:rsidRDefault="00066E6C" w:rsidP="00AB32BD">
      <w:pPr>
        <w:spacing w:after="120" w:line="240" w:lineRule="auto"/>
        <w:jc w:val="center"/>
        <w:rPr>
          <w:rFonts w:ascii="Arial" w:hAnsi="Arial" w:cs="Arial"/>
          <w:b/>
          <w:bCs/>
          <w:sz w:val="20"/>
          <w:szCs w:val="20"/>
        </w:rPr>
      </w:pPr>
      <w:r w:rsidRPr="002F20C3">
        <w:rPr>
          <w:rFonts w:ascii="Arial" w:hAnsi="Arial" w:cs="Arial"/>
          <w:b/>
          <w:bCs/>
          <w:sz w:val="20"/>
          <w:szCs w:val="20"/>
        </w:rPr>
        <w:lastRenderedPageBreak/>
        <w:t xml:space="preserve">Table 6 </w:t>
      </w:r>
      <w:r w:rsidRPr="002F20C3">
        <w:rPr>
          <w:rFonts w:ascii="Arial" w:hAnsi="Arial" w:cs="Arial"/>
          <w:bCs/>
          <w:sz w:val="20"/>
          <w:szCs w:val="20"/>
        </w:rPr>
        <w:t xml:space="preserve">Unemployed persons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p>
    <w:tbl>
      <w:tblPr>
        <w:tblW w:w="10206" w:type="dxa"/>
        <w:jc w:val="center"/>
        <w:tblLook w:val="00A0" w:firstRow="1" w:lastRow="0" w:firstColumn="1" w:lastColumn="0" w:noHBand="0" w:noVBand="0"/>
      </w:tblPr>
      <w:tblGrid>
        <w:gridCol w:w="3241"/>
        <w:gridCol w:w="1530"/>
        <w:gridCol w:w="1350"/>
        <w:gridCol w:w="1224"/>
        <w:gridCol w:w="1430"/>
        <w:gridCol w:w="1431"/>
      </w:tblGrid>
      <w:tr w:rsidR="002F20C3" w:rsidRPr="002F20C3"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2F20C3" w:rsidRDefault="00066E6C" w:rsidP="002200AF">
            <w:pPr>
              <w:spacing w:after="0" w:line="240" w:lineRule="auto"/>
              <w:rPr>
                <w:rFonts w:ascii="Arial" w:hAnsi="Arial" w:cs="Arial"/>
                <w:sz w:val="16"/>
                <w:szCs w:val="16"/>
              </w:rPr>
            </w:pPr>
            <w:r w:rsidRPr="002F20C3">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C85197"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00066E6C" w:rsidRPr="002F20C3">
              <w:rPr>
                <w:rFonts w:ascii="Arial" w:hAnsi="Arial" w:cs="Arial"/>
                <w:sz w:val="16"/>
                <w:szCs w:val="16"/>
              </w:rPr>
              <w:t xml:space="preserve"> 201</w:t>
            </w:r>
            <w:r w:rsidR="00132B72" w:rsidRPr="002F20C3">
              <w:rPr>
                <w:rFonts w:ascii="Arial" w:hAnsi="Arial" w:cs="Arial"/>
                <w:sz w:val="16"/>
                <w:szCs w:val="16"/>
              </w:rPr>
              <w:t>7</w:t>
            </w:r>
            <w:r w:rsidR="00066E6C" w:rsidRPr="002F20C3">
              <w:rPr>
                <w:rFonts w:ascii="Arial" w:hAnsi="Arial" w:cs="Arial"/>
                <w:sz w:val="16"/>
                <w:szCs w:val="16"/>
              </w:rPr>
              <w:t xml:space="preserve">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Changes relative to same quarter</w:t>
            </w:r>
            <w:r w:rsidRPr="002F20C3">
              <w:rPr>
                <w:rFonts w:ascii="Arial" w:hAnsi="Arial" w:cs="Arial"/>
                <w:sz w:val="16"/>
                <w:szCs w:val="16"/>
              </w:rPr>
              <w:br/>
              <w:t>of 201</w:t>
            </w:r>
            <w:r w:rsidR="00132B72" w:rsidRPr="002F20C3">
              <w:rPr>
                <w:rFonts w:ascii="Arial" w:hAnsi="Arial" w:cs="Arial"/>
                <w:sz w:val="16"/>
                <w:szCs w:val="16"/>
              </w:rPr>
              <w:t>6</w:t>
            </w:r>
          </w:p>
        </w:tc>
      </w:tr>
      <w:tr w:rsidR="002F20C3" w:rsidRPr="002F20C3"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r>
      <w:tr w:rsidR="002F20C3" w:rsidRPr="002F20C3" w:rsidTr="00EF4A8E">
        <w:trPr>
          <w:trHeight w:val="259"/>
          <w:jc w:val="center"/>
        </w:trPr>
        <w:tc>
          <w:tcPr>
            <w:tcW w:w="3241" w:type="dxa"/>
            <w:tcBorders>
              <w:top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Unemployed - total</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475</w:t>
            </w:r>
            <w:r w:rsidR="00403E97" w:rsidRPr="00403E97">
              <w:rPr>
                <w:rFonts w:ascii="Arial" w:hAnsi="Arial" w:cs="Arial"/>
                <w:b/>
                <w:sz w:val="16"/>
                <w:szCs w:val="16"/>
              </w:rPr>
              <w:t>.</w:t>
            </w:r>
            <w:r w:rsidRPr="00403E97">
              <w:rPr>
                <w:rFonts w:ascii="Arial" w:hAnsi="Arial" w:cs="Arial"/>
                <w:b/>
                <w:sz w:val="16"/>
                <w:szCs w:val="16"/>
              </w:rPr>
              <w:t>6</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47</w:t>
            </w:r>
            <w:r w:rsidR="00403E97" w:rsidRPr="00403E97">
              <w:rPr>
                <w:rFonts w:ascii="Arial" w:hAnsi="Arial" w:cs="Arial"/>
                <w:b/>
                <w:sz w:val="16"/>
                <w:szCs w:val="16"/>
              </w:rPr>
              <w:t>.</w:t>
            </w:r>
            <w:r w:rsidRPr="00403E97">
              <w:rPr>
                <w:rFonts w:ascii="Arial" w:hAnsi="Arial" w:cs="Arial"/>
                <w:b/>
                <w:sz w:val="16"/>
                <w:szCs w:val="16"/>
              </w:rPr>
              <w:t>4</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11</w:t>
            </w:r>
            <w:r w:rsidR="00403E97" w:rsidRPr="00403E97">
              <w:rPr>
                <w:rFonts w:ascii="Arial" w:hAnsi="Arial" w:cs="Arial"/>
                <w:b/>
                <w:sz w:val="16"/>
                <w:szCs w:val="16"/>
              </w:rPr>
              <w:t>.</w:t>
            </w:r>
            <w:r w:rsidRPr="00403E97">
              <w:rPr>
                <w:rFonts w:ascii="Arial" w:hAnsi="Arial" w:cs="Arial"/>
                <w:b/>
                <w:sz w:val="16"/>
                <w:szCs w:val="16"/>
              </w:rPr>
              <w:t>1</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65</w:t>
            </w:r>
            <w:r w:rsidR="00403E97" w:rsidRPr="00403E97">
              <w:rPr>
                <w:rFonts w:ascii="Arial" w:hAnsi="Arial" w:cs="Arial"/>
                <w:b/>
                <w:sz w:val="16"/>
                <w:szCs w:val="16"/>
              </w:rPr>
              <w:t>.</w:t>
            </w:r>
            <w:r w:rsidRPr="00403E97">
              <w:rPr>
                <w:rFonts w:ascii="Arial" w:hAnsi="Arial" w:cs="Arial"/>
                <w:b/>
                <w:sz w:val="16"/>
                <w:szCs w:val="16"/>
              </w:rPr>
              <w:t>7</w:t>
            </w:r>
          </w:p>
        </w:tc>
        <w:tc>
          <w:tcPr>
            <w:tcW w:w="1431" w:type="dxa"/>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16</w:t>
            </w:r>
            <w:r w:rsidR="00403E97" w:rsidRPr="00403E97">
              <w:rPr>
                <w:rFonts w:ascii="Arial" w:hAnsi="Arial" w:cs="Arial"/>
                <w:b/>
                <w:sz w:val="16"/>
                <w:szCs w:val="16"/>
              </w:rPr>
              <w:t>.</w:t>
            </w:r>
            <w:r w:rsidRPr="00403E97">
              <w:rPr>
                <w:rFonts w:ascii="Arial" w:hAnsi="Arial" w:cs="Arial"/>
                <w:b/>
                <w:sz w:val="16"/>
                <w:szCs w:val="16"/>
              </w:rPr>
              <w:t>0</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255</w:t>
            </w:r>
            <w:r w:rsidR="00403E97" w:rsidRPr="00403E97">
              <w:rPr>
                <w:rFonts w:ascii="Arial" w:hAnsi="Arial" w:cs="Arial"/>
                <w:sz w:val="16"/>
                <w:szCs w:val="16"/>
              </w:rPr>
              <w:t>.</w:t>
            </w:r>
            <w:r w:rsidRPr="00403E97">
              <w:rPr>
                <w:rFonts w:ascii="Arial" w:hAnsi="Arial" w:cs="Arial"/>
                <w:sz w:val="16"/>
                <w:szCs w:val="16"/>
              </w:rPr>
              <w:t>2</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6</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7</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27</w:t>
            </w:r>
            <w:r w:rsidR="00403E97" w:rsidRPr="00403E97">
              <w:rPr>
                <w:rFonts w:ascii="Arial" w:hAnsi="Arial" w:cs="Arial"/>
                <w:sz w:val="16"/>
                <w:szCs w:val="16"/>
              </w:rPr>
              <w:t>.</w:t>
            </w:r>
            <w:r w:rsidRPr="00403E97">
              <w:rPr>
                <w:rFonts w:ascii="Arial" w:hAnsi="Arial" w:cs="Arial"/>
                <w:sz w:val="16"/>
                <w:szCs w:val="16"/>
              </w:rPr>
              <w:t>0</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w:t>
            </w:r>
            <w:r w:rsidR="00403E97" w:rsidRPr="00403E97">
              <w:rPr>
                <w:rFonts w:ascii="Arial" w:hAnsi="Arial" w:cs="Arial"/>
                <w:sz w:val="16"/>
                <w:szCs w:val="16"/>
              </w:rPr>
              <w:t>.</w:t>
            </w:r>
            <w:r w:rsidRPr="00403E97">
              <w:rPr>
                <w:rFonts w:ascii="Arial" w:hAnsi="Arial" w:cs="Arial"/>
                <w:sz w:val="16"/>
                <w:szCs w:val="16"/>
              </w:rPr>
              <w:t>8</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220</w:t>
            </w:r>
            <w:r w:rsidR="00403E97" w:rsidRPr="00403E97">
              <w:rPr>
                <w:rFonts w:ascii="Arial" w:hAnsi="Arial" w:cs="Arial"/>
                <w:sz w:val="16"/>
                <w:szCs w:val="16"/>
              </w:rPr>
              <w:t>.</w:t>
            </w:r>
            <w:r w:rsidRPr="00403E97">
              <w:rPr>
                <w:rFonts w:ascii="Arial" w:hAnsi="Arial" w:cs="Arial"/>
                <w:sz w:val="16"/>
                <w:szCs w:val="16"/>
              </w:rPr>
              <w:t>4</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8</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w:t>
            </w:r>
            <w:r w:rsidR="00403E97" w:rsidRPr="00403E97">
              <w:rPr>
                <w:rFonts w:ascii="Arial" w:hAnsi="Arial" w:cs="Arial"/>
                <w:sz w:val="16"/>
                <w:szCs w:val="16"/>
              </w:rPr>
              <w:t>.</w:t>
            </w:r>
            <w:r w:rsidRPr="00403E97">
              <w:rPr>
                <w:rFonts w:ascii="Arial" w:hAnsi="Arial" w:cs="Arial"/>
                <w:sz w:val="16"/>
                <w:szCs w:val="16"/>
              </w:rPr>
              <w:t>1</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38</w:t>
            </w:r>
            <w:r w:rsidR="00403E97" w:rsidRPr="00403E97">
              <w:rPr>
                <w:rFonts w:ascii="Arial" w:hAnsi="Arial" w:cs="Arial"/>
                <w:sz w:val="16"/>
                <w:szCs w:val="16"/>
              </w:rPr>
              <w:t>.</w:t>
            </w:r>
            <w:r w:rsidRPr="00403E97">
              <w:rPr>
                <w:rFonts w:ascii="Arial" w:hAnsi="Arial" w:cs="Arial"/>
                <w:sz w:val="16"/>
                <w:szCs w:val="16"/>
              </w:rPr>
              <w:t>7</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3</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Beogradski Region</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116</w:t>
            </w:r>
            <w:r w:rsidR="00403E97" w:rsidRPr="00403E97">
              <w:rPr>
                <w:rFonts w:ascii="Arial" w:hAnsi="Arial" w:cs="Arial"/>
                <w:sz w:val="16"/>
                <w:szCs w:val="16"/>
              </w:rPr>
              <w:t>.</w:t>
            </w:r>
            <w:r w:rsidRPr="00403E97">
              <w:rPr>
                <w:rFonts w:ascii="Arial" w:hAnsi="Arial" w:cs="Arial"/>
                <w:sz w:val="16"/>
                <w:szCs w:val="16"/>
              </w:rPr>
              <w:t>1</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w:t>
            </w:r>
            <w:r w:rsidR="00403E97" w:rsidRPr="00403E97">
              <w:rPr>
                <w:rFonts w:ascii="Arial" w:hAnsi="Arial" w:cs="Arial"/>
                <w:sz w:val="16"/>
                <w:szCs w:val="16"/>
              </w:rPr>
              <w:t>.</w:t>
            </w:r>
            <w:r w:rsidRPr="00403E97">
              <w:rPr>
                <w:rFonts w:ascii="Arial" w:hAnsi="Arial" w:cs="Arial"/>
                <w:sz w:val="16"/>
                <w:szCs w:val="16"/>
              </w:rPr>
              <w:t>4</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9</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8</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4</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Vojvodine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111</w:t>
            </w:r>
            <w:r w:rsidR="00403E97" w:rsidRPr="00403E97">
              <w:rPr>
                <w:rFonts w:ascii="Arial" w:hAnsi="Arial" w:cs="Arial"/>
                <w:sz w:val="16"/>
                <w:szCs w:val="16"/>
              </w:rPr>
              <w:t>.</w:t>
            </w:r>
            <w:r w:rsidRPr="00403E97">
              <w:rPr>
                <w:rFonts w:ascii="Arial" w:hAnsi="Arial" w:cs="Arial"/>
                <w:sz w:val="16"/>
                <w:szCs w:val="16"/>
              </w:rPr>
              <w:t>0</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10</w:t>
            </w:r>
            <w:r w:rsidR="00403E97" w:rsidRPr="00403E97">
              <w:rPr>
                <w:rFonts w:ascii="Arial" w:hAnsi="Arial" w:cs="Arial"/>
                <w:sz w:val="16"/>
                <w:szCs w:val="16"/>
              </w:rPr>
              <w:t>.</w:t>
            </w:r>
            <w:r w:rsidRPr="00403E97">
              <w:rPr>
                <w:rFonts w:ascii="Arial" w:hAnsi="Arial" w:cs="Arial"/>
                <w:sz w:val="16"/>
                <w:szCs w:val="16"/>
              </w:rPr>
              <w:t>0</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9</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1</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5</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Šumadije i  Zapadne Srbije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140</w:t>
            </w:r>
            <w:r w:rsidR="00403E97" w:rsidRPr="00403E97">
              <w:rPr>
                <w:rFonts w:ascii="Arial" w:hAnsi="Arial" w:cs="Arial"/>
                <w:sz w:val="16"/>
                <w:szCs w:val="16"/>
              </w:rPr>
              <w:t>.</w:t>
            </w:r>
            <w:r w:rsidRPr="00403E97">
              <w:rPr>
                <w:rFonts w:ascii="Arial" w:hAnsi="Arial" w:cs="Arial"/>
                <w:sz w:val="16"/>
                <w:szCs w:val="16"/>
              </w:rPr>
              <w:t>7</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4</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9</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0</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Južne i Istočne Srbije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107</w:t>
            </w:r>
            <w:r w:rsidR="00403E97" w:rsidRPr="00403E97">
              <w:rPr>
                <w:rFonts w:ascii="Arial" w:hAnsi="Arial" w:cs="Arial"/>
                <w:sz w:val="16"/>
                <w:szCs w:val="16"/>
              </w:rPr>
              <w:t>.</w:t>
            </w:r>
            <w:r w:rsidRPr="00403E97">
              <w:rPr>
                <w:rFonts w:ascii="Arial" w:hAnsi="Arial" w:cs="Arial"/>
                <w:sz w:val="16"/>
                <w:szCs w:val="16"/>
              </w:rPr>
              <w:t>8</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w:t>
            </w:r>
            <w:r w:rsidR="00403E97" w:rsidRPr="00403E97">
              <w:rPr>
                <w:rFonts w:ascii="Arial" w:hAnsi="Arial" w:cs="Arial"/>
                <w:sz w:val="16"/>
                <w:szCs w:val="16"/>
              </w:rPr>
              <w:t>.</w:t>
            </w:r>
            <w:r w:rsidRPr="00403E97">
              <w:rPr>
                <w:rFonts w:ascii="Arial" w:hAnsi="Arial" w:cs="Arial"/>
                <w:sz w:val="16"/>
                <w:szCs w:val="16"/>
              </w:rPr>
              <w:t>6</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0</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18</w:t>
            </w:r>
            <w:r w:rsidR="00403E97" w:rsidRPr="00403E97">
              <w:rPr>
                <w:rFonts w:ascii="Arial" w:hAnsi="Arial" w:cs="Arial"/>
                <w:sz w:val="16"/>
                <w:szCs w:val="16"/>
              </w:rPr>
              <w:t>.</w:t>
            </w:r>
            <w:r w:rsidRPr="00403E97">
              <w:rPr>
                <w:rFonts w:ascii="Arial" w:hAnsi="Arial" w:cs="Arial"/>
                <w:sz w:val="16"/>
                <w:szCs w:val="16"/>
              </w:rPr>
              <w:t>9</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2</w:t>
            </w:r>
          </w:p>
        </w:tc>
      </w:tr>
      <w:tr w:rsidR="002F20C3" w:rsidRPr="002F20C3" w:rsidTr="00EF4A8E">
        <w:trPr>
          <w:trHeight w:val="259"/>
          <w:jc w:val="center"/>
        </w:trPr>
        <w:tc>
          <w:tcPr>
            <w:tcW w:w="3241" w:type="dxa"/>
            <w:tcBorders>
              <w:bottom w:val="single" w:sz="4" w:space="0" w:color="0C5498"/>
              <w:right w:val="single" w:sz="4" w:space="0" w:color="0C5498"/>
            </w:tcBorders>
            <w:noWrap/>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i Metohija </w:t>
            </w:r>
          </w:p>
        </w:tc>
        <w:tc>
          <w:tcPr>
            <w:tcW w:w="1530" w:type="dxa"/>
            <w:tcBorders>
              <w:left w:val="single" w:sz="4" w:space="0" w:color="0C5498"/>
              <w:bottom w:val="single" w:sz="4" w:space="0" w:color="0C5498"/>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350" w:type="dxa"/>
            <w:tcBorders>
              <w:left w:val="single" w:sz="4" w:space="0" w:color="0C5498"/>
              <w:bottom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224" w:type="dxa"/>
            <w:tcBorders>
              <w:bottom w:val="single" w:sz="4" w:space="0" w:color="0C5498"/>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430" w:type="dxa"/>
            <w:tcBorders>
              <w:left w:val="single" w:sz="4" w:space="0" w:color="0C5498"/>
              <w:bottom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431" w:type="dxa"/>
            <w:tcBorders>
              <w:bottom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r>
      <w:tr w:rsidR="002F20C3" w:rsidRPr="002F20C3"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6901F2" w:rsidRPr="002F20C3" w:rsidRDefault="006901F2" w:rsidP="006901F2">
            <w:pPr>
              <w:spacing w:after="0" w:line="240" w:lineRule="auto"/>
              <w:jc w:val="center"/>
              <w:rPr>
                <w:rFonts w:ascii="Arial" w:hAnsi="Arial" w:cs="Arial"/>
                <w:sz w:val="16"/>
                <w:szCs w:val="16"/>
              </w:rPr>
            </w:pPr>
            <w:r w:rsidRPr="002F20C3">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6901F2" w:rsidRPr="002F20C3" w:rsidRDefault="006901F2" w:rsidP="006901F2">
            <w:pPr>
              <w:spacing w:after="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EF4A8E">
        <w:trPr>
          <w:trHeight w:val="259"/>
          <w:jc w:val="center"/>
        </w:trPr>
        <w:tc>
          <w:tcPr>
            <w:tcW w:w="3241" w:type="dxa"/>
            <w:tcBorders>
              <w:top w:val="single" w:sz="4" w:space="0" w:color="0C5498"/>
              <w:right w:val="single" w:sz="4" w:space="0" w:color="0C5498"/>
            </w:tcBorders>
            <w:noWrap/>
            <w:vAlign w:val="center"/>
          </w:tcPr>
          <w:p w:rsidR="006901F2" w:rsidRPr="002F20C3" w:rsidRDefault="006901F2" w:rsidP="006901F2">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6901F2" w:rsidRPr="002F20C3" w:rsidRDefault="006901F2" w:rsidP="006901F2">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6901F2" w:rsidRPr="002F20C3" w:rsidRDefault="006901F2" w:rsidP="006901F2">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6901F2" w:rsidRPr="002F20C3" w:rsidRDefault="006901F2" w:rsidP="006901F2">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6901F2" w:rsidRPr="002F20C3" w:rsidRDefault="006901F2" w:rsidP="006901F2">
            <w:pPr>
              <w:spacing w:after="0" w:line="240" w:lineRule="auto"/>
              <w:rPr>
                <w:rFonts w:ascii="Arial" w:hAnsi="Arial" w:cs="Arial"/>
                <w:sz w:val="16"/>
                <w:szCs w:val="16"/>
              </w:rPr>
            </w:pPr>
          </w:p>
        </w:tc>
        <w:tc>
          <w:tcPr>
            <w:tcW w:w="1431" w:type="dxa"/>
            <w:tcBorders>
              <w:top w:val="single" w:sz="4" w:space="0" w:color="0C5498"/>
            </w:tcBorders>
            <w:noWrap/>
            <w:vAlign w:val="bottom"/>
          </w:tcPr>
          <w:p w:rsidR="006901F2" w:rsidRPr="002F20C3" w:rsidRDefault="006901F2" w:rsidP="006901F2">
            <w:pPr>
              <w:spacing w:after="0" w:line="240" w:lineRule="auto"/>
              <w:jc w:val="right"/>
              <w:rPr>
                <w:rFonts w:ascii="Arial" w:hAnsi="Arial" w:cs="Arial"/>
                <w:sz w:val="16"/>
                <w:szCs w:val="16"/>
              </w:rPr>
            </w:pPr>
          </w:p>
        </w:tc>
      </w:tr>
      <w:tr w:rsidR="006901F2" w:rsidRPr="002F20C3" w:rsidTr="00BF0214">
        <w:trPr>
          <w:trHeight w:val="281"/>
          <w:jc w:val="center"/>
        </w:trPr>
        <w:tc>
          <w:tcPr>
            <w:tcW w:w="3241" w:type="dxa"/>
            <w:tcBorders>
              <w:right w:val="single" w:sz="4" w:space="0" w:color="0C5498"/>
            </w:tcBorders>
            <w:noWrap/>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Long-term unemployment rate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8</w:t>
            </w:r>
            <w:r w:rsidR="00403E97" w:rsidRPr="00403E97">
              <w:rPr>
                <w:rFonts w:ascii="Arial" w:hAnsi="Arial" w:cs="Arial"/>
                <w:sz w:val="16"/>
                <w:szCs w:val="16"/>
              </w:rPr>
              <w:t>.</w:t>
            </w:r>
            <w:r w:rsidRPr="00403E97">
              <w:rPr>
                <w:rFonts w:ascii="Arial" w:hAnsi="Arial" w:cs="Arial"/>
                <w:sz w:val="16"/>
                <w:szCs w:val="16"/>
              </w:rPr>
              <w:t>8</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1</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5</w:t>
            </w:r>
          </w:p>
        </w:tc>
      </w:tr>
    </w:tbl>
    <w:p w:rsidR="00066E6C" w:rsidRPr="002F20C3" w:rsidRDefault="00066E6C" w:rsidP="001651B0">
      <w:pPr>
        <w:spacing w:line="240" w:lineRule="auto"/>
        <w:jc w:val="center"/>
        <w:rPr>
          <w:rFonts w:ascii="Arial" w:hAnsi="Arial" w:cs="Arial"/>
          <w:b/>
          <w:bCs/>
          <w:sz w:val="20"/>
          <w:szCs w:val="20"/>
        </w:rPr>
      </w:pPr>
    </w:p>
    <w:p w:rsidR="00066E6C" w:rsidRPr="002F20C3" w:rsidRDefault="00066E6C" w:rsidP="001651B0">
      <w:pPr>
        <w:spacing w:line="240" w:lineRule="auto"/>
        <w:jc w:val="center"/>
        <w:rPr>
          <w:rFonts w:ascii="Arial" w:hAnsi="Arial" w:cs="Arial"/>
          <w:b/>
          <w:bCs/>
          <w:sz w:val="20"/>
          <w:szCs w:val="20"/>
        </w:rPr>
      </w:pPr>
    </w:p>
    <w:p w:rsidR="00066E6C" w:rsidRPr="002F20C3" w:rsidRDefault="00066E6C" w:rsidP="001651B0">
      <w:pPr>
        <w:spacing w:line="240" w:lineRule="auto"/>
        <w:jc w:val="center"/>
        <w:rPr>
          <w:rFonts w:ascii="Arial" w:hAnsi="Arial" w:cs="Arial"/>
          <w:b/>
          <w:bCs/>
          <w:sz w:val="20"/>
          <w:szCs w:val="20"/>
        </w:rPr>
      </w:pPr>
    </w:p>
    <w:p w:rsidR="00066E6C" w:rsidRPr="002F20C3" w:rsidRDefault="00066E6C" w:rsidP="00AB32BD">
      <w:pPr>
        <w:spacing w:after="120" w:line="240" w:lineRule="auto"/>
        <w:jc w:val="center"/>
        <w:rPr>
          <w:rFonts w:ascii="Arial" w:hAnsi="Arial" w:cs="Arial"/>
        </w:rPr>
      </w:pPr>
      <w:r w:rsidRPr="002F20C3">
        <w:rPr>
          <w:rFonts w:ascii="Arial" w:hAnsi="Arial" w:cs="Arial"/>
          <w:b/>
          <w:bCs/>
          <w:sz w:val="20"/>
          <w:szCs w:val="20"/>
        </w:rPr>
        <w:t xml:space="preserve">Table 7 </w:t>
      </w:r>
      <w:r w:rsidRPr="002F20C3">
        <w:rPr>
          <w:rFonts w:ascii="Arial" w:hAnsi="Arial" w:cs="Arial"/>
          <w:bCs/>
          <w:sz w:val="20"/>
          <w:szCs w:val="20"/>
        </w:rPr>
        <w:t xml:space="preserve">Inactive population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00132B72" w:rsidRPr="002F20C3">
        <w:rPr>
          <w:rFonts w:ascii="Arial" w:hAnsi="Arial" w:cs="Arial"/>
          <w:bCs/>
          <w:sz w:val="20"/>
          <w:szCs w:val="20"/>
        </w:rPr>
        <w:t xml:space="preserve"> 2017</w:t>
      </w:r>
      <w:r w:rsidRPr="002F20C3">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2F20C3" w:rsidRPr="002F20C3">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2F20C3" w:rsidRDefault="00066E6C" w:rsidP="002200AF">
            <w:pPr>
              <w:spacing w:after="0" w:line="240" w:lineRule="auto"/>
              <w:rPr>
                <w:rFonts w:ascii="Arial" w:hAnsi="Arial" w:cs="Arial"/>
                <w:sz w:val="16"/>
                <w:szCs w:val="16"/>
              </w:rPr>
            </w:pPr>
            <w:r w:rsidRPr="002F20C3">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C85197"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00066E6C" w:rsidRPr="002F20C3">
              <w:rPr>
                <w:rFonts w:ascii="Arial" w:hAnsi="Arial" w:cs="Arial"/>
                <w:sz w:val="16"/>
                <w:szCs w:val="16"/>
              </w:rPr>
              <w:t xml:space="preserve"> 201</w:t>
            </w:r>
            <w:r w:rsidR="00132B72" w:rsidRPr="002F20C3">
              <w:rPr>
                <w:rFonts w:ascii="Arial" w:hAnsi="Arial" w:cs="Arial"/>
                <w:sz w:val="16"/>
                <w:szCs w:val="16"/>
              </w:rPr>
              <w:t>7</w:t>
            </w:r>
            <w:r w:rsidR="00066E6C" w:rsidRPr="002F20C3">
              <w:rPr>
                <w:rFonts w:ascii="Arial" w:hAnsi="Arial" w:cs="Arial"/>
                <w:sz w:val="16"/>
                <w:szCs w:val="16"/>
              </w:rPr>
              <w:t xml:space="preserve">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Changes relative to same quarter</w:t>
            </w:r>
            <w:r w:rsidRPr="002F20C3">
              <w:rPr>
                <w:rFonts w:ascii="Arial" w:hAnsi="Arial" w:cs="Arial"/>
                <w:sz w:val="16"/>
                <w:szCs w:val="16"/>
              </w:rPr>
              <w:br/>
              <w:t>of 201</w:t>
            </w:r>
            <w:r w:rsidR="00132B72" w:rsidRPr="002F20C3">
              <w:rPr>
                <w:rFonts w:ascii="Arial" w:hAnsi="Arial" w:cs="Arial"/>
                <w:sz w:val="16"/>
                <w:szCs w:val="16"/>
              </w:rPr>
              <w:t>6</w:t>
            </w:r>
          </w:p>
        </w:tc>
      </w:tr>
      <w:tr w:rsidR="002F20C3" w:rsidRPr="002F20C3"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r>
      <w:tr w:rsidR="002F20C3" w:rsidRPr="002F20C3" w:rsidTr="00EF4A8E">
        <w:trPr>
          <w:trHeight w:val="259"/>
          <w:jc w:val="center"/>
        </w:trPr>
        <w:tc>
          <w:tcPr>
            <w:tcW w:w="3275" w:type="dxa"/>
            <w:tcBorders>
              <w:top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Inactive - total</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2735</w:t>
            </w:r>
            <w:r w:rsidR="00403E97" w:rsidRPr="00403E97">
              <w:rPr>
                <w:rFonts w:ascii="Arial" w:hAnsi="Arial" w:cs="Arial"/>
                <w:b/>
                <w:sz w:val="16"/>
                <w:szCs w:val="16"/>
              </w:rPr>
              <w:t>.</w:t>
            </w:r>
            <w:r w:rsidRPr="00403E97">
              <w:rPr>
                <w:rFonts w:ascii="Arial" w:hAnsi="Arial" w:cs="Arial"/>
                <w:b/>
                <w:sz w:val="16"/>
                <w:szCs w:val="16"/>
              </w:rPr>
              <w:t>0</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63</w:t>
            </w:r>
            <w:r w:rsidR="00403E97" w:rsidRPr="00403E97">
              <w:rPr>
                <w:rFonts w:ascii="Arial" w:hAnsi="Arial" w:cs="Arial"/>
                <w:b/>
                <w:sz w:val="16"/>
                <w:szCs w:val="16"/>
              </w:rPr>
              <w:t>.</w:t>
            </w:r>
            <w:r w:rsidRPr="00403E97">
              <w:rPr>
                <w:rFonts w:ascii="Arial" w:hAnsi="Arial" w:cs="Arial"/>
                <w:b/>
                <w:sz w:val="16"/>
                <w:szCs w:val="16"/>
              </w:rPr>
              <w:t>9</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2</w:t>
            </w:r>
            <w:r w:rsidR="00403E97" w:rsidRPr="00403E97">
              <w:rPr>
                <w:rFonts w:ascii="Arial" w:hAnsi="Arial" w:cs="Arial"/>
                <w:b/>
                <w:sz w:val="16"/>
                <w:szCs w:val="16"/>
              </w:rPr>
              <w:t>.</w:t>
            </w:r>
            <w:r w:rsidRPr="00403E97">
              <w:rPr>
                <w:rFonts w:ascii="Arial" w:hAnsi="Arial" w:cs="Arial"/>
                <w:b/>
                <w:sz w:val="16"/>
                <w:szCs w:val="16"/>
              </w:rPr>
              <w:t>4</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-128</w:t>
            </w:r>
            <w:r w:rsidR="00403E97" w:rsidRPr="00403E97">
              <w:rPr>
                <w:rFonts w:ascii="Arial" w:hAnsi="Arial" w:cs="Arial"/>
                <w:b/>
                <w:sz w:val="16"/>
                <w:szCs w:val="16"/>
              </w:rPr>
              <w:t>.</w:t>
            </w:r>
            <w:r w:rsidRPr="00403E97">
              <w:rPr>
                <w:rFonts w:ascii="Arial" w:hAnsi="Arial" w:cs="Arial"/>
                <w:b/>
                <w:sz w:val="16"/>
                <w:szCs w:val="16"/>
              </w:rPr>
              <w:t>0</w:t>
            </w:r>
          </w:p>
        </w:tc>
        <w:tc>
          <w:tcPr>
            <w:tcW w:w="1332" w:type="dxa"/>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w:t>
            </w:r>
            <w:r w:rsidR="00403E97" w:rsidRPr="00403E97">
              <w:rPr>
                <w:rFonts w:ascii="Arial" w:hAnsi="Arial" w:cs="Arial"/>
                <w:b/>
                <w:sz w:val="16"/>
                <w:szCs w:val="16"/>
              </w:rPr>
              <w:t>.</w:t>
            </w:r>
            <w:r w:rsidRPr="00403E97">
              <w:rPr>
                <w:rFonts w:ascii="Arial" w:hAnsi="Arial" w:cs="Arial"/>
                <w:b/>
                <w:sz w:val="16"/>
                <w:szCs w:val="16"/>
              </w:rPr>
              <w:t>5</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1071</w:t>
            </w:r>
            <w:r w:rsidR="00403E97" w:rsidRPr="00403E97">
              <w:rPr>
                <w:rFonts w:ascii="Arial" w:hAnsi="Arial" w:cs="Arial"/>
                <w:sz w:val="16"/>
                <w:szCs w:val="16"/>
              </w:rPr>
              <w:t>.</w:t>
            </w:r>
            <w:r w:rsidRPr="00403E97">
              <w:rPr>
                <w:rFonts w:ascii="Arial" w:hAnsi="Arial" w:cs="Arial"/>
                <w:sz w:val="16"/>
                <w:szCs w:val="16"/>
              </w:rPr>
              <w:t>5</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17</w:t>
            </w:r>
            <w:r w:rsidR="00403E97" w:rsidRPr="00403E97">
              <w:rPr>
                <w:rFonts w:ascii="Arial" w:hAnsi="Arial" w:cs="Arial"/>
                <w:sz w:val="16"/>
                <w:szCs w:val="16"/>
              </w:rPr>
              <w:t>.</w:t>
            </w:r>
            <w:r w:rsidRPr="00403E97">
              <w:rPr>
                <w:rFonts w:ascii="Arial" w:hAnsi="Arial" w:cs="Arial"/>
                <w:sz w:val="16"/>
                <w:szCs w:val="16"/>
              </w:rPr>
              <w:t>9</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7</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-66</w:t>
            </w:r>
            <w:r w:rsidR="00403E97" w:rsidRPr="00403E97">
              <w:rPr>
                <w:rFonts w:ascii="Arial" w:hAnsi="Arial" w:cs="Arial"/>
                <w:sz w:val="16"/>
                <w:szCs w:val="16"/>
              </w:rPr>
              <w:t>.</w:t>
            </w:r>
            <w:r w:rsidRPr="00403E97">
              <w:rPr>
                <w:rFonts w:ascii="Arial" w:hAnsi="Arial" w:cs="Arial"/>
                <w:sz w:val="16"/>
                <w:szCs w:val="16"/>
              </w:rPr>
              <w:t>6</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w:t>
            </w:r>
            <w:r w:rsidR="00403E97" w:rsidRPr="00403E97">
              <w:rPr>
                <w:rFonts w:ascii="Arial" w:hAnsi="Arial" w:cs="Arial"/>
                <w:sz w:val="16"/>
                <w:szCs w:val="16"/>
              </w:rPr>
              <w:t>.</w:t>
            </w:r>
            <w:r w:rsidRPr="00403E97">
              <w:rPr>
                <w:rFonts w:ascii="Arial" w:hAnsi="Arial" w:cs="Arial"/>
                <w:sz w:val="16"/>
                <w:szCs w:val="16"/>
              </w:rPr>
              <w:t>9</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1663</w:t>
            </w:r>
            <w:r w:rsidR="00403E97" w:rsidRPr="00403E97">
              <w:rPr>
                <w:rFonts w:ascii="Arial" w:hAnsi="Arial" w:cs="Arial"/>
                <w:sz w:val="16"/>
                <w:szCs w:val="16"/>
              </w:rPr>
              <w:t>.</w:t>
            </w:r>
            <w:r w:rsidRPr="00403E97">
              <w:rPr>
                <w:rFonts w:ascii="Arial" w:hAnsi="Arial" w:cs="Arial"/>
                <w:sz w:val="16"/>
                <w:szCs w:val="16"/>
              </w:rPr>
              <w:t>5</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46</w:t>
            </w:r>
            <w:r w:rsidR="00403E97" w:rsidRPr="00403E97">
              <w:rPr>
                <w:rFonts w:ascii="Arial" w:hAnsi="Arial" w:cs="Arial"/>
                <w:sz w:val="16"/>
                <w:szCs w:val="16"/>
              </w:rPr>
              <w:t>.</w:t>
            </w:r>
            <w:r w:rsidRPr="00403E97">
              <w:rPr>
                <w:rFonts w:ascii="Arial" w:hAnsi="Arial" w:cs="Arial"/>
                <w:sz w:val="16"/>
                <w:szCs w:val="16"/>
              </w:rPr>
              <w:t>0</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8</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-61</w:t>
            </w:r>
            <w:r w:rsidR="00403E97" w:rsidRPr="00403E97">
              <w:rPr>
                <w:rFonts w:ascii="Arial" w:hAnsi="Arial" w:cs="Arial"/>
                <w:sz w:val="16"/>
                <w:szCs w:val="16"/>
              </w:rPr>
              <w:t>.</w:t>
            </w:r>
            <w:r w:rsidRPr="00403E97">
              <w:rPr>
                <w:rFonts w:ascii="Arial" w:hAnsi="Arial" w:cs="Arial"/>
                <w:sz w:val="16"/>
                <w:szCs w:val="16"/>
              </w:rPr>
              <w:t>4</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Beogradski Region</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626</w:t>
            </w:r>
            <w:r w:rsidR="00403E97" w:rsidRPr="00403E97">
              <w:rPr>
                <w:rFonts w:ascii="Arial" w:hAnsi="Arial" w:cs="Arial"/>
                <w:sz w:val="16"/>
                <w:szCs w:val="16"/>
              </w:rPr>
              <w:t>.</w:t>
            </w:r>
            <w:r w:rsidRPr="00403E97">
              <w:rPr>
                <w:rFonts w:ascii="Arial" w:hAnsi="Arial" w:cs="Arial"/>
                <w:sz w:val="16"/>
                <w:szCs w:val="16"/>
              </w:rPr>
              <w:t>9</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w:t>
            </w:r>
            <w:r w:rsidR="00403E97" w:rsidRPr="00403E97">
              <w:rPr>
                <w:rFonts w:ascii="Arial" w:hAnsi="Arial" w:cs="Arial"/>
                <w:sz w:val="16"/>
                <w:szCs w:val="16"/>
              </w:rPr>
              <w:t>.</w:t>
            </w:r>
            <w:r w:rsidRPr="00403E97">
              <w:rPr>
                <w:rFonts w:ascii="Arial" w:hAnsi="Arial" w:cs="Arial"/>
                <w:sz w:val="16"/>
                <w:szCs w:val="16"/>
              </w:rPr>
              <w:t>6</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9</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-39</w:t>
            </w:r>
            <w:r w:rsidR="00403E97" w:rsidRPr="00403E97">
              <w:rPr>
                <w:rFonts w:ascii="Arial" w:hAnsi="Arial" w:cs="Arial"/>
                <w:sz w:val="16"/>
                <w:szCs w:val="16"/>
              </w:rPr>
              <w:t>.</w:t>
            </w:r>
            <w:r w:rsidRPr="00403E97">
              <w:rPr>
                <w:rFonts w:ascii="Arial" w:hAnsi="Arial" w:cs="Arial"/>
                <w:sz w:val="16"/>
                <w:szCs w:val="16"/>
              </w:rPr>
              <w:t>7</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w:t>
            </w:r>
            <w:r w:rsidR="00403E97" w:rsidRPr="00403E97">
              <w:rPr>
                <w:rFonts w:ascii="Arial" w:hAnsi="Arial" w:cs="Arial"/>
                <w:sz w:val="16"/>
                <w:szCs w:val="16"/>
              </w:rPr>
              <w:t>.</w:t>
            </w:r>
            <w:r w:rsidRPr="00403E97">
              <w:rPr>
                <w:rFonts w:ascii="Arial" w:hAnsi="Arial" w:cs="Arial"/>
                <w:sz w:val="16"/>
                <w:szCs w:val="16"/>
              </w:rPr>
              <w:t>0</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Vojvodine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759</w:t>
            </w:r>
            <w:r w:rsidR="00403E97" w:rsidRPr="00403E97">
              <w:rPr>
                <w:rFonts w:ascii="Arial" w:hAnsi="Arial" w:cs="Arial"/>
                <w:sz w:val="16"/>
                <w:szCs w:val="16"/>
              </w:rPr>
              <w:t>.</w:t>
            </w:r>
            <w:r w:rsidRPr="00403E97">
              <w:rPr>
                <w:rFonts w:ascii="Arial" w:hAnsi="Arial" w:cs="Arial"/>
                <w:sz w:val="16"/>
                <w:szCs w:val="16"/>
              </w:rPr>
              <w:t>7</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w:t>
            </w:r>
            <w:r w:rsidR="00403E97" w:rsidRPr="00403E97">
              <w:rPr>
                <w:rFonts w:ascii="Arial" w:hAnsi="Arial" w:cs="Arial"/>
                <w:sz w:val="16"/>
                <w:szCs w:val="16"/>
              </w:rPr>
              <w:t>.</w:t>
            </w:r>
            <w:r w:rsidRPr="00403E97">
              <w:rPr>
                <w:rFonts w:ascii="Arial" w:hAnsi="Arial" w:cs="Arial"/>
                <w:sz w:val="16"/>
                <w:szCs w:val="16"/>
              </w:rPr>
              <w:t>3</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0</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-35</w:t>
            </w:r>
            <w:r w:rsidR="00403E97" w:rsidRPr="00403E97">
              <w:rPr>
                <w:rFonts w:ascii="Arial" w:hAnsi="Arial" w:cs="Arial"/>
                <w:sz w:val="16"/>
                <w:szCs w:val="16"/>
              </w:rPr>
              <w:t>.</w:t>
            </w:r>
            <w:r w:rsidRPr="00403E97">
              <w:rPr>
                <w:rFonts w:ascii="Arial" w:hAnsi="Arial" w:cs="Arial"/>
                <w:sz w:val="16"/>
                <w:szCs w:val="16"/>
              </w:rPr>
              <w:t>9</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5</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Šumadije i  Zapadne Srbije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728</w:t>
            </w:r>
            <w:r w:rsidR="00403E97" w:rsidRPr="00403E97">
              <w:rPr>
                <w:rFonts w:ascii="Arial" w:hAnsi="Arial" w:cs="Arial"/>
                <w:sz w:val="16"/>
                <w:szCs w:val="16"/>
              </w:rPr>
              <w:t>.</w:t>
            </w:r>
            <w:r w:rsidRPr="00403E97">
              <w:rPr>
                <w:rFonts w:ascii="Arial" w:hAnsi="Arial" w:cs="Arial"/>
                <w:sz w:val="16"/>
                <w:szCs w:val="16"/>
              </w:rPr>
              <w:t>8</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2</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8</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-33</w:t>
            </w:r>
            <w:r w:rsidR="00403E97" w:rsidRPr="00403E97">
              <w:rPr>
                <w:rFonts w:ascii="Arial" w:hAnsi="Arial" w:cs="Arial"/>
                <w:sz w:val="16"/>
                <w:szCs w:val="16"/>
              </w:rPr>
              <w:t>.</w:t>
            </w:r>
            <w:r w:rsidRPr="00403E97">
              <w:rPr>
                <w:rFonts w:ascii="Arial" w:hAnsi="Arial" w:cs="Arial"/>
                <w:sz w:val="16"/>
                <w:szCs w:val="16"/>
              </w:rPr>
              <w:t>8</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4</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Region Južne i Istočne Srbije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619</w:t>
            </w:r>
            <w:r w:rsidR="00403E97" w:rsidRPr="00403E97">
              <w:rPr>
                <w:rFonts w:ascii="Arial" w:hAnsi="Arial" w:cs="Arial"/>
                <w:sz w:val="16"/>
                <w:szCs w:val="16"/>
              </w:rPr>
              <w:t>.</w:t>
            </w:r>
            <w:r w:rsidRPr="00403E97">
              <w:rPr>
                <w:rFonts w:ascii="Arial" w:hAnsi="Arial" w:cs="Arial"/>
                <w:sz w:val="16"/>
                <w:szCs w:val="16"/>
              </w:rPr>
              <w:t>6</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w:t>
            </w:r>
            <w:r w:rsidR="00403E97" w:rsidRPr="00403E97">
              <w:rPr>
                <w:rFonts w:ascii="Arial" w:hAnsi="Arial" w:cs="Arial"/>
                <w:sz w:val="16"/>
                <w:szCs w:val="16"/>
              </w:rPr>
              <w:t>.</w:t>
            </w:r>
            <w:r w:rsidRPr="00403E97">
              <w:rPr>
                <w:rFonts w:ascii="Arial" w:hAnsi="Arial" w:cs="Arial"/>
                <w:sz w:val="16"/>
                <w:szCs w:val="16"/>
              </w:rPr>
              <w:t>8</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8</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-18</w:t>
            </w:r>
            <w:r w:rsidR="00403E97" w:rsidRPr="00403E97">
              <w:rPr>
                <w:rFonts w:ascii="Arial" w:hAnsi="Arial" w:cs="Arial"/>
                <w:sz w:val="16"/>
                <w:szCs w:val="16"/>
              </w:rPr>
              <w:t>.</w:t>
            </w:r>
            <w:r w:rsidRPr="00403E97">
              <w:rPr>
                <w:rFonts w:ascii="Arial" w:hAnsi="Arial" w:cs="Arial"/>
                <w:sz w:val="16"/>
                <w:szCs w:val="16"/>
              </w:rPr>
              <w:t>6</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9</w:t>
            </w:r>
          </w:p>
        </w:tc>
      </w:tr>
      <w:tr w:rsidR="006901F2" w:rsidRPr="002F20C3" w:rsidTr="00EF4A8E">
        <w:trPr>
          <w:trHeight w:val="259"/>
          <w:jc w:val="center"/>
        </w:trPr>
        <w:tc>
          <w:tcPr>
            <w:tcW w:w="3275" w:type="dxa"/>
            <w:tcBorders>
              <w:right w:val="single" w:sz="4" w:space="0" w:color="0C5498"/>
            </w:tcBorders>
            <w:noWrap/>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i Metohija </w:t>
            </w:r>
          </w:p>
        </w:tc>
        <w:tc>
          <w:tcPr>
            <w:tcW w:w="1498" w:type="dxa"/>
            <w:tcBorders>
              <w:left w:val="single" w:sz="4" w:space="0" w:color="0C5498"/>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396" w:type="dxa"/>
            <w:tcBorders>
              <w:lef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216" w:type="dxa"/>
            <w:tcBorders>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498" w:type="dxa"/>
            <w:tcBorders>
              <w:lef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332" w:type="dxa"/>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r>
    </w:tbl>
    <w:p w:rsidR="00F42953" w:rsidRPr="002F20C3" w:rsidRDefault="00F42953" w:rsidP="00B4452D">
      <w:pPr>
        <w:spacing w:line="240" w:lineRule="auto"/>
        <w:jc w:val="center"/>
        <w:rPr>
          <w:rFonts w:ascii="Arial" w:hAnsi="Arial" w:cs="Arial"/>
          <w:b/>
          <w:bCs/>
        </w:rPr>
      </w:pPr>
    </w:p>
    <w:p w:rsidR="00066E6C" w:rsidRPr="002F20C3" w:rsidRDefault="00F42953" w:rsidP="00EB573C">
      <w:pPr>
        <w:spacing w:after="120" w:line="240" w:lineRule="auto"/>
        <w:jc w:val="center"/>
        <w:rPr>
          <w:rFonts w:ascii="Arial" w:hAnsi="Arial" w:cs="Arial"/>
          <w:bCs/>
          <w:sz w:val="20"/>
          <w:szCs w:val="20"/>
        </w:rPr>
      </w:pPr>
      <w:r w:rsidRPr="002F20C3">
        <w:rPr>
          <w:rFonts w:ascii="Arial" w:hAnsi="Arial" w:cs="Arial"/>
          <w:b/>
          <w:bCs/>
        </w:rPr>
        <w:br w:type="page"/>
      </w:r>
      <w:r w:rsidR="00066E6C" w:rsidRPr="002F20C3">
        <w:rPr>
          <w:rFonts w:ascii="Arial" w:hAnsi="Arial" w:cs="Arial"/>
          <w:b/>
          <w:bCs/>
          <w:sz w:val="20"/>
          <w:szCs w:val="20"/>
        </w:rPr>
        <w:lastRenderedPageBreak/>
        <w:t xml:space="preserve">Table 8 </w:t>
      </w:r>
      <w:r w:rsidR="00066E6C" w:rsidRPr="002F20C3">
        <w:rPr>
          <w:rFonts w:ascii="Arial" w:hAnsi="Arial" w:cs="Arial"/>
          <w:bCs/>
          <w:sz w:val="20"/>
          <w:szCs w:val="20"/>
        </w:rPr>
        <w:t xml:space="preserve">Main contingents of labour force by region and age groups, </w:t>
      </w:r>
      <w:r w:rsidR="00C85197" w:rsidRPr="002F20C3">
        <w:rPr>
          <w:rFonts w:ascii="Arial" w:hAnsi="Arial" w:cs="Arial"/>
          <w:bCs/>
          <w:sz w:val="20"/>
          <w:szCs w:val="20"/>
        </w:rPr>
        <w:t>Q</w:t>
      </w:r>
      <w:r w:rsidR="00742757" w:rsidRPr="002F20C3">
        <w:rPr>
          <w:rFonts w:ascii="Arial" w:hAnsi="Arial" w:cs="Arial"/>
          <w:bCs/>
          <w:sz w:val="20"/>
          <w:szCs w:val="20"/>
        </w:rPr>
        <w:t>4</w:t>
      </w:r>
      <w:r w:rsidR="00066E6C" w:rsidRPr="002F20C3">
        <w:rPr>
          <w:rFonts w:ascii="Arial" w:hAnsi="Arial" w:cs="Arial"/>
          <w:bCs/>
          <w:sz w:val="20"/>
          <w:szCs w:val="20"/>
        </w:rPr>
        <w:t xml:space="preserve"> 201</w:t>
      </w:r>
      <w:r w:rsidR="00132B72" w:rsidRPr="002F20C3">
        <w:rPr>
          <w:rFonts w:ascii="Arial" w:hAnsi="Arial" w:cs="Arial"/>
          <w:bCs/>
          <w:sz w:val="20"/>
          <w:szCs w:val="20"/>
        </w:rPr>
        <w:t>7</w:t>
      </w:r>
    </w:p>
    <w:tbl>
      <w:tblPr>
        <w:tblW w:w="10330" w:type="dxa"/>
        <w:jc w:val="center"/>
        <w:tblCellMar>
          <w:left w:w="28" w:type="dxa"/>
          <w:right w:w="28" w:type="dxa"/>
        </w:tblCellMar>
        <w:tblLook w:val="04A0" w:firstRow="1" w:lastRow="0" w:firstColumn="1" w:lastColumn="0" w:noHBand="0" w:noVBand="1"/>
      </w:tblPr>
      <w:tblGrid>
        <w:gridCol w:w="2455"/>
        <w:gridCol w:w="1311"/>
        <w:gridCol w:w="1311"/>
        <w:gridCol w:w="1314"/>
        <w:gridCol w:w="1311"/>
        <w:gridCol w:w="1311"/>
        <w:gridCol w:w="1317"/>
      </w:tblGrid>
      <w:tr w:rsidR="002F20C3" w:rsidRPr="002F20C3" w:rsidTr="002200AF">
        <w:trPr>
          <w:trHeight w:val="225"/>
          <w:jc w:val="center"/>
        </w:trPr>
        <w:tc>
          <w:tcPr>
            <w:tcW w:w="2455" w:type="dxa"/>
            <w:vMerge w:val="restart"/>
            <w:tcBorders>
              <w:top w:val="single" w:sz="4" w:space="0" w:color="0C5498"/>
              <w:bottom w:val="single" w:sz="4" w:space="0" w:color="0C5498"/>
              <w:right w:val="single" w:sz="4" w:space="0" w:color="0C5498"/>
            </w:tcBorders>
            <w:shd w:val="clear" w:color="auto" w:fill="auto"/>
            <w:vAlign w:val="bottom"/>
            <w:hideMark/>
          </w:tcPr>
          <w:p w:rsidR="002200AF" w:rsidRPr="002F20C3" w:rsidRDefault="002200AF" w:rsidP="002200AF">
            <w:pPr>
              <w:spacing w:after="0"/>
              <w:rPr>
                <w:rFonts w:cs="Arial"/>
                <w:sz w:val="16"/>
                <w:szCs w:val="16"/>
                <w:lang w:eastAsia="sr-Latn-RS"/>
              </w:rPr>
            </w:pPr>
            <w:r w:rsidRPr="002F20C3">
              <w:rPr>
                <w:rFonts w:cs="Arial"/>
                <w:sz w:val="16"/>
                <w:szCs w:val="16"/>
                <w:lang w:eastAsia="sr-Latn-RS"/>
              </w:rPr>
              <w:t> </w:t>
            </w:r>
          </w:p>
        </w:tc>
        <w:tc>
          <w:tcPr>
            <w:tcW w:w="1311" w:type="dxa"/>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r w:rsidRPr="002F20C3">
              <w:rPr>
                <w:rFonts w:cs="Arial"/>
                <w:sz w:val="16"/>
                <w:szCs w:val="16"/>
                <w:lang w:eastAsia="sr-Latn-RS"/>
              </w:rPr>
              <w:t>Total</w:t>
            </w:r>
          </w:p>
        </w:tc>
        <w:tc>
          <w:tcPr>
            <w:tcW w:w="2625" w:type="dxa"/>
            <w:gridSpan w:val="2"/>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line="240" w:lineRule="auto"/>
              <w:jc w:val="center"/>
              <w:rPr>
                <w:rFonts w:ascii="Arial" w:hAnsi="Arial" w:cs="Arial"/>
                <w:sz w:val="16"/>
                <w:szCs w:val="16"/>
              </w:rPr>
            </w:pPr>
            <w:r w:rsidRPr="002F20C3">
              <w:rPr>
                <w:rFonts w:ascii="Arial" w:hAnsi="Arial" w:cs="Arial"/>
                <w:sz w:val="16"/>
                <w:szCs w:val="16"/>
              </w:rPr>
              <w:t>Srbija – North</w:t>
            </w:r>
          </w:p>
        </w:tc>
        <w:tc>
          <w:tcPr>
            <w:tcW w:w="3939" w:type="dxa"/>
            <w:gridSpan w:val="3"/>
            <w:vMerge w:val="restart"/>
            <w:tcBorders>
              <w:top w:val="single" w:sz="4" w:space="0" w:color="0C5498"/>
              <w:left w:val="single" w:sz="4" w:space="0" w:color="0C5498"/>
              <w:bottom w:val="single" w:sz="4" w:space="0" w:color="0C5498"/>
            </w:tcBorders>
            <w:shd w:val="clear" w:color="auto" w:fill="auto"/>
            <w:vAlign w:val="center"/>
            <w:hideMark/>
          </w:tcPr>
          <w:p w:rsidR="002200AF" w:rsidRPr="002F20C3" w:rsidRDefault="002200AF" w:rsidP="002200AF">
            <w:pPr>
              <w:spacing w:after="0" w:line="240" w:lineRule="auto"/>
              <w:jc w:val="center"/>
              <w:rPr>
                <w:rFonts w:ascii="Arial" w:hAnsi="Arial" w:cs="Arial"/>
                <w:sz w:val="16"/>
                <w:szCs w:val="16"/>
              </w:rPr>
            </w:pPr>
            <w:r w:rsidRPr="002F20C3">
              <w:rPr>
                <w:rFonts w:ascii="Arial" w:hAnsi="Arial" w:cs="Arial"/>
                <w:sz w:val="16"/>
                <w:szCs w:val="16"/>
              </w:rPr>
              <w:t>Srbija – South</w:t>
            </w:r>
          </w:p>
        </w:tc>
      </w:tr>
      <w:tr w:rsidR="002F20C3" w:rsidRPr="002F20C3" w:rsidTr="002200AF">
        <w:trPr>
          <w:trHeight w:val="269"/>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rPr>
                <w:rFonts w:cs="Arial"/>
                <w:sz w:val="16"/>
                <w:szCs w:val="16"/>
                <w:lang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c>
          <w:tcPr>
            <w:tcW w:w="2625" w:type="dxa"/>
            <w:gridSpan w:val="2"/>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c>
          <w:tcPr>
            <w:tcW w:w="3939" w:type="dxa"/>
            <w:gridSpan w:val="3"/>
            <w:vMerge/>
            <w:tcBorders>
              <w:top w:val="single" w:sz="4" w:space="0" w:color="0C5498"/>
              <w:left w:val="single" w:sz="4" w:space="0" w:color="0C5498"/>
              <w:bottom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r>
      <w:tr w:rsidR="002F20C3" w:rsidRPr="002F20C3" w:rsidTr="002200AF">
        <w:trPr>
          <w:trHeight w:val="20"/>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rPr>
                <w:rFonts w:cs="Arial"/>
                <w:sz w:val="16"/>
                <w:szCs w:val="16"/>
                <w:lang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Beogradski Region</w:t>
            </w:r>
          </w:p>
        </w:tc>
        <w:tc>
          <w:tcPr>
            <w:tcW w:w="1314"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Region Vojvodine</w:t>
            </w: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Region Šumadije i  Zapadne Srbije</w:t>
            </w: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Region Južne i Istočne Srbije</w:t>
            </w:r>
          </w:p>
        </w:tc>
        <w:tc>
          <w:tcPr>
            <w:tcW w:w="1317" w:type="dxa"/>
            <w:tcBorders>
              <w:top w:val="single" w:sz="4" w:space="0" w:color="0C5498"/>
              <w:left w:val="single" w:sz="4" w:space="0" w:color="0C5498"/>
              <w:bottom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Region Kosovo i Metohija</w:t>
            </w:r>
          </w:p>
        </w:tc>
      </w:tr>
      <w:tr w:rsidR="002F20C3" w:rsidRPr="002F20C3" w:rsidTr="00BF0214">
        <w:trPr>
          <w:trHeight w:val="259"/>
          <w:jc w:val="center"/>
        </w:trPr>
        <w:tc>
          <w:tcPr>
            <w:tcW w:w="2455" w:type="dxa"/>
            <w:tcBorders>
              <w:top w:val="single" w:sz="4" w:space="0" w:color="0C5498"/>
              <w:bottom w:val="single" w:sz="4" w:space="0" w:color="0C5498"/>
              <w:right w:val="single" w:sz="4" w:space="0" w:color="0C5498"/>
            </w:tcBorders>
            <w:shd w:val="clear" w:color="auto" w:fill="auto"/>
            <w:noWrap/>
            <w:vAlign w:val="center"/>
          </w:tcPr>
          <w:p w:rsidR="002200AF" w:rsidRPr="002F20C3" w:rsidRDefault="002200AF" w:rsidP="002200AF">
            <w:pPr>
              <w:spacing w:before="120" w:after="120" w:line="240" w:lineRule="auto"/>
              <w:jc w:val="center"/>
              <w:rPr>
                <w:rFonts w:cs="Arial"/>
                <w:b/>
                <w:bCs/>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center"/>
          </w:tcPr>
          <w:p w:rsidR="002200AF" w:rsidRPr="002F20C3" w:rsidRDefault="002200AF" w:rsidP="002200AF">
            <w:pPr>
              <w:spacing w:before="120" w:after="120" w:line="240" w:lineRule="auto"/>
              <w:jc w:val="center"/>
              <w:rPr>
                <w:rFonts w:cs="Arial"/>
                <w:sz w:val="16"/>
                <w:szCs w:val="16"/>
                <w:lang w:eastAsia="sr-Latn-RS"/>
              </w:rPr>
            </w:pPr>
            <w:r w:rsidRPr="002F20C3">
              <w:rPr>
                <w:rFonts w:ascii="Arial" w:hAnsi="Arial" w:cs="Arial"/>
                <w:sz w:val="16"/>
                <w:szCs w:val="16"/>
              </w:rPr>
              <w:t>(in thousand)</w:t>
            </w:r>
          </w:p>
        </w:tc>
      </w:tr>
      <w:tr w:rsidR="002F20C3" w:rsidRPr="002F20C3" w:rsidTr="00403E97">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b/>
                <w:bCs/>
                <w:sz w:val="16"/>
                <w:szCs w:val="16"/>
              </w:rPr>
            </w:pPr>
            <w:r w:rsidRPr="00403E97">
              <w:rPr>
                <w:rFonts w:ascii="Arial" w:hAnsi="Arial" w:cs="Arial"/>
                <w:b/>
                <w:bCs/>
                <w:sz w:val="16"/>
                <w:szCs w:val="16"/>
              </w:rPr>
              <w:t>Population aged 15+</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5974</w:t>
            </w:r>
            <w:r w:rsidR="00403E97" w:rsidRPr="00403E97">
              <w:rPr>
                <w:rFonts w:ascii="Arial" w:hAnsi="Arial" w:cs="Arial"/>
                <w:b/>
                <w:sz w:val="16"/>
                <w:szCs w:val="16"/>
              </w:rPr>
              <w:t>.</w:t>
            </w:r>
            <w:r w:rsidRPr="00403E97">
              <w:rPr>
                <w:rFonts w:ascii="Arial" w:hAnsi="Arial" w:cs="Arial"/>
                <w:b/>
                <w:sz w:val="16"/>
                <w:szCs w:val="16"/>
              </w:rPr>
              <w:t>2</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1436</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1599</w:t>
            </w:r>
            <w:r w:rsidR="00403E97" w:rsidRPr="00403E97">
              <w:rPr>
                <w:rFonts w:ascii="Arial" w:hAnsi="Arial" w:cs="Arial"/>
                <w:b/>
                <w:sz w:val="16"/>
                <w:szCs w:val="16"/>
              </w:rPr>
              <w:t>.</w:t>
            </w:r>
            <w:r w:rsidRPr="00403E97">
              <w:rPr>
                <w:rFonts w:ascii="Arial" w:hAnsi="Arial" w:cs="Arial"/>
                <w:b/>
                <w:sz w:val="16"/>
                <w:szCs w:val="16"/>
              </w:rPr>
              <w:t>6</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1660</w:t>
            </w:r>
            <w:r w:rsidR="00403E97" w:rsidRPr="00403E97">
              <w:rPr>
                <w:rFonts w:ascii="Arial" w:hAnsi="Arial" w:cs="Arial"/>
                <w:b/>
                <w:sz w:val="16"/>
                <w:szCs w:val="16"/>
              </w:rPr>
              <w:t>.</w:t>
            </w:r>
            <w:r w:rsidRPr="00403E97">
              <w:rPr>
                <w:rFonts w:ascii="Arial" w:hAnsi="Arial" w:cs="Arial"/>
                <w:b/>
                <w:sz w:val="16"/>
                <w:szCs w:val="16"/>
              </w:rPr>
              <w:t>6</w:t>
            </w:r>
          </w:p>
        </w:tc>
        <w:tc>
          <w:tcPr>
            <w:tcW w:w="1311" w:type="dxa"/>
            <w:tcBorders>
              <w:top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1278</w:t>
            </w:r>
            <w:r w:rsidR="00403E97" w:rsidRPr="00403E97">
              <w:rPr>
                <w:rFonts w:ascii="Arial" w:hAnsi="Arial" w:cs="Arial"/>
                <w:b/>
                <w:sz w:val="16"/>
                <w:szCs w:val="16"/>
              </w:rPr>
              <w:t>.</w:t>
            </w:r>
            <w:r w:rsidRPr="00403E97">
              <w:rPr>
                <w:rFonts w:ascii="Arial" w:hAnsi="Arial" w:cs="Arial"/>
                <w:b/>
                <w:sz w:val="16"/>
                <w:szCs w:val="16"/>
              </w:rPr>
              <w:t>0</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b/>
                <w:sz w:val="16"/>
                <w:szCs w:val="16"/>
              </w:rPr>
            </w:pPr>
            <w:r w:rsidRPr="002F20C3">
              <w:rPr>
                <w:rFonts w:cs="Arial"/>
                <w:b/>
                <w:sz w:val="16"/>
                <w:szCs w:val="16"/>
              </w:rPr>
              <w:t>…</w:t>
            </w:r>
          </w:p>
        </w:tc>
      </w:tr>
      <w:tr w:rsidR="002F20C3" w:rsidRPr="002F20C3" w:rsidTr="00403E97">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3239</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809</w:t>
            </w:r>
            <w:r w:rsidR="00403E97" w:rsidRPr="00403E97">
              <w:rPr>
                <w:rFonts w:ascii="Arial" w:hAnsi="Arial" w:cs="Arial"/>
                <w:sz w:val="16"/>
                <w:szCs w:val="16"/>
              </w:rPr>
              <w:t>.</w:t>
            </w:r>
            <w:r w:rsidRPr="00403E97">
              <w:rPr>
                <w:rFonts w:ascii="Arial" w:hAnsi="Arial" w:cs="Arial"/>
                <w:sz w:val="16"/>
                <w:szCs w:val="16"/>
              </w:rPr>
              <w:t>1</w:t>
            </w:r>
          </w:p>
        </w:tc>
        <w:tc>
          <w:tcPr>
            <w:tcW w:w="1314" w:type="dxa"/>
            <w:tcBorders>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839</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931</w:t>
            </w:r>
            <w:r w:rsidR="00403E97" w:rsidRPr="00403E97">
              <w:rPr>
                <w:rFonts w:ascii="Arial" w:hAnsi="Arial" w:cs="Arial"/>
                <w:sz w:val="16"/>
                <w:szCs w:val="16"/>
              </w:rPr>
              <w:t>.</w:t>
            </w:r>
            <w:r w:rsidRPr="00403E97">
              <w:rPr>
                <w:rFonts w:ascii="Arial" w:hAnsi="Arial" w:cs="Arial"/>
                <w:sz w:val="16"/>
                <w:szCs w:val="16"/>
              </w:rPr>
              <w:t>8</w:t>
            </w:r>
          </w:p>
        </w:tc>
        <w:tc>
          <w:tcPr>
            <w:tcW w:w="1311" w:type="dxa"/>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658</w:t>
            </w:r>
            <w:r w:rsidR="00403E97" w:rsidRPr="00403E97">
              <w:rPr>
                <w:rFonts w:ascii="Arial" w:hAnsi="Arial" w:cs="Arial"/>
                <w:sz w:val="16"/>
                <w:szCs w:val="16"/>
              </w:rPr>
              <w:t>.</w:t>
            </w:r>
            <w:r w:rsidRPr="00403E97">
              <w:rPr>
                <w:rFonts w:ascii="Arial" w:hAnsi="Arial" w:cs="Arial"/>
                <w:sz w:val="16"/>
                <w:szCs w:val="16"/>
              </w:rPr>
              <w:t>4</w:t>
            </w:r>
          </w:p>
        </w:tc>
        <w:tc>
          <w:tcPr>
            <w:tcW w:w="1317" w:type="dxa"/>
            <w:shd w:val="clear" w:color="auto" w:fill="auto"/>
            <w:vAlign w:val="center"/>
          </w:tcPr>
          <w:p w:rsidR="00587ED7" w:rsidRPr="002F20C3" w:rsidRDefault="00587ED7" w:rsidP="00587ED7">
            <w:pPr>
              <w:spacing w:after="0" w:line="264" w:lineRule="auto"/>
              <w:ind w:right="144"/>
              <w:jc w:val="right"/>
              <w:rPr>
                <w:rFonts w:cs="Arial"/>
                <w:bCs/>
                <w:sz w:val="16"/>
                <w:szCs w:val="16"/>
              </w:rPr>
            </w:pPr>
            <w:r w:rsidRPr="002F20C3">
              <w:rPr>
                <w:rFonts w:cs="Arial"/>
                <w:b/>
                <w:bCs/>
                <w:sz w:val="16"/>
                <w:szCs w:val="16"/>
              </w:rPr>
              <w:t> </w:t>
            </w:r>
            <w:r w:rsidRPr="002F20C3">
              <w:rPr>
                <w:rFonts w:cs="Arial"/>
                <w:bCs/>
                <w:sz w:val="16"/>
                <w:szCs w:val="16"/>
              </w:rPr>
              <w:t>…</w:t>
            </w:r>
          </w:p>
        </w:tc>
      </w:tr>
      <w:tr w:rsidR="002F20C3" w:rsidRPr="002F20C3" w:rsidTr="00403E97">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2763</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693</w:t>
            </w:r>
            <w:r w:rsidR="00403E97" w:rsidRPr="00403E97">
              <w:rPr>
                <w:rFonts w:ascii="Arial" w:hAnsi="Arial" w:cs="Arial"/>
                <w:sz w:val="16"/>
                <w:szCs w:val="16"/>
              </w:rPr>
              <w:t>.</w:t>
            </w:r>
            <w:r w:rsidRPr="00403E97">
              <w:rPr>
                <w:rFonts w:ascii="Arial" w:hAnsi="Arial" w:cs="Arial"/>
                <w:sz w:val="16"/>
                <w:szCs w:val="16"/>
              </w:rPr>
              <w:t>0</w:t>
            </w:r>
          </w:p>
        </w:tc>
        <w:tc>
          <w:tcPr>
            <w:tcW w:w="1314" w:type="dxa"/>
            <w:tcBorders>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728</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791</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550</w:t>
            </w:r>
            <w:r w:rsidR="00403E97" w:rsidRPr="00403E97">
              <w:rPr>
                <w:rFonts w:ascii="Arial" w:hAnsi="Arial" w:cs="Arial"/>
                <w:sz w:val="16"/>
                <w:szCs w:val="16"/>
              </w:rPr>
              <w:t>.</w:t>
            </w:r>
            <w:r w:rsidRPr="00403E97">
              <w:rPr>
                <w:rFonts w:ascii="Arial" w:hAnsi="Arial" w:cs="Arial"/>
                <w:sz w:val="16"/>
                <w:szCs w:val="16"/>
              </w:rPr>
              <w:t>6</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403E97">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475</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116</w:t>
            </w:r>
            <w:r w:rsidR="00403E97" w:rsidRPr="00403E97">
              <w:rPr>
                <w:rFonts w:ascii="Arial" w:hAnsi="Arial" w:cs="Arial"/>
                <w:sz w:val="16"/>
                <w:szCs w:val="16"/>
              </w:rPr>
              <w:t>.</w:t>
            </w:r>
            <w:r w:rsidRPr="00403E97">
              <w:rPr>
                <w:rFonts w:ascii="Arial" w:hAnsi="Arial" w:cs="Arial"/>
                <w:sz w:val="16"/>
                <w:szCs w:val="16"/>
              </w:rPr>
              <w:t>1</w:t>
            </w:r>
          </w:p>
        </w:tc>
        <w:tc>
          <w:tcPr>
            <w:tcW w:w="1314" w:type="dxa"/>
            <w:tcBorders>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111</w:t>
            </w:r>
            <w:r w:rsidR="00403E97" w:rsidRPr="00403E97">
              <w:rPr>
                <w:rFonts w:ascii="Arial" w:hAnsi="Arial" w:cs="Arial"/>
                <w:sz w:val="16"/>
                <w:szCs w:val="16"/>
              </w:rPr>
              <w:t>.</w:t>
            </w:r>
            <w:r w:rsidRPr="00403E97">
              <w:rPr>
                <w:rFonts w:ascii="Arial" w:hAnsi="Arial" w:cs="Arial"/>
                <w:sz w:val="16"/>
                <w:szCs w:val="16"/>
              </w:rPr>
              <w:t>0</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140</w:t>
            </w:r>
            <w:r w:rsidR="00403E97" w:rsidRPr="00403E97">
              <w:rPr>
                <w:rFonts w:ascii="Arial" w:hAnsi="Arial" w:cs="Arial"/>
                <w:sz w:val="16"/>
                <w:szCs w:val="16"/>
              </w:rPr>
              <w:t>.</w:t>
            </w:r>
            <w:r w:rsidRPr="00403E97">
              <w:rPr>
                <w:rFonts w:ascii="Arial" w:hAnsi="Arial" w:cs="Arial"/>
                <w:sz w:val="16"/>
                <w:szCs w:val="16"/>
              </w:rPr>
              <w:t>7</w:t>
            </w:r>
          </w:p>
        </w:tc>
        <w:tc>
          <w:tcPr>
            <w:tcW w:w="1311" w:type="dxa"/>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107</w:t>
            </w:r>
            <w:r w:rsidR="00403E97" w:rsidRPr="00403E97">
              <w:rPr>
                <w:rFonts w:ascii="Arial" w:hAnsi="Arial" w:cs="Arial"/>
                <w:sz w:val="16"/>
                <w:szCs w:val="16"/>
              </w:rPr>
              <w:t>.</w:t>
            </w:r>
            <w:r w:rsidRPr="00403E97">
              <w:rPr>
                <w:rFonts w:ascii="Arial" w:hAnsi="Arial" w:cs="Arial"/>
                <w:sz w:val="16"/>
                <w:szCs w:val="16"/>
              </w:rPr>
              <w:t>8</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403E97">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2735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626</w:t>
            </w:r>
            <w:r w:rsidR="00403E97" w:rsidRPr="00403E97">
              <w:rPr>
                <w:rFonts w:ascii="Arial" w:hAnsi="Arial" w:cs="Arial"/>
                <w:sz w:val="16"/>
                <w:szCs w:val="16"/>
              </w:rPr>
              <w:t>.</w:t>
            </w:r>
            <w:r w:rsidRPr="00403E97">
              <w:rPr>
                <w:rFonts w:ascii="Arial" w:hAnsi="Arial" w:cs="Arial"/>
                <w:sz w:val="16"/>
                <w:szCs w:val="16"/>
              </w:rPr>
              <w:t>9</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759</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728</w:t>
            </w:r>
            <w:r w:rsidR="00403E97" w:rsidRPr="00403E97">
              <w:rPr>
                <w:rFonts w:ascii="Arial" w:hAnsi="Arial" w:cs="Arial"/>
                <w:sz w:val="16"/>
                <w:szCs w:val="16"/>
              </w:rPr>
              <w:t>.</w:t>
            </w:r>
            <w:r w:rsidRPr="00403E97">
              <w:rPr>
                <w:rFonts w:ascii="Arial" w:hAnsi="Arial" w:cs="Arial"/>
                <w:sz w:val="16"/>
                <w:szCs w:val="16"/>
              </w:rPr>
              <w:t>8</w:t>
            </w:r>
          </w:p>
        </w:tc>
        <w:tc>
          <w:tcPr>
            <w:tcW w:w="1311" w:type="dxa"/>
            <w:tcBorders>
              <w:bottom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619</w:t>
            </w:r>
            <w:r w:rsidR="00403E97" w:rsidRPr="00403E97">
              <w:rPr>
                <w:rFonts w:ascii="Arial" w:hAnsi="Arial" w:cs="Arial"/>
                <w:sz w:val="16"/>
                <w:szCs w:val="16"/>
              </w:rPr>
              <w:t>.</w:t>
            </w:r>
            <w:r w:rsidRPr="00403E97">
              <w:rPr>
                <w:rFonts w:ascii="Arial" w:hAnsi="Arial" w:cs="Arial"/>
                <w:sz w:val="16"/>
                <w:szCs w:val="16"/>
              </w:rPr>
              <w:t>6</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587ED7" w:rsidRPr="00403E97" w:rsidRDefault="00587ED7" w:rsidP="00587ED7">
            <w:pPr>
              <w:spacing w:after="0" w:line="240" w:lineRule="auto"/>
              <w:rPr>
                <w:rFonts w:ascii="Arial" w:hAnsi="Arial" w:cs="Arial"/>
                <w:sz w:val="16"/>
                <w:szCs w:val="16"/>
              </w:rPr>
            </w:pPr>
            <w:r w:rsidRPr="00403E97">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after="0" w:line="240" w:lineRule="auto"/>
              <w:jc w:val="center"/>
              <w:rPr>
                <w:rFonts w:ascii="Arial" w:hAnsi="Arial" w:cs="Arial"/>
                <w:sz w:val="16"/>
                <w:szCs w:val="16"/>
                <w:lang w:eastAsia="sr-Latn-RS"/>
              </w:rPr>
            </w:pPr>
            <w:r w:rsidRPr="00403E97">
              <w:rPr>
                <w:rFonts w:ascii="Arial" w:hAnsi="Arial" w:cs="Arial"/>
                <w:sz w:val="16"/>
                <w:szCs w:val="16"/>
                <w:lang w:eastAsia="sr-Latn-RS"/>
              </w:rPr>
              <w:t>%</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54</w:t>
            </w:r>
            <w:r w:rsidR="00403E97" w:rsidRPr="00403E97">
              <w:rPr>
                <w:rFonts w:ascii="Arial" w:hAnsi="Arial" w:cs="Arial"/>
                <w:sz w:val="16"/>
                <w:szCs w:val="16"/>
              </w:rPr>
              <w:t>.</w:t>
            </w:r>
            <w:r w:rsidRPr="00403E97">
              <w:rPr>
                <w:rFonts w:ascii="Arial" w:hAnsi="Arial" w:cs="Arial"/>
                <w:sz w:val="16"/>
                <w:szCs w:val="16"/>
              </w:rPr>
              <w:t>2</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3</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52</w:t>
            </w:r>
            <w:r w:rsidR="00403E97" w:rsidRPr="00403E97">
              <w:rPr>
                <w:rFonts w:ascii="Arial" w:hAnsi="Arial" w:cs="Arial"/>
                <w:sz w:val="16"/>
                <w:szCs w:val="16"/>
              </w:rPr>
              <w:t>.</w:t>
            </w:r>
            <w:r w:rsidRPr="00403E97">
              <w:rPr>
                <w:rFonts w:ascii="Arial" w:hAnsi="Arial" w:cs="Arial"/>
                <w:sz w:val="16"/>
                <w:szCs w:val="16"/>
              </w:rPr>
              <w:t>5</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1</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51</w:t>
            </w:r>
            <w:r w:rsidR="00403E97" w:rsidRPr="00403E97">
              <w:rPr>
                <w:rFonts w:ascii="Arial" w:hAnsi="Arial" w:cs="Arial"/>
                <w:sz w:val="16"/>
                <w:szCs w:val="16"/>
              </w:rPr>
              <w:t>.</w:t>
            </w:r>
            <w:r w:rsidRPr="00403E97">
              <w:rPr>
                <w:rFonts w:ascii="Arial" w:hAnsi="Arial" w:cs="Arial"/>
                <w:sz w:val="16"/>
                <w:szCs w:val="16"/>
              </w:rPr>
              <w:t>5</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46</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48</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45</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47</w:t>
            </w:r>
            <w:r w:rsidR="00403E97" w:rsidRPr="00403E97">
              <w:rPr>
                <w:rFonts w:ascii="Arial" w:hAnsi="Arial" w:cs="Arial"/>
                <w:sz w:val="16"/>
                <w:szCs w:val="16"/>
              </w:rPr>
              <w:t>.</w:t>
            </w:r>
            <w:r w:rsidRPr="00403E97">
              <w:rPr>
                <w:rFonts w:ascii="Arial" w:hAnsi="Arial" w:cs="Arial"/>
                <w:sz w:val="16"/>
                <w:szCs w:val="16"/>
              </w:rPr>
              <w:t>6</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1</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4</w:t>
            </w:r>
          </w:p>
        </w:tc>
        <w:tc>
          <w:tcPr>
            <w:tcW w:w="1317" w:type="dxa"/>
            <w:shd w:val="clear" w:color="auto" w:fill="auto"/>
            <w:vAlign w:val="center"/>
          </w:tcPr>
          <w:p w:rsidR="00587ED7" w:rsidRPr="002F20C3" w:rsidRDefault="00587ED7" w:rsidP="00587ED7">
            <w:pPr>
              <w:spacing w:after="0" w:line="264" w:lineRule="auto"/>
              <w:ind w:right="144"/>
              <w:jc w:val="right"/>
              <w:rPr>
                <w:rFonts w:cs="Arial"/>
                <w:bCs/>
                <w:sz w:val="16"/>
                <w:szCs w:val="16"/>
              </w:rPr>
            </w:pPr>
            <w:r w:rsidRPr="002F20C3">
              <w:rPr>
                <w:rFonts w:cs="Arial"/>
                <w:b/>
                <w:bCs/>
                <w:sz w:val="16"/>
                <w:szCs w:val="16"/>
              </w:rPr>
              <w:t> </w:t>
            </w:r>
            <w:r w:rsidRPr="002F20C3">
              <w:rPr>
                <w:rFonts w:cs="Arial"/>
                <w:bCs/>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Inactivity rate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45</w:t>
            </w:r>
            <w:r w:rsidR="00403E97" w:rsidRPr="00403E97">
              <w:rPr>
                <w:rFonts w:ascii="Arial" w:hAnsi="Arial" w:cs="Arial"/>
                <w:sz w:val="16"/>
                <w:szCs w:val="16"/>
              </w:rPr>
              <w:t>.</w:t>
            </w:r>
            <w:r w:rsidRPr="00403E97">
              <w:rPr>
                <w:rFonts w:ascii="Arial" w:hAnsi="Arial" w:cs="Arial"/>
                <w:sz w:val="16"/>
                <w:szCs w:val="16"/>
              </w:rPr>
              <w:t>8</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7</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47</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9</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48</w:t>
            </w:r>
            <w:r w:rsidR="00403E97" w:rsidRPr="00403E97">
              <w:rPr>
                <w:rFonts w:ascii="Arial" w:hAnsi="Arial" w:cs="Arial"/>
                <w:sz w:val="16"/>
                <w:szCs w:val="16"/>
              </w:rPr>
              <w:t>.</w:t>
            </w:r>
            <w:r w:rsidRPr="00403E97">
              <w:rPr>
                <w:rFonts w:ascii="Arial" w:hAnsi="Arial" w:cs="Arial"/>
                <w:sz w:val="16"/>
                <w:szCs w:val="16"/>
              </w:rPr>
              <w:t>5</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rPr>
              <w:t>(in thousand)</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b/>
                <w:bCs/>
                <w:sz w:val="16"/>
                <w:szCs w:val="16"/>
              </w:rPr>
            </w:pPr>
            <w:r w:rsidRPr="00403E97">
              <w:rPr>
                <w:rFonts w:ascii="Arial" w:hAnsi="Arial" w:cs="Arial"/>
                <w:b/>
                <w:bCs/>
                <w:sz w:val="16"/>
                <w:szCs w:val="16"/>
              </w:rPr>
              <w:t>Young population (15–24)</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734</w:t>
            </w:r>
            <w:r w:rsidR="00403E97" w:rsidRPr="00403E97">
              <w:rPr>
                <w:rFonts w:ascii="Arial" w:hAnsi="Arial" w:cs="Arial"/>
                <w:b/>
                <w:sz w:val="16"/>
                <w:szCs w:val="16"/>
              </w:rPr>
              <w:t>.</w:t>
            </w:r>
            <w:r w:rsidRPr="00403E97">
              <w:rPr>
                <w:rFonts w:ascii="Arial" w:hAnsi="Arial" w:cs="Arial"/>
                <w:b/>
                <w:sz w:val="16"/>
                <w:szCs w:val="16"/>
              </w:rPr>
              <w:t>8</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161</w:t>
            </w:r>
            <w:r w:rsidR="00403E97" w:rsidRPr="00403E97">
              <w:rPr>
                <w:rFonts w:ascii="Arial" w:hAnsi="Arial" w:cs="Arial"/>
                <w:b/>
                <w:sz w:val="16"/>
                <w:szCs w:val="16"/>
              </w:rPr>
              <w:t>.</w:t>
            </w:r>
            <w:r w:rsidRPr="00403E97">
              <w:rPr>
                <w:rFonts w:ascii="Arial" w:hAnsi="Arial" w:cs="Arial"/>
                <w:b/>
                <w:sz w:val="16"/>
                <w:szCs w:val="16"/>
              </w:rPr>
              <w:t>7</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199</w:t>
            </w:r>
            <w:r w:rsidR="00403E97" w:rsidRPr="00403E97">
              <w:rPr>
                <w:rFonts w:ascii="Arial" w:hAnsi="Arial" w:cs="Arial"/>
                <w:b/>
                <w:sz w:val="16"/>
                <w:szCs w:val="16"/>
              </w:rPr>
              <w:t>.</w:t>
            </w:r>
            <w:r w:rsidRPr="00403E97">
              <w:rPr>
                <w:rFonts w:ascii="Arial" w:hAnsi="Arial" w:cs="Arial"/>
                <w:b/>
                <w:sz w:val="16"/>
                <w:szCs w:val="16"/>
              </w:rPr>
              <w:t>1</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211</w:t>
            </w:r>
            <w:r w:rsidR="00403E97" w:rsidRPr="00403E97">
              <w:rPr>
                <w:rFonts w:ascii="Arial" w:hAnsi="Arial" w:cs="Arial"/>
                <w:b/>
                <w:sz w:val="16"/>
                <w:szCs w:val="16"/>
              </w:rPr>
              <w:t>.</w:t>
            </w:r>
            <w:r w:rsidRPr="00403E97">
              <w:rPr>
                <w:rFonts w:ascii="Arial" w:hAnsi="Arial" w:cs="Arial"/>
                <w:b/>
                <w:sz w:val="16"/>
                <w:szCs w:val="16"/>
              </w:rPr>
              <w:t>9</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162</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2"/>
              <w:jc w:val="right"/>
              <w:rPr>
                <w:rFonts w:cs="Arial"/>
                <w:b/>
                <w:sz w:val="16"/>
                <w:szCs w:val="16"/>
              </w:rPr>
            </w:pPr>
            <w:r w:rsidRPr="002F20C3">
              <w:rPr>
                <w:rFonts w:cs="Arial"/>
                <w:b/>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235</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46</w:t>
            </w:r>
            <w:r w:rsidR="00403E97" w:rsidRPr="00403E97">
              <w:rPr>
                <w:rFonts w:ascii="Arial" w:hAnsi="Arial" w:cs="Arial"/>
                <w:sz w:val="16"/>
                <w:szCs w:val="16"/>
              </w:rPr>
              <w:t>.</w:t>
            </w:r>
            <w:r w:rsidRPr="00403E97">
              <w:rPr>
                <w:rFonts w:ascii="Arial" w:hAnsi="Arial" w:cs="Arial"/>
                <w:sz w:val="16"/>
                <w:szCs w:val="16"/>
              </w:rPr>
              <w:t>5</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70</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2</w:t>
            </w:r>
          </w:p>
        </w:tc>
        <w:tc>
          <w:tcPr>
            <w:tcW w:w="1311" w:type="dxa"/>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51</w:t>
            </w:r>
            <w:r w:rsidR="00403E97" w:rsidRPr="00403E97">
              <w:rPr>
                <w:rFonts w:ascii="Arial" w:hAnsi="Arial" w:cs="Arial"/>
                <w:sz w:val="16"/>
                <w:szCs w:val="16"/>
              </w:rPr>
              <w:t>.</w:t>
            </w:r>
            <w:r w:rsidRPr="00403E97">
              <w:rPr>
                <w:rFonts w:ascii="Arial" w:hAnsi="Arial" w:cs="Arial"/>
                <w:sz w:val="16"/>
                <w:szCs w:val="16"/>
              </w:rPr>
              <w:t>6</w:t>
            </w:r>
          </w:p>
        </w:tc>
        <w:tc>
          <w:tcPr>
            <w:tcW w:w="1317" w:type="dxa"/>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157</w:t>
            </w:r>
            <w:r w:rsidR="00403E97" w:rsidRPr="00403E97">
              <w:rPr>
                <w:rFonts w:ascii="Arial" w:hAnsi="Arial" w:cs="Arial"/>
                <w:sz w:val="16"/>
                <w:szCs w:val="16"/>
              </w:rPr>
              <w:t>.</w:t>
            </w:r>
            <w:r w:rsidRPr="00403E97">
              <w:rPr>
                <w:rFonts w:ascii="Arial" w:hAnsi="Arial" w:cs="Arial"/>
                <w:sz w:val="16"/>
                <w:szCs w:val="16"/>
              </w:rPr>
              <w:t>4</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31</w:t>
            </w:r>
            <w:r w:rsidR="00403E97" w:rsidRPr="00403E97">
              <w:rPr>
                <w:rFonts w:ascii="Arial" w:hAnsi="Arial" w:cs="Arial"/>
                <w:sz w:val="16"/>
                <w:szCs w:val="16"/>
              </w:rPr>
              <w:t>.</w:t>
            </w:r>
            <w:r w:rsidRPr="00403E97">
              <w:rPr>
                <w:rFonts w:ascii="Arial" w:hAnsi="Arial" w:cs="Arial"/>
                <w:sz w:val="16"/>
                <w:szCs w:val="16"/>
              </w:rPr>
              <w:t>2</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49</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44</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5</w:t>
            </w:r>
          </w:p>
        </w:tc>
        <w:tc>
          <w:tcPr>
            <w:tcW w:w="1317" w:type="dxa"/>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78</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0</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23</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1</w:t>
            </w:r>
          </w:p>
        </w:tc>
        <w:tc>
          <w:tcPr>
            <w:tcW w:w="1317" w:type="dxa"/>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498</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115</w:t>
            </w:r>
            <w:r w:rsidR="00403E97" w:rsidRPr="00403E97">
              <w:rPr>
                <w:rFonts w:ascii="Arial" w:hAnsi="Arial" w:cs="Arial"/>
                <w:sz w:val="16"/>
                <w:szCs w:val="16"/>
              </w:rPr>
              <w:t>.</w:t>
            </w:r>
            <w:r w:rsidRPr="00403E97">
              <w:rPr>
                <w:rFonts w:ascii="Arial" w:hAnsi="Arial" w:cs="Arial"/>
                <w:sz w:val="16"/>
                <w:szCs w:val="16"/>
              </w:rPr>
              <w:t>3</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128</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144</w:t>
            </w:r>
            <w:r w:rsidR="00403E97" w:rsidRPr="00403E97">
              <w:rPr>
                <w:rFonts w:ascii="Arial" w:hAnsi="Arial" w:cs="Arial"/>
                <w:sz w:val="16"/>
                <w:szCs w:val="16"/>
              </w:rPr>
              <w:t>.</w:t>
            </w:r>
            <w:r w:rsidRPr="00403E97">
              <w:rPr>
                <w:rFonts w:ascii="Arial" w:hAnsi="Arial" w:cs="Arial"/>
                <w:sz w:val="16"/>
                <w:szCs w:val="16"/>
              </w:rPr>
              <w:t>7</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110</w:t>
            </w:r>
            <w:r w:rsidR="00403E97" w:rsidRPr="00403E97">
              <w:rPr>
                <w:rFonts w:ascii="Arial" w:hAnsi="Arial" w:cs="Arial"/>
                <w:sz w:val="16"/>
                <w:szCs w:val="16"/>
              </w:rPr>
              <w:t>.</w:t>
            </w:r>
            <w:r w:rsidRPr="00403E97">
              <w:rPr>
                <w:rFonts w:ascii="Arial" w:hAnsi="Arial" w:cs="Arial"/>
                <w:sz w:val="16"/>
                <w:szCs w:val="16"/>
              </w:rPr>
              <w:t>4</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 …</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587ED7" w:rsidRPr="00403E97" w:rsidRDefault="00587ED7" w:rsidP="00587ED7">
            <w:pPr>
              <w:spacing w:before="120" w:after="120" w:line="240" w:lineRule="auto"/>
              <w:rPr>
                <w:rFonts w:ascii="Arial" w:hAnsi="Arial" w:cs="Arial"/>
                <w:sz w:val="16"/>
                <w:szCs w:val="16"/>
              </w:rPr>
            </w:pPr>
            <w:r w:rsidRPr="00403E97">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lang w:eastAsia="sr-Latn-RS"/>
              </w:rPr>
              <w:t>%</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1</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28</w:t>
            </w:r>
            <w:r w:rsidR="00403E97" w:rsidRPr="00403E97">
              <w:rPr>
                <w:rFonts w:ascii="Arial" w:hAnsi="Arial" w:cs="Arial"/>
                <w:sz w:val="16"/>
                <w:szCs w:val="16"/>
              </w:rPr>
              <w:t>.</w:t>
            </w:r>
            <w:r w:rsidRPr="00403E97">
              <w:rPr>
                <w:rFonts w:ascii="Arial" w:hAnsi="Arial" w:cs="Arial"/>
                <w:sz w:val="16"/>
                <w:szCs w:val="16"/>
              </w:rPr>
              <w:t>7</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35</w:t>
            </w:r>
            <w:r w:rsidR="00403E97" w:rsidRPr="00403E97">
              <w:rPr>
                <w:rFonts w:ascii="Arial" w:hAnsi="Arial" w:cs="Arial"/>
                <w:sz w:val="16"/>
                <w:szCs w:val="16"/>
              </w:rPr>
              <w:t>.</w:t>
            </w:r>
            <w:r w:rsidRPr="00403E97">
              <w:rPr>
                <w:rFonts w:ascii="Arial" w:hAnsi="Arial" w:cs="Arial"/>
                <w:sz w:val="16"/>
                <w:szCs w:val="16"/>
              </w:rPr>
              <w:t>5</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31</w:t>
            </w:r>
            <w:r w:rsidR="00403E97" w:rsidRPr="00403E97">
              <w:rPr>
                <w:rFonts w:ascii="Arial" w:hAnsi="Arial" w:cs="Arial"/>
                <w:sz w:val="16"/>
                <w:szCs w:val="16"/>
              </w:rPr>
              <w:t>.</w:t>
            </w:r>
            <w:r w:rsidRPr="00403E97">
              <w:rPr>
                <w:rFonts w:ascii="Arial" w:hAnsi="Arial" w:cs="Arial"/>
                <w:sz w:val="16"/>
                <w:szCs w:val="16"/>
              </w:rPr>
              <w:t>7</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31</w:t>
            </w:r>
            <w:r w:rsidR="00403E97" w:rsidRPr="00403E97">
              <w:rPr>
                <w:rFonts w:ascii="Arial" w:hAnsi="Arial" w:cs="Arial"/>
                <w:sz w:val="16"/>
                <w:szCs w:val="16"/>
              </w:rPr>
              <w:t>.</w:t>
            </w:r>
            <w:r w:rsidRPr="00403E97">
              <w:rPr>
                <w:rFonts w:ascii="Arial" w:hAnsi="Arial" w:cs="Arial"/>
                <w:sz w:val="16"/>
                <w:szCs w:val="16"/>
              </w:rPr>
              <w:t>9</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4</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24</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8</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0</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33</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33</w:t>
            </w:r>
            <w:r w:rsidR="00403E97" w:rsidRPr="00403E97">
              <w:rPr>
                <w:rFonts w:ascii="Arial" w:hAnsi="Arial" w:cs="Arial"/>
                <w:sz w:val="16"/>
                <w:szCs w:val="16"/>
              </w:rPr>
              <w:t>.</w:t>
            </w:r>
            <w:r w:rsidRPr="00403E97">
              <w:rPr>
                <w:rFonts w:ascii="Arial" w:hAnsi="Arial" w:cs="Arial"/>
                <w:sz w:val="16"/>
                <w:szCs w:val="16"/>
              </w:rPr>
              <w:t>0</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29</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4</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37</w:t>
            </w:r>
            <w:r w:rsidR="00403E97" w:rsidRPr="00403E97">
              <w:rPr>
                <w:rFonts w:ascii="Arial" w:hAnsi="Arial" w:cs="Arial"/>
                <w:sz w:val="16"/>
                <w:szCs w:val="16"/>
              </w:rPr>
              <w:t>.</w:t>
            </w:r>
            <w:r w:rsidRPr="00403E97">
              <w:rPr>
                <w:rFonts w:ascii="Arial" w:hAnsi="Arial" w:cs="Arial"/>
                <w:sz w:val="16"/>
                <w:szCs w:val="16"/>
              </w:rPr>
              <w:t>1</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Inactivity rate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71</w:t>
            </w:r>
            <w:r w:rsidR="00403E97" w:rsidRPr="00403E97">
              <w:rPr>
                <w:rFonts w:ascii="Arial" w:hAnsi="Arial" w:cs="Arial"/>
                <w:sz w:val="16"/>
                <w:szCs w:val="16"/>
              </w:rPr>
              <w:t>.</w:t>
            </w:r>
            <w:r w:rsidRPr="00403E97">
              <w:rPr>
                <w:rFonts w:ascii="Arial" w:hAnsi="Arial" w:cs="Arial"/>
                <w:sz w:val="16"/>
                <w:szCs w:val="16"/>
              </w:rPr>
              <w:t>3</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64</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68</w:t>
            </w:r>
            <w:r w:rsidR="00403E97" w:rsidRPr="00403E97">
              <w:rPr>
                <w:rFonts w:ascii="Arial" w:hAnsi="Arial" w:cs="Arial"/>
                <w:sz w:val="16"/>
                <w:szCs w:val="16"/>
              </w:rPr>
              <w:t>.</w:t>
            </w:r>
            <w:r w:rsidRPr="00403E97">
              <w:rPr>
                <w:rFonts w:ascii="Arial" w:hAnsi="Arial" w:cs="Arial"/>
                <w:sz w:val="16"/>
                <w:szCs w:val="16"/>
              </w:rPr>
              <w:t>3</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68</w:t>
            </w:r>
            <w:r w:rsidR="00403E97" w:rsidRPr="00403E97">
              <w:rPr>
                <w:rFonts w:ascii="Arial" w:hAnsi="Arial" w:cs="Arial"/>
                <w:sz w:val="16"/>
                <w:szCs w:val="16"/>
              </w:rPr>
              <w:t>.</w:t>
            </w:r>
            <w:r w:rsidRPr="00403E97">
              <w:rPr>
                <w:rFonts w:ascii="Arial" w:hAnsi="Arial" w:cs="Arial"/>
                <w:sz w:val="16"/>
                <w:szCs w:val="16"/>
              </w:rPr>
              <w:t>1</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rPr>
              <w:t>(in thousand)</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vAlign w:val="center"/>
            <w:hideMark/>
          </w:tcPr>
          <w:p w:rsidR="00587ED7" w:rsidRPr="00403E97" w:rsidRDefault="00587ED7" w:rsidP="00587ED7">
            <w:pPr>
              <w:spacing w:after="0" w:line="240" w:lineRule="exact"/>
              <w:contextualSpacing/>
              <w:rPr>
                <w:rFonts w:ascii="Arial" w:hAnsi="Arial" w:cs="Arial"/>
                <w:b/>
                <w:bCs/>
                <w:sz w:val="16"/>
                <w:szCs w:val="16"/>
              </w:rPr>
            </w:pPr>
            <w:r w:rsidRPr="00403E97">
              <w:rPr>
                <w:rFonts w:ascii="Arial" w:hAnsi="Arial" w:cs="Arial"/>
                <w:b/>
                <w:bCs/>
                <w:sz w:val="16"/>
                <w:szCs w:val="16"/>
              </w:rPr>
              <w:t>Working – age population             (15–64)</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4600</w:t>
            </w:r>
            <w:r w:rsidR="00403E97" w:rsidRPr="00403E97">
              <w:rPr>
                <w:rFonts w:ascii="Arial" w:hAnsi="Arial" w:cs="Arial"/>
                <w:b/>
                <w:sz w:val="16"/>
                <w:szCs w:val="16"/>
              </w:rPr>
              <w:t>.</w:t>
            </w:r>
            <w:r w:rsidRPr="00403E97">
              <w:rPr>
                <w:rFonts w:ascii="Arial" w:hAnsi="Arial" w:cs="Arial"/>
                <w:b/>
                <w:sz w:val="16"/>
                <w:szCs w:val="16"/>
              </w:rPr>
              <w:t>8</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1120</w:t>
            </w:r>
            <w:r w:rsidR="00403E97" w:rsidRPr="00403E97">
              <w:rPr>
                <w:rFonts w:ascii="Arial" w:hAnsi="Arial" w:cs="Arial"/>
                <w:b/>
                <w:sz w:val="16"/>
                <w:szCs w:val="16"/>
              </w:rPr>
              <w:t>.</w:t>
            </w:r>
            <w:r w:rsidRPr="00403E97">
              <w:rPr>
                <w:rFonts w:ascii="Arial" w:hAnsi="Arial" w:cs="Arial"/>
                <w:b/>
                <w:sz w:val="16"/>
                <w:szCs w:val="16"/>
              </w:rPr>
              <w:t>0</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1249</w:t>
            </w:r>
            <w:r w:rsidR="00403E97" w:rsidRPr="00403E97">
              <w:rPr>
                <w:rFonts w:ascii="Arial" w:hAnsi="Arial" w:cs="Arial"/>
                <w:b/>
                <w:sz w:val="16"/>
                <w:szCs w:val="16"/>
              </w:rPr>
              <w:t>.</w:t>
            </w:r>
            <w:r w:rsidRPr="00403E97">
              <w:rPr>
                <w:rFonts w:ascii="Arial" w:hAnsi="Arial" w:cs="Arial"/>
                <w:b/>
                <w:sz w:val="16"/>
                <w:szCs w:val="16"/>
              </w:rPr>
              <w:t>0</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1273</w:t>
            </w:r>
            <w:r w:rsidR="00403E97" w:rsidRPr="00403E97">
              <w:rPr>
                <w:rFonts w:ascii="Arial" w:hAnsi="Arial" w:cs="Arial"/>
                <w:b/>
                <w:sz w:val="16"/>
                <w:szCs w:val="16"/>
              </w:rPr>
              <w:t>.</w:t>
            </w:r>
            <w:r w:rsidRPr="00403E97">
              <w:rPr>
                <w:rFonts w:ascii="Arial" w:hAnsi="Arial" w:cs="Arial"/>
                <w:b/>
                <w:sz w:val="16"/>
                <w:szCs w:val="16"/>
              </w:rPr>
              <w:t>3</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958</w:t>
            </w:r>
            <w:r w:rsidR="00403E97" w:rsidRPr="00403E97">
              <w:rPr>
                <w:rFonts w:ascii="Arial" w:hAnsi="Arial" w:cs="Arial"/>
                <w:b/>
                <w:sz w:val="16"/>
                <w:szCs w:val="16"/>
              </w:rPr>
              <w:t>.</w:t>
            </w:r>
            <w:r w:rsidRPr="00403E97">
              <w:rPr>
                <w:rFonts w:ascii="Arial" w:hAnsi="Arial" w:cs="Arial"/>
                <w:b/>
                <w:sz w:val="16"/>
                <w:szCs w:val="16"/>
              </w:rPr>
              <w:t>5</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contextualSpacing/>
              <w:jc w:val="right"/>
              <w:rPr>
                <w:rFonts w:cs="Arial"/>
                <w:b/>
                <w:sz w:val="16"/>
                <w:szCs w:val="16"/>
              </w:rPr>
            </w:pPr>
            <w:r w:rsidRPr="002F20C3">
              <w:rPr>
                <w:rFonts w:cs="Arial"/>
                <w:b/>
                <w:sz w:val="16"/>
                <w:szCs w:val="16"/>
              </w:rPr>
              <w:t> …</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3102</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791</w:t>
            </w:r>
            <w:r w:rsidR="00403E97" w:rsidRPr="00403E97">
              <w:rPr>
                <w:rFonts w:ascii="Arial" w:hAnsi="Arial" w:cs="Arial"/>
                <w:sz w:val="16"/>
                <w:szCs w:val="16"/>
              </w:rPr>
              <w:t>.</w:t>
            </w:r>
            <w:r w:rsidRPr="00403E97">
              <w:rPr>
                <w:rFonts w:ascii="Arial" w:hAnsi="Arial" w:cs="Arial"/>
                <w:sz w:val="16"/>
                <w:szCs w:val="16"/>
              </w:rPr>
              <w:t>6</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822</w:t>
            </w:r>
            <w:r w:rsidR="00403E97" w:rsidRPr="00403E97">
              <w:rPr>
                <w:rFonts w:ascii="Arial" w:hAnsi="Arial" w:cs="Arial"/>
                <w:sz w:val="16"/>
                <w:szCs w:val="16"/>
              </w:rPr>
              <w:t>.</w:t>
            </w:r>
            <w:r w:rsidRPr="00403E97">
              <w:rPr>
                <w:rFonts w:ascii="Arial" w:hAnsi="Arial" w:cs="Arial"/>
                <w:sz w:val="16"/>
                <w:szCs w:val="16"/>
              </w:rPr>
              <w:t>1</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864</w:t>
            </w:r>
            <w:r w:rsidR="00403E97" w:rsidRPr="00403E97">
              <w:rPr>
                <w:rFonts w:ascii="Arial" w:hAnsi="Arial" w:cs="Arial"/>
                <w:sz w:val="16"/>
                <w:szCs w:val="16"/>
              </w:rPr>
              <w:t>.</w:t>
            </w:r>
            <w:r w:rsidRPr="00403E97">
              <w:rPr>
                <w:rFonts w:ascii="Arial" w:hAnsi="Arial" w:cs="Arial"/>
                <w:sz w:val="16"/>
                <w:szCs w:val="16"/>
              </w:rPr>
              <w:t>3</w:t>
            </w:r>
          </w:p>
        </w:tc>
        <w:tc>
          <w:tcPr>
            <w:tcW w:w="1311" w:type="dxa"/>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624</w:t>
            </w:r>
            <w:r w:rsidR="00403E97" w:rsidRPr="00403E97">
              <w:rPr>
                <w:rFonts w:ascii="Arial" w:hAnsi="Arial" w:cs="Arial"/>
                <w:sz w:val="16"/>
                <w:szCs w:val="16"/>
              </w:rPr>
              <w:t>.</w:t>
            </w:r>
            <w:r w:rsidRPr="00403E97">
              <w:rPr>
                <w:rFonts w:ascii="Arial" w:hAnsi="Arial" w:cs="Arial"/>
                <w:sz w:val="16"/>
                <w:szCs w:val="16"/>
              </w:rPr>
              <w:t>5</w:t>
            </w:r>
          </w:p>
        </w:tc>
        <w:tc>
          <w:tcPr>
            <w:tcW w:w="1317" w:type="dxa"/>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2628</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676</w:t>
            </w:r>
            <w:r w:rsidR="00403E97" w:rsidRPr="00403E97">
              <w:rPr>
                <w:rFonts w:ascii="Arial" w:hAnsi="Arial" w:cs="Arial"/>
                <w:sz w:val="16"/>
                <w:szCs w:val="16"/>
              </w:rPr>
              <w:t>.</w:t>
            </w:r>
            <w:r w:rsidRPr="00403E97">
              <w:rPr>
                <w:rFonts w:ascii="Arial" w:hAnsi="Arial" w:cs="Arial"/>
                <w:sz w:val="16"/>
                <w:szCs w:val="16"/>
              </w:rPr>
              <w:t>9</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711</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724</w:t>
            </w:r>
            <w:r w:rsidR="00403E97" w:rsidRPr="00403E97">
              <w:rPr>
                <w:rFonts w:ascii="Arial" w:hAnsi="Arial" w:cs="Arial"/>
                <w:sz w:val="16"/>
                <w:szCs w:val="16"/>
              </w:rPr>
              <w:t>.</w:t>
            </w:r>
            <w:r w:rsidRPr="00403E97">
              <w:rPr>
                <w:rFonts w:ascii="Arial" w:hAnsi="Arial" w:cs="Arial"/>
                <w:sz w:val="16"/>
                <w:szCs w:val="16"/>
              </w:rPr>
              <w:t>0</w:t>
            </w:r>
          </w:p>
        </w:tc>
        <w:tc>
          <w:tcPr>
            <w:tcW w:w="1311" w:type="dxa"/>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516</w:t>
            </w:r>
            <w:r w:rsidR="00403E97" w:rsidRPr="00403E97">
              <w:rPr>
                <w:rFonts w:ascii="Arial" w:hAnsi="Arial" w:cs="Arial"/>
                <w:sz w:val="16"/>
                <w:szCs w:val="16"/>
              </w:rPr>
              <w:t>.</w:t>
            </w:r>
            <w:r w:rsidRPr="00403E97">
              <w:rPr>
                <w:rFonts w:ascii="Arial" w:hAnsi="Arial" w:cs="Arial"/>
                <w:sz w:val="16"/>
                <w:szCs w:val="16"/>
              </w:rPr>
              <w:t>9</w:t>
            </w:r>
          </w:p>
        </w:tc>
        <w:tc>
          <w:tcPr>
            <w:tcW w:w="1317" w:type="dxa"/>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473</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114</w:t>
            </w:r>
            <w:r w:rsidR="00403E97" w:rsidRPr="00403E97">
              <w:rPr>
                <w:rFonts w:ascii="Arial" w:hAnsi="Arial" w:cs="Arial"/>
                <w:sz w:val="16"/>
                <w:szCs w:val="16"/>
              </w:rPr>
              <w:t>.</w:t>
            </w:r>
            <w:r w:rsidRPr="00403E97">
              <w:rPr>
                <w:rFonts w:ascii="Arial" w:hAnsi="Arial" w:cs="Arial"/>
                <w:sz w:val="16"/>
                <w:szCs w:val="16"/>
              </w:rPr>
              <w:t>7</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110</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140</w:t>
            </w:r>
            <w:r w:rsidR="00403E97" w:rsidRPr="00403E97">
              <w:rPr>
                <w:rFonts w:ascii="Arial" w:hAnsi="Arial" w:cs="Arial"/>
                <w:sz w:val="16"/>
                <w:szCs w:val="16"/>
              </w:rPr>
              <w:t>.</w:t>
            </w:r>
            <w:r w:rsidRPr="00403E97">
              <w:rPr>
                <w:rFonts w:ascii="Arial" w:hAnsi="Arial" w:cs="Arial"/>
                <w:sz w:val="16"/>
                <w:szCs w:val="16"/>
              </w:rPr>
              <w:t>3</w:t>
            </w:r>
          </w:p>
        </w:tc>
        <w:tc>
          <w:tcPr>
            <w:tcW w:w="1311" w:type="dxa"/>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107</w:t>
            </w:r>
            <w:r w:rsidR="00403E97" w:rsidRPr="00403E97">
              <w:rPr>
                <w:rFonts w:ascii="Arial" w:hAnsi="Arial" w:cs="Arial"/>
                <w:sz w:val="16"/>
                <w:szCs w:val="16"/>
              </w:rPr>
              <w:t>.</w:t>
            </w:r>
            <w:r w:rsidRPr="00403E97">
              <w:rPr>
                <w:rFonts w:ascii="Arial" w:hAnsi="Arial" w:cs="Arial"/>
                <w:sz w:val="16"/>
                <w:szCs w:val="16"/>
              </w:rPr>
              <w:t>7</w:t>
            </w:r>
          </w:p>
        </w:tc>
        <w:tc>
          <w:tcPr>
            <w:tcW w:w="1317" w:type="dxa"/>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1498</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328</w:t>
            </w:r>
            <w:r w:rsidR="00403E97" w:rsidRPr="00403E97">
              <w:rPr>
                <w:rFonts w:ascii="Arial" w:hAnsi="Arial" w:cs="Arial"/>
                <w:sz w:val="16"/>
                <w:szCs w:val="16"/>
              </w:rPr>
              <w:t>.</w:t>
            </w:r>
            <w:r w:rsidRPr="00403E97">
              <w:rPr>
                <w:rFonts w:ascii="Arial" w:hAnsi="Arial" w:cs="Arial"/>
                <w:sz w:val="16"/>
                <w:szCs w:val="16"/>
              </w:rPr>
              <w:t>4</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426</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409</w:t>
            </w:r>
            <w:r w:rsidR="00403E97" w:rsidRPr="00403E97">
              <w:rPr>
                <w:rFonts w:ascii="Arial" w:hAnsi="Arial" w:cs="Arial"/>
                <w:sz w:val="16"/>
                <w:szCs w:val="16"/>
              </w:rPr>
              <w:t>.</w:t>
            </w:r>
            <w:r w:rsidRPr="00403E97">
              <w:rPr>
                <w:rFonts w:ascii="Arial" w:hAnsi="Arial" w:cs="Arial"/>
                <w:sz w:val="16"/>
                <w:szCs w:val="16"/>
              </w:rPr>
              <w:t>0</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334</w:t>
            </w:r>
            <w:r w:rsidR="00403E97" w:rsidRPr="00403E97">
              <w:rPr>
                <w:rFonts w:ascii="Arial" w:hAnsi="Arial" w:cs="Arial"/>
                <w:sz w:val="16"/>
                <w:szCs w:val="16"/>
              </w:rPr>
              <w:t>.</w:t>
            </w:r>
            <w:r w:rsidRPr="00403E97">
              <w:rPr>
                <w:rFonts w:ascii="Arial" w:hAnsi="Arial" w:cs="Arial"/>
                <w:sz w:val="16"/>
                <w:szCs w:val="16"/>
              </w:rPr>
              <w:t>0</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587ED7" w:rsidRPr="00403E97" w:rsidRDefault="00587ED7" w:rsidP="00587ED7">
            <w:pPr>
              <w:spacing w:before="120" w:after="120" w:line="240" w:lineRule="auto"/>
              <w:rPr>
                <w:rFonts w:ascii="Arial" w:hAnsi="Arial" w:cs="Arial"/>
                <w:sz w:val="16"/>
                <w:szCs w:val="16"/>
              </w:rPr>
            </w:pPr>
            <w:r w:rsidRPr="00403E97">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lang w:eastAsia="sr-Latn-RS"/>
              </w:rPr>
              <w:t>%</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4</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70</w:t>
            </w:r>
            <w:r w:rsidR="00403E97" w:rsidRPr="00403E97">
              <w:rPr>
                <w:rFonts w:ascii="Arial" w:hAnsi="Arial" w:cs="Arial"/>
                <w:sz w:val="16"/>
                <w:szCs w:val="16"/>
              </w:rPr>
              <w:t>.</w:t>
            </w:r>
            <w:r w:rsidRPr="00403E97">
              <w:rPr>
                <w:rFonts w:ascii="Arial" w:hAnsi="Arial" w:cs="Arial"/>
                <w:sz w:val="16"/>
                <w:szCs w:val="16"/>
              </w:rPr>
              <w:t>7</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65</w:t>
            </w:r>
            <w:r w:rsidR="00403E97" w:rsidRPr="00403E97">
              <w:rPr>
                <w:rFonts w:ascii="Arial" w:hAnsi="Arial" w:cs="Arial"/>
                <w:sz w:val="16"/>
                <w:szCs w:val="16"/>
              </w:rPr>
              <w:t>.</w:t>
            </w:r>
            <w:r w:rsidRPr="00403E97">
              <w:rPr>
                <w:rFonts w:ascii="Arial" w:hAnsi="Arial" w:cs="Arial"/>
                <w:sz w:val="16"/>
                <w:szCs w:val="16"/>
              </w:rPr>
              <w:t>8</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9</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65</w:t>
            </w:r>
            <w:r w:rsidR="00403E97" w:rsidRPr="00403E97">
              <w:rPr>
                <w:rFonts w:ascii="Arial" w:hAnsi="Arial" w:cs="Arial"/>
                <w:sz w:val="16"/>
                <w:szCs w:val="16"/>
              </w:rPr>
              <w:t>.</w:t>
            </w:r>
            <w:r w:rsidRPr="00403E97">
              <w:rPr>
                <w:rFonts w:ascii="Arial" w:hAnsi="Arial" w:cs="Arial"/>
                <w:sz w:val="16"/>
                <w:szCs w:val="16"/>
              </w:rPr>
              <w:t>2</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57</w:t>
            </w:r>
            <w:r w:rsidR="00403E97" w:rsidRPr="00403E97">
              <w:rPr>
                <w:rFonts w:ascii="Arial" w:hAnsi="Arial" w:cs="Arial"/>
                <w:sz w:val="16"/>
                <w:szCs w:val="16"/>
              </w:rPr>
              <w:t>.</w:t>
            </w:r>
            <w:r w:rsidRPr="00403E97">
              <w:rPr>
                <w:rFonts w:ascii="Arial" w:hAnsi="Arial" w:cs="Arial"/>
                <w:sz w:val="16"/>
                <w:szCs w:val="16"/>
              </w:rPr>
              <w:t>1</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60</w:t>
            </w:r>
            <w:r w:rsidR="00403E97" w:rsidRPr="00403E97">
              <w:rPr>
                <w:rFonts w:ascii="Arial" w:hAnsi="Arial" w:cs="Arial"/>
                <w:sz w:val="16"/>
                <w:szCs w:val="16"/>
              </w:rPr>
              <w:t>.</w:t>
            </w:r>
            <w:r w:rsidRPr="00403E97">
              <w:rPr>
                <w:rFonts w:ascii="Arial" w:hAnsi="Arial" w:cs="Arial"/>
                <w:sz w:val="16"/>
                <w:szCs w:val="16"/>
              </w:rPr>
              <w:t>4</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9</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53</w:t>
            </w:r>
            <w:r w:rsidR="00403E97" w:rsidRPr="00403E97">
              <w:rPr>
                <w:rFonts w:ascii="Arial" w:hAnsi="Arial" w:cs="Arial"/>
                <w:sz w:val="16"/>
                <w:szCs w:val="16"/>
              </w:rPr>
              <w:t>.</w:t>
            </w:r>
            <w:r w:rsidRPr="00403E97">
              <w:rPr>
                <w:rFonts w:ascii="Arial" w:hAnsi="Arial" w:cs="Arial"/>
                <w:sz w:val="16"/>
                <w:szCs w:val="16"/>
              </w:rPr>
              <w:t>9</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5</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2</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17</w:t>
            </w:r>
            <w:r w:rsidR="00403E97" w:rsidRPr="00403E97">
              <w:rPr>
                <w:rFonts w:ascii="Arial" w:hAnsi="Arial" w:cs="Arial"/>
                <w:sz w:val="16"/>
                <w:szCs w:val="16"/>
              </w:rPr>
              <w:t>.</w:t>
            </w:r>
            <w:r w:rsidRPr="00403E97">
              <w:rPr>
                <w:rFonts w:ascii="Arial" w:hAnsi="Arial" w:cs="Arial"/>
                <w:sz w:val="16"/>
                <w:szCs w:val="16"/>
              </w:rPr>
              <w:t>2</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587ED7"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Inactivity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29</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8</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bl>
    <w:p w:rsidR="002200AF" w:rsidRPr="002F20C3" w:rsidRDefault="002200AF" w:rsidP="00EB573C">
      <w:pPr>
        <w:spacing w:after="120" w:line="240" w:lineRule="auto"/>
        <w:jc w:val="center"/>
        <w:rPr>
          <w:rFonts w:ascii="Arial" w:hAnsi="Arial" w:cs="Arial"/>
          <w:bCs/>
          <w:sz w:val="20"/>
          <w:szCs w:val="20"/>
        </w:rPr>
      </w:pPr>
    </w:p>
    <w:p w:rsidR="002200AF" w:rsidRPr="002F20C3" w:rsidRDefault="002200AF" w:rsidP="00EB573C">
      <w:pPr>
        <w:spacing w:after="120" w:line="240" w:lineRule="auto"/>
        <w:jc w:val="center"/>
        <w:rPr>
          <w:rFonts w:ascii="Arial" w:hAnsi="Arial" w:cs="Arial"/>
          <w:bCs/>
          <w:sz w:val="20"/>
          <w:szCs w:val="20"/>
        </w:rPr>
      </w:pPr>
    </w:p>
    <w:p w:rsidR="00066E6C" w:rsidRPr="002F20C3" w:rsidRDefault="00066E6C" w:rsidP="00750A06">
      <w:pPr>
        <w:jc w:val="both"/>
        <w:rPr>
          <w:rFonts w:ascii="Arial" w:hAnsi="Arial" w:cs="Arial"/>
          <w:sz w:val="20"/>
          <w:szCs w:val="20"/>
        </w:rPr>
      </w:pPr>
      <w:r w:rsidRPr="002F20C3">
        <w:rPr>
          <w:rFonts w:ascii="Arial" w:hAnsi="Arial" w:cs="Arial"/>
          <w:sz w:val="20"/>
          <w:szCs w:val="20"/>
        </w:rPr>
        <w:t>Starting from 1999 the Statistical Office of the Republic of Serbia has not at disposal and may not provide available certain data relative to AP Kosovo and Metohi</w:t>
      </w:r>
      <w:r w:rsidR="00B5657A" w:rsidRPr="002F20C3">
        <w:rPr>
          <w:rFonts w:ascii="Arial" w:hAnsi="Arial" w:cs="Arial"/>
          <w:sz w:val="20"/>
          <w:szCs w:val="20"/>
        </w:rPr>
        <w:t>j</w:t>
      </w:r>
      <w:r w:rsidRPr="002F20C3">
        <w:rPr>
          <w:rFonts w:ascii="Arial" w:hAnsi="Arial" w:cs="Arial"/>
          <w:sz w:val="20"/>
          <w:szCs w:val="20"/>
        </w:rPr>
        <w:t xml:space="preserve">a and therefore these data are not included in the coverage for the Republic of Serbia (total). </w:t>
      </w:r>
    </w:p>
    <w:p w:rsidR="00F42953" w:rsidRPr="004433B1" w:rsidRDefault="00F42953" w:rsidP="00750A06">
      <w:pPr>
        <w:spacing w:line="240" w:lineRule="auto"/>
        <w:ind w:left="2832"/>
        <w:rPr>
          <w:rFonts w:ascii="Arial" w:hAnsi="Arial" w:cs="Arial"/>
          <w:sz w:val="18"/>
          <w:szCs w:val="18"/>
        </w:rPr>
      </w:pPr>
    </w:p>
    <w:p w:rsidR="00EB573C" w:rsidRPr="004433B1" w:rsidRDefault="00EB573C" w:rsidP="00750A06">
      <w:pPr>
        <w:spacing w:line="240" w:lineRule="auto"/>
        <w:ind w:left="2832"/>
        <w:rPr>
          <w:rFonts w:ascii="Arial" w:hAnsi="Arial" w:cs="Arial"/>
          <w:sz w:val="18"/>
          <w:szCs w:val="18"/>
        </w:rPr>
      </w:pPr>
    </w:p>
    <w:p w:rsidR="00EB573C" w:rsidRPr="004433B1" w:rsidRDefault="00EB573C" w:rsidP="00750A06">
      <w:pPr>
        <w:spacing w:line="240" w:lineRule="auto"/>
        <w:ind w:left="2832"/>
        <w:rPr>
          <w:rFonts w:ascii="Arial" w:hAnsi="Arial" w:cs="Arial"/>
          <w:sz w:val="18"/>
          <w:szCs w:val="18"/>
        </w:rPr>
      </w:pPr>
    </w:p>
    <w:p w:rsidR="00066E6C" w:rsidRPr="004433B1" w:rsidRDefault="001A2C58" w:rsidP="00EB573C">
      <w:pPr>
        <w:spacing w:after="0" w:line="240" w:lineRule="auto"/>
        <w:jc w:val="center"/>
        <w:rPr>
          <w:rFonts w:ascii="Arial" w:hAnsi="Arial" w:cs="Arial"/>
          <w:sz w:val="18"/>
          <w:szCs w:val="18"/>
        </w:rPr>
      </w:pPr>
      <w:r w:rsidRPr="004433B1">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E69D"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4433B1">
        <w:rPr>
          <w:rFonts w:ascii="Arial" w:hAnsi="Arial" w:cs="Arial"/>
          <w:sz w:val="18"/>
          <w:szCs w:val="18"/>
        </w:rPr>
        <w:t xml:space="preserve">Contact: </w:t>
      </w:r>
      <w:hyperlink r:id="rId17" w:history="1">
        <w:r w:rsidR="00066E6C" w:rsidRPr="004433B1">
          <w:rPr>
            <w:rStyle w:val="Hyperlink"/>
            <w:rFonts w:ascii="Arial" w:hAnsi="Arial" w:cs="Arial"/>
            <w:sz w:val="18"/>
            <w:szCs w:val="18"/>
          </w:rPr>
          <w:t>ars@stat.gov.rs</w:t>
        </w:r>
      </w:hyperlink>
      <w:r w:rsidR="00066E6C" w:rsidRPr="004433B1">
        <w:rPr>
          <w:rStyle w:val="Hyperlink"/>
          <w:rFonts w:ascii="Arial" w:hAnsi="Arial" w:cs="Arial"/>
          <w:color w:val="auto"/>
          <w:sz w:val="18"/>
          <w:szCs w:val="18"/>
          <w:u w:val="none"/>
        </w:rPr>
        <w:t>,</w:t>
      </w:r>
      <w:r w:rsidR="00066E6C" w:rsidRPr="004433B1">
        <w:rPr>
          <w:rFonts w:ascii="Arial" w:hAnsi="Arial" w:cs="Arial"/>
          <w:sz w:val="18"/>
          <w:szCs w:val="18"/>
        </w:rPr>
        <w:t xml:space="preserve"> Phone: </w:t>
      </w:r>
      <w:r w:rsidR="004B77CF" w:rsidRPr="004433B1">
        <w:rPr>
          <w:rFonts w:ascii="Arial" w:hAnsi="Arial" w:cs="Arial"/>
          <w:sz w:val="18"/>
          <w:szCs w:val="18"/>
        </w:rPr>
        <w:t xml:space="preserve">+381 </w:t>
      </w:r>
      <w:r w:rsidR="00066E6C" w:rsidRPr="004433B1">
        <w:rPr>
          <w:rFonts w:ascii="Arial" w:hAnsi="Arial" w:cs="Arial"/>
          <w:sz w:val="18"/>
          <w:szCs w:val="18"/>
        </w:rPr>
        <w:t xml:space="preserve">11 2412 922, </w:t>
      </w:r>
      <w:r w:rsidR="008C4D99" w:rsidRPr="004433B1">
        <w:rPr>
          <w:rFonts w:ascii="Arial" w:hAnsi="Arial" w:cs="Arial"/>
          <w:sz w:val="18"/>
          <w:szCs w:val="18"/>
        </w:rPr>
        <w:t>ext.</w:t>
      </w:r>
      <w:r w:rsidR="00066E6C" w:rsidRPr="004433B1">
        <w:rPr>
          <w:rFonts w:ascii="Arial" w:hAnsi="Arial" w:cs="Arial"/>
          <w:sz w:val="18"/>
          <w:szCs w:val="18"/>
        </w:rPr>
        <w:t xml:space="preserve"> 372</w:t>
      </w:r>
    </w:p>
    <w:p w:rsidR="00EB573C" w:rsidRPr="004433B1" w:rsidRDefault="00EB573C" w:rsidP="00EB573C">
      <w:pPr>
        <w:spacing w:after="0" w:line="240" w:lineRule="auto"/>
        <w:jc w:val="center"/>
        <w:rPr>
          <w:rFonts w:ascii="Arial" w:hAnsi="Arial" w:cs="Arial"/>
          <w:iCs/>
          <w:sz w:val="18"/>
          <w:szCs w:val="18"/>
        </w:rPr>
      </w:pPr>
      <w:r w:rsidRPr="004433B1">
        <w:rPr>
          <w:rFonts w:ascii="Arial" w:hAnsi="Arial" w:cs="Arial"/>
          <w:iCs/>
          <w:sz w:val="18"/>
          <w:szCs w:val="18"/>
        </w:rPr>
        <w:t>Published and printed by: Statistical Office of the Republic of Serbia, 11 050 Belgrade, Milana Rakica 5</w:t>
      </w:r>
    </w:p>
    <w:p w:rsidR="00EB573C" w:rsidRPr="004433B1" w:rsidRDefault="00EB573C" w:rsidP="00EB573C">
      <w:pPr>
        <w:spacing w:after="0" w:line="240" w:lineRule="auto"/>
        <w:jc w:val="center"/>
        <w:rPr>
          <w:rFonts w:ascii="Arial" w:hAnsi="Arial" w:cs="Arial"/>
          <w:iCs/>
          <w:sz w:val="18"/>
          <w:szCs w:val="18"/>
        </w:rPr>
      </w:pPr>
      <w:r w:rsidRPr="004433B1">
        <w:rPr>
          <w:rFonts w:ascii="Arial" w:hAnsi="Arial" w:cs="Arial"/>
          <w:iCs/>
          <w:sz w:val="18"/>
          <w:szCs w:val="18"/>
        </w:rPr>
        <w:t xml:space="preserve">Phone: +381 11 2412922 </w:t>
      </w:r>
      <w:r w:rsidRPr="004433B1">
        <w:rPr>
          <w:rFonts w:ascii="Arial" w:hAnsi="Arial" w:cs="Arial"/>
          <w:sz w:val="18"/>
          <w:szCs w:val="18"/>
        </w:rPr>
        <w:t xml:space="preserve">(telephone exchange) </w:t>
      </w:r>
      <w:r w:rsidRPr="004433B1">
        <w:rPr>
          <w:rFonts w:ascii="Arial" w:hAnsi="Arial" w:cs="Arial"/>
          <w:iCs/>
          <w:sz w:val="18"/>
          <w:szCs w:val="18"/>
        </w:rPr>
        <w:t xml:space="preserve">● Fax: +381 11 2411260 ● www.stat.gov.rs  </w:t>
      </w:r>
    </w:p>
    <w:p w:rsidR="00EB573C" w:rsidRPr="004433B1" w:rsidRDefault="00EB573C" w:rsidP="00EB573C">
      <w:pPr>
        <w:spacing w:after="0" w:line="240" w:lineRule="auto"/>
        <w:jc w:val="center"/>
        <w:rPr>
          <w:rFonts w:ascii="Arial" w:hAnsi="Arial" w:cs="Arial"/>
          <w:iCs/>
          <w:sz w:val="18"/>
          <w:szCs w:val="18"/>
        </w:rPr>
      </w:pPr>
      <w:r w:rsidRPr="004433B1">
        <w:rPr>
          <w:rFonts w:ascii="Arial" w:hAnsi="Arial" w:cs="Arial"/>
          <w:iCs/>
          <w:sz w:val="18"/>
          <w:szCs w:val="18"/>
        </w:rPr>
        <w:t>Responsible: Dr Miladin Kovačević, Director</w:t>
      </w:r>
    </w:p>
    <w:p w:rsidR="00066E6C" w:rsidRPr="004433B1" w:rsidRDefault="00066E6C" w:rsidP="00F42953">
      <w:pPr>
        <w:spacing w:after="60" w:line="240" w:lineRule="auto"/>
        <w:jc w:val="center"/>
        <w:rPr>
          <w:rFonts w:ascii="Arial" w:hAnsi="Arial" w:cs="Arial"/>
          <w:sz w:val="18"/>
          <w:szCs w:val="18"/>
        </w:rPr>
      </w:pPr>
      <w:r w:rsidRPr="004433B1">
        <w:rPr>
          <w:rFonts w:ascii="Arial" w:hAnsi="Arial" w:cs="Arial"/>
          <w:sz w:val="18"/>
          <w:szCs w:val="18"/>
        </w:rPr>
        <w:t>Circulation: 20 • Periodicity: quarterly</w:t>
      </w:r>
    </w:p>
    <w:sectPr w:rsidR="00066E6C" w:rsidRPr="004433B1" w:rsidSect="00F42953">
      <w:footerReference w:type="even" r:id="rId18"/>
      <w:footerReference w:type="default" r:id="rId19"/>
      <w:footerReference w:type="first" r:id="rId20"/>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D9" w:rsidRDefault="00D312D9" w:rsidP="0079683E">
      <w:pPr>
        <w:spacing w:after="0" w:line="240" w:lineRule="auto"/>
      </w:pPr>
      <w:r>
        <w:separator/>
      </w:r>
    </w:p>
  </w:endnote>
  <w:endnote w:type="continuationSeparator" w:id="0">
    <w:p w:rsidR="00D312D9" w:rsidRDefault="00D312D9"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06" w:rsidRPr="00D31975" w:rsidRDefault="00B16406" w:rsidP="000E626E">
    <w:pPr>
      <w:pStyle w:val="Footer"/>
      <w:pBdr>
        <w:top w:val="single" w:sz="4" w:space="1" w:color="auto"/>
      </w:pBdr>
      <w:rPr>
        <w:sz w:val="16"/>
        <w:szCs w:val="16"/>
      </w:rPr>
    </w:pPr>
    <w:r w:rsidRPr="00CC5189">
      <w:rPr>
        <w:sz w:val="16"/>
        <w:szCs w:val="16"/>
      </w:rPr>
      <w:fldChar w:fldCharType="begin"/>
    </w:r>
    <w:r w:rsidRPr="00CC5189">
      <w:rPr>
        <w:sz w:val="16"/>
        <w:szCs w:val="16"/>
      </w:rPr>
      <w:instrText xml:space="preserve"> PAGE   \* MERGEFORMAT </w:instrText>
    </w:r>
    <w:r w:rsidRPr="00CC5189">
      <w:rPr>
        <w:sz w:val="16"/>
        <w:szCs w:val="16"/>
      </w:rPr>
      <w:fldChar w:fldCharType="separate"/>
    </w:r>
    <w:r w:rsidR="00654F6A">
      <w:rPr>
        <w:noProof/>
        <w:sz w:val="16"/>
        <w:szCs w:val="16"/>
      </w:rPr>
      <w:t>12</w:t>
    </w:r>
    <w:r w:rsidRPr="00CC5189">
      <w:rPr>
        <w:sz w:val="16"/>
        <w:szCs w:val="16"/>
      </w:rPr>
      <w:fldChar w:fldCharType="end"/>
    </w:r>
    <w:r w:rsidRPr="00CC5189">
      <w:rPr>
        <w:rFonts w:ascii="Arial" w:hAnsi="Arial" w:cs="Arial"/>
        <w:sz w:val="16"/>
        <w:szCs w:val="16"/>
        <w:lang w:val="sr-Cyrl-CS"/>
      </w:rPr>
      <w:t xml:space="preserve"> </w:t>
    </w:r>
    <w:r w:rsidRPr="00CC5189">
      <w:rPr>
        <w:rFonts w:ascii="Arial" w:hAnsi="Arial" w:cs="Arial"/>
        <w:sz w:val="16"/>
        <w:szCs w:val="16"/>
        <w:lang w:val="en-US"/>
      </w:rPr>
      <w:t xml:space="preserve">                                                                                                                                                                                          </w:t>
    </w:r>
    <w:r w:rsidRPr="00CC5189">
      <w:rPr>
        <w:rFonts w:ascii="Arial" w:hAnsi="Arial" w:cs="Arial"/>
        <w:sz w:val="16"/>
        <w:szCs w:val="16"/>
      </w:rPr>
      <w:t>SERB</w:t>
    </w:r>
    <w:r>
      <w:rPr>
        <w:rFonts w:ascii="Arial" w:hAnsi="Arial" w:cs="Arial"/>
        <w:sz w:val="16"/>
        <w:szCs w:val="16"/>
      </w:rPr>
      <w:t>45</w:t>
    </w:r>
    <w:r w:rsidRPr="00CC5189">
      <w:rPr>
        <w:rFonts w:ascii="Arial" w:hAnsi="Arial" w:cs="Arial"/>
        <w:sz w:val="16"/>
        <w:szCs w:val="16"/>
      </w:rPr>
      <w:t xml:space="preserve"> RS10 </w:t>
    </w:r>
    <w:r w:rsidR="00654F6A">
      <w:rPr>
        <w:rFonts w:ascii="Arial" w:hAnsi="Arial" w:cs="Arial"/>
        <w:sz w:val="16"/>
        <w:szCs w:val="16"/>
      </w:rPr>
      <w:t>050318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06" w:rsidRPr="000E626E" w:rsidRDefault="00B16406" w:rsidP="000E626E">
    <w:pPr>
      <w:pStyle w:val="Footer"/>
      <w:pBdr>
        <w:top w:val="single" w:sz="4" w:space="1" w:color="auto"/>
      </w:pBdr>
      <w:rPr>
        <w:sz w:val="16"/>
        <w:szCs w:val="16"/>
      </w:rPr>
    </w:pPr>
    <w:r w:rsidRPr="00CC5189">
      <w:rPr>
        <w:rFonts w:ascii="Arial" w:hAnsi="Arial" w:cs="Arial"/>
        <w:sz w:val="16"/>
        <w:szCs w:val="16"/>
      </w:rPr>
      <w:t>SERB</w:t>
    </w:r>
    <w:r>
      <w:rPr>
        <w:rFonts w:ascii="Arial" w:hAnsi="Arial" w:cs="Arial"/>
        <w:sz w:val="16"/>
        <w:szCs w:val="16"/>
      </w:rPr>
      <w:t>45</w:t>
    </w:r>
    <w:r w:rsidRPr="00CC5189">
      <w:rPr>
        <w:rFonts w:ascii="Arial" w:hAnsi="Arial" w:cs="Arial"/>
        <w:sz w:val="16"/>
        <w:szCs w:val="16"/>
      </w:rPr>
      <w:t xml:space="preserve"> </w:t>
    </w:r>
    <w:r w:rsidRPr="00D31975">
      <w:rPr>
        <w:rFonts w:ascii="Arial" w:hAnsi="Arial" w:cs="Arial"/>
        <w:sz w:val="16"/>
        <w:szCs w:val="16"/>
      </w:rPr>
      <w:t xml:space="preserve">RS10 </w:t>
    </w:r>
    <w:r w:rsidR="00654F6A">
      <w:rPr>
        <w:rFonts w:ascii="Arial" w:hAnsi="Arial" w:cs="Arial"/>
        <w:sz w:val="16"/>
        <w:szCs w:val="16"/>
      </w:rPr>
      <w:t>050318</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654F6A">
      <w:rPr>
        <w:noProof/>
        <w:sz w:val="16"/>
        <w:szCs w:val="16"/>
      </w:rPr>
      <w:t>11</w:t>
    </w:r>
    <w:r w:rsidRPr="002C7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06" w:rsidRPr="009B388B" w:rsidRDefault="00B16406" w:rsidP="003B58E9">
    <w:pPr>
      <w:pStyle w:val="ListParagraph"/>
      <w:rPr>
        <w:rFonts w:ascii="Arial" w:hAnsi="Arial" w:cs="Arial"/>
        <w:sz w:val="16"/>
        <w:szCs w:val="16"/>
      </w:rPr>
    </w:pPr>
  </w:p>
  <w:p w:rsidR="00B16406" w:rsidRPr="009B388B" w:rsidRDefault="00B16406" w:rsidP="00E23401">
    <w:pPr>
      <w:pStyle w:val="ListParagraph"/>
      <w:tabs>
        <w:tab w:val="left" w:pos="2865"/>
      </w:tabs>
      <w:rPr>
        <w:rFonts w:ascii="Arial" w:hAnsi="Arial" w:cs="Arial"/>
        <w:sz w:val="16"/>
        <w:szCs w:val="16"/>
      </w:rPr>
    </w:pPr>
    <w:r>
      <w:rPr>
        <w:rFonts w:ascii="Arial" w:hAnsi="Arial" w:cs="Arial"/>
        <w:sz w:val="16"/>
        <w:szCs w:val="16"/>
      </w:rPr>
      <w:tab/>
    </w:r>
  </w:p>
  <w:p w:rsidR="00B16406" w:rsidRDefault="00B1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D9" w:rsidRDefault="00D312D9" w:rsidP="0079683E">
      <w:pPr>
        <w:spacing w:after="0" w:line="240" w:lineRule="auto"/>
      </w:pPr>
      <w:r>
        <w:separator/>
      </w:r>
    </w:p>
  </w:footnote>
  <w:footnote w:type="continuationSeparator" w:id="0">
    <w:p w:rsidR="00D312D9" w:rsidRDefault="00D312D9" w:rsidP="0079683E">
      <w:pPr>
        <w:spacing w:after="0" w:line="240" w:lineRule="auto"/>
      </w:pPr>
      <w:r>
        <w:continuationSeparator/>
      </w:r>
    </w:p>
  </w:footnote>
  <w:footnote w:id="1">
    <w:p w:rsidR="00B16406" w:rsidRPr="004144C9" w:rsidRDefault="00B16406" w:rsidP="00EF2758">
      <w:pPr>
        <w:pStyle w:val="FootnoteText"/>
        <w:spacing w:after="120"/>
        <w:ind w:left="142" w:hanging="142"/>
        <w:rPr>
          <w:sz w:val="16"/>
          <w:szCs w:val="16"/>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4144C9">
        <w:rPr>
          <w:rFonts w:ascii="Arial" w:hAnsi="Arial" w:cs="Arial"/>
          <w:sz w:val="16"/>
          <w:szCs w:val="16"/>
        </w:rPr>
        <w:t>The indicator consist of persons aged 18-24 whose highest level of completed education is primary education or less and who did not attend any formal or non-formal education in the last 4 weeks.</w:t>
      </w:r>
    </w:p>
  </w:footnote>
  <w:footnote w:id="2">
    <w:p w:rsidR="00B16406" w:rsidRPr="00EB573C" w:rsidRDefault="00B16406" w:rsidP="002200AF">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15:restartNumberingAfterBreak="0">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15:restartNumberingAfterBreak="0">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0"/>
    <w:rsid w:val="00002B9B"/>
    <w:rsid w:val="00006B24"/>
    <w:rsid w:val="000132BC"/>
    <w:rsid w:val="00013536"/>
    <w:rsid w:val="00013560"/>
    <w:rsid w:val="000136CE"/>
    <w:rsid w:val="00021F02"/>
    <w:rsid w:val="00024833"/>
    <w:rsid w:val="00025504"/>
    <w:rsid w:val="000277B6"/>
    <w:rsid w:val="000312C5"/>
    <w:rsid w:val="000500C4"/>
    <w:rsid w:val="00050DF3"/>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A188D"/>
    <w:rsid w:val="000A50B8"/>
    <w:rsid w:val="000A5409"/>
    <w:rsid w:val="000A5896"/>
    <w:rsid w:val="000B38C7"/>
    <w:rsid w:val="000B4F8C"/>
    <w:rsid w:val="000B69ED"/>
    <w:rsid w:val="000B6B19"/>
    <w:rsid w:val="000C014E"/>
    <w:rsid w:val="000C1DBE"/>
    <w:rsid w:val="000C7EAC"/>
    <w:rsid w:val="000D2480"/>
    <w:rsid w:val="000D30C6"/>
    <w:rsid w:val="000D5667"/>
    <w:rsid w:val="000D5A9C"/>
    <w:rsid w:val="000D5D80"/>
    <w:rsid w:val="000D66A7"/>
    <w:rsid w:val="000D69D5"/>
    <w:rsid w:val="000E2E6C"/>
    <w:rsid w:val="000E3B53"/>
    <w:rsid w:val="000E626E"/>
    <w:rsid w:val="000E7056"/>
    <w:rsid w:val="000E77FE"/>
    <w:rsid w:val="000F1293"/>
    <w:rsid w:val="000F1918"/>
    <w:rsid w:val="000F20C8"/>
    <w:rsid w:val="001060AD"/>
    <w:rsid w:val="001100EB"/>
    <w:rsid w:val="00121039"/>
    <w:rsid w:val="00121732"/>
    <w:rsid w:val="00121971"/>
    <w:rsid w:val="0012662D"/>
    <w:rsid w:val="001270F1"/>
    <w:rsid w:val="0012745A"/>
    <w:rsid w:val="00131BB7"/>
    <w:rsid w:val="00132B72"/>
    <w:rsid w:val="00132F0A"/>
    <w:rsid w:val="001332A7"/>
    <w:rsid w:val="001341C0"/>
    <w:rsid w:val="00137779"/>
    <w:rsid w:val="0014130D"/>
    <w:rsid w:val="001507DA"/>
    <w:rsid w:val="00157573"/>
    <w:rsid w:val="00157FD4"/>
    <w:rsid w:val="001651B0"/>
    <w:rsid w:val="00167A5C"/>
    <w:rsid w:val="00167B7F"/>
    <w:rsid w:val="001703BA"/>
    <w:rsid w:val="0017056E"/>
    <w:rsid w:val="001714BA"/>
    <w:rsid w:val="00172C84"/>
    <w:rsid w:val="00180905"/>
    <w:rsid w:val="00180D16"/>
    <w:rsid w:val="00180D93"/>
    <w:rsid w:val="00182AEC"/>
    <w:rsid w:val="001854FA"/>
    <w:rsid w:val="001908CB"/>
    <w:rsid w:val="00191D22"/>
    <w:rsid w:val="00191D5A"/>
    <w:rsid w:val="00196A0A"/>
    <w:rsid w:val="001A2C58"/>
    <w:rsid w:val="001A323A"/>
    <w:rsid w:val="001A767F"/>
    <w:rsid w:val="001B5D22"/>
    <w:rsid w:val="001B6CFD"/>
    <w:rsid w:val="001C3ACC"/>
    <w:rsid w:val="001C57DB"/>
    <w:rsid w:val="001C6F3B"/>
    <w:rsid w:val="001C70A5"/>
    <w:rsid w:val="001D480E"/>
    <w:rsid w:val="001E0ADD"/>
    <w:rsid w:val="001E1455"/>
    <w:rsid w:val="001E6460"/>
    <w:rsid w:val="001F2BA2"/>
    <w:rsid w:val="001F3DF3"/>
    <w:rsid w:val="0020006C"/>
    <w:rsid w:val="00200387"/>
    <w:rsid w:val="0020040F"/>
    <w:rsid w:val="00202373"/>
    <w:rsid w:val="002025D8"/>
    <w:rsid w:val="00203C7C"/>
    <w:rsid w:val="002051A3"/>
    <w:rsid w:val="00207635"/>
    <w:rsid w:val="00215258"/>
    <w:rsid w:val="002200AF"/>
    <w:rsid w:val="0022194D"/>
    <w:rsid w:val="002221F2"/>
    <w:rsid w:val="0022496D"/>
    <w:rsid w:val="00225019"/>
    <w:rsid w:val="00234858"/>
    <w:rsid w:val="00237528"/>
    <w:rsid w:val="002377C1"/>
    <w:rsid w:val="00237819"/>
    <w:rsid w:val="00237CB5"/>
    <w:rsid w:val="002401DC"/>
    <w:rsid w:val="00241F15"/>
    <w:rsid w:val="00242658"/>
    <w:rsid w:val="00244C81"/>
    <w:rsid w:val="00247CC0"/>
    <w:rsid w:val="00250107"/>
    <w:rsid w:val="00252A87"/>
    <w:rsid w:val="0025614A"/>
    <w:rsid w:val="002632FF"/>
    <w:rsid w:val="00264413"/>
    <w:rsid w:val="00266D94"/>
    <w:rsid w:val="00267886"/>
    <w:rsid w:val="00280475"/>
    <w:rsid w:val="0028282E"/>
    <w:rsid w:val="002915F5"/>
    <w:rsid w:val="00295827"/>
    <w:rsid w:val="00295976"/>
    <w:rsid w:val="002A186E"/>
    <w:rsid w:val="002B0A01"/>
    <w:rsid w:val="002B45FD"/>
    <w:rsid w:val="002B4FEA"/>
    <w:rsid w:val="002B5D1D"/>
    <w:rsid w:val="002C1646"/>
    <w:rsid w:val="002C4C84"/>
    <w:rsid w:val="002C74A4"/>
    <w:rsid w:val="002E120B"/>
    <w:rsid w:val="002E4E22"/>
    <w:rsid w:val="002F0941"/>
    <w:rsid w:val="002F20C3"/>
    <w:rsid w:val="002F796A"/>
    <w:rsid w:val="00303DEB"/>
    <w:rsid w:val="003076B0"/>
    <w:rsid w:val="003161CA"/>
    <w:rsid w:val="0031687A"/>
    <w:rsid w:val="00316C8E"/>
    <w:rsid w:val="003205F6"/>
    <w:rsid w:val="00330E79"/>
    <w:rsid w:val="00334839"/>
    <w:rsid w:val="003350EF"/>
    <w:rsid w:val="0033726E"/>
    <w:rsid w:val="00345BD2"/>
    <w:rsid w:val="003525C5"/>
    <w:rsid w:val="003532C1"/>
    <w:rsid w:val="00355739"/>
    <w:rsid w:val="00363EC7"/>
    <w:rsid w:val="00367365"/>
    <w:rsid w:val="003721C7"/>
    <w:rsid w:val="003725C0"/>
    <w:rsid w:val="00375EE0"/>
    <w:rsid w:val="00382D73"/>
    <w:rsid w:val="00384382"/>
    <w:rsid w:val="00385077"/>
    <w:rsid w:val="00386A4A"/>
    <w:rsid w:val="00393B2D"/>
    <w:rsid w:val="003944C5"/>
    <w:rsid w:val="003A5459"/>
    <w:rsid w:val="003B0470"/>
    <w:rsid w:val="003B259E"/>
    <w:rsid w:val="003B525E"/>
    <w:rsid w:val="003B58E9"/>
    <w:rsid w:val="003C0E3A"/>
    <w:rsid w:val="003C40F8"/>
    <w:rsid w:val="003E02AE"/>
    <w:rsid w:val="003E0FE8"/>
    <w:rsid w:val="003E1FB8"/>
    <w:rsid w:val="003E29A7"/>
    <w:rsid w:val="003E4DA7"/>
    <w:rsid w:val="003F2A4B"/>
    <w:rsid w:val="00401C2A"/>
    <w:rsid w:val="00403E97"/>
    <w:rsid w:val="00410B95"/>
    <w:rsid w:val="004144C9"/>
    <w:rsid w:val="00415515"/>
    <w:rsid w:val="00415890"/>
    <w:rsid w:val="0041703D"/>
    <w:rsid w:val="00424D87"/>
    <w:rsid w:val="00427207"/>
    <w:rsid w:val="00440B6D"/>
    <w:rsid w:val="00442577"/>
    <w:rsid w:val="00442938"/>
    <w:rsid w:val="004433B1"/>
    <w:rsid w:val="00445F79"/>
    <w:rsid w:val="00446136"/>
    <w:rsid w:val="00452FF0"/>
    <w:rsid w:val="00453220"/>
    <w:rsid w:val="00454E6D"/>
    <w:rsid w:val="004601CD"/>
    <w:rsid w:val="00462B6D"/>
    <w:rsid w:val="004737F4"/>
    <w:rsid w:val="004823D0"/>
    <w:rsid w:val="00483285"/>
    <w:rsid w:val="004833C2"/>
    <w:rsid w:val="004841DA"/>
    <w:rsid w:val="004843D6"/>
    <w:rsid w:val="0048453C"/>
    <w:rsid w:val="0048467C"/>
    <w:rsid w:val="00487573"/>
    <w:rsid w:val="00487B9A"/>
    <w:rsid w:val="00490915"/>
    <w:rsid w:val="004926C9"/>
    <w:rsid w:val="00495267"/>
    <w:rsid w:val="0049554D"/>
    <w:rsid w:val="004A530F"/>
    <w:rsid w:val="004A53CC"/>
    <w:rsid w:val="004A7F6B"/>
    <w:rsid w:val="004B161D"/>
    <w:rsid w:val="004B5788"/>
    <w:rsid w:val="004B77CF"/>
    <w:rsid w:val="004C0CF0"/>
    <w:rsid w:val="004C0E60"/>
    <w:rsid w:val="004C19C4"/>
    <w:rsid w:val="004C1AD2"/>
    <w:rsid w:val="004C76DA"/>
    <w:rsid w:val="004D0AED"/>
    <w:rsid w:val="004D6B29"/>
    <w:rsid w:val="004E6024"/>
    <w:rsid w:val="004F0BA6"/>
    <w:rsid w:val="004F712A"/>
    <w:rsid w:val="0050280D"/>
    <w:rsid w:val="00515093"/>
    <w:rsid w:val="0052321C"/>
    <w:rsid w:val="00534DDF"/>
    <w:rsid w:val="005355A3"/>
    <w:rsid w:val="00535DF9"/>
    <w:rsid w:val="005538F3"/>
    <w:rsid w:val="00553F5C"/>
    <w:rsid w:val="005540EC"/>
    <w:rsid w:val="00554546"/>
    <w:rsid w:val="005574CB"/>
    <w:rsid w:val="00563C16"/>
    <w:rsid w:val="00574CDD"/>
    <w:rsid w:val="00575CD5"/>
    <w:rsid w:val="00582B41"/>
    <w:rsid w:val="00587ED7"/>
    <w:rsid w:val="00592869"/>
    <w:rsid w:val="00592887"/>
    <w:rsid w:val="005A0000"/>
    <w:rsid w:val="005A3371"/>
    <w:rsid w:val="005A4EC1"/>
    <w:rsid w:val="005A4EC6"/>
    <w:rsid w:val="005B3826"/>
    <w:rsid w:val="005B4854"/>
    <w:rsid w:val="005B61CB"/>
    <w:rsid w:val="005B7D36"/>
    <w:rsid w:val="005C0DA6"/>
    <w:rsid w:val="005C6759"/>
    <w:rsid w:val="005D39EA"/>
    <w:rsid w:val="005E2E52"/>
    <w:rsid w:val="005E48B6"/>
    <w:rsid w:val="005E5B97"/>
    <w:rsid w:val="005E7443"/>
    <w:rsid w:val="005E7D1D"/>
    <w:rsid w:val="005F07CB"/>
    <w:rsid w:val="006018B9"/>
    <w:rsid w:val="00610A57"/>
    <w:rsid w:val="00614859"/>
    <w:rsid w:val="00614AA2"/>
    <w:rsid w:val="00614EE3"/>
    <w:rsid w:val="00615761"/>
    <w:rsid w:val="00616B80"/>
    <w:rsid w:val="00623A05"/>
    <w:rsid w:val="00624BCF"/>
    <w:rsid w:val="0063069E"/>
    <w:rsid w:val="00632CA0"/>
    <w:rsid w:val="00636628"/>
    <w:rsid w:val="006375FC"/>
    <w:rsid w:val="00644E5A"/>
    <w:rsid w:val="00646BC4"/>
    <w:rsid w:val="00653EBC"/>
    <w:rsid w:val="00654F6A"/>
    <w:rsid w:val="00655931"/>
    <w:rsid w:val="006608B3"/>
    <w:rsid w:val="006620A7"/>
    <w:rsid w:val="006701B3"/>
    <w:rsid w:val="00671361"/>
    <w:rsid w:val="00676CE8"/>
    <w:rsid w:val="006801F3"/>
    <w:rsid w:val="00682F25"/>
    <w:rsid w:val="006830A1"/>
    <w:rsid w:val="006901F2"/>
    <w:rsid w:val="00693B12"/>
    <w:rsid w:val="00695718"/>
    <w:rsid w:val="00695F4A"/>
    <w:rsid w:val="006A7FF5"/>
    <w:rsid w:val="006B25F5"/>
    <w:rsid w:val="006C0A2F"/>
    <w:rsid w:val="006C2F31"/>
    <w:rsid w:val="006C4A7A"/>
    <w:rsid w:val="006C5955"/>
    <w:rsid w:val="006C7F9E"/>
    <w:rsid w:val="006D4A19"/>
    <w:rsid w:val="006D7263"/>
    <w:rsid w:val="006E08B4"/>
    <w:rsid w:val="006E748C"/>
    <w:rsid w:val="006E7891"/>
    <w:rsid w:val="006F1F6B"/>
    <w:rsid w:val="006F2358"/>
    <w:rsid w:val="006F3A9D"/>
    <w:rsid w:val="006F4FA6"/>
    <w:rsid w:val="006F6C4A"/>
    <w:rsid w:val="006F76BF"/>
    <w:rsid w:val="00710811"/>
    <w:rsid w:val="00714CF6"/>
    <w:rsid w:val="00717CEA"/>
    <w:rsid w:val="007230B0"/>
    <w:rsid w:val="00724EA7"/>
    <w:rsid w:val="00730B35"/>
    <w:rsid w:val="00731D9A"/>
    <w:rsid w:val="007418E3"/>
    <w:rsid w:val="00742675"/>
    <w:rsid w:val="00742757"/>
    <w:rsid w:val="007432E8"/>
    <w:rsid w:val="00743DFE"/>
    <w:rsid w:val="00747046"/>
    <w:rsid w:val="00750A06"/>
    <w:rsid w:val="00752230"/>
    <w:rsid w:val="007524C4"/>
    <w:rsid w:val="00752F5D"/>
    <w:rsid w:val="00760EFA"/>
    <w:rsid w:val="00764C5D"/>
    <w:rsid w:val="007678A5"/>
    <w:rsid w:val="00773940"/>
    <w:rsid w:val="007802EB"/>
    <w:rsid w:val="00783CCA"/>
    <w:rsid w:val="00785CAC"/>
    <w:rsid w:val="007951B3"/>
    <w:rsid w:val="00795EDD"/>
    <w:rsid w:val="0079683E"/>
    <w:rsid w:val="00797428"/>
    <w:rsid w:val="00797A75"/>
    <w:rsid w:val="007A07A2"/>
    <w:rsid w:val="007B05B7"/>
    <w:rsid w:val="007B09CD"/>
    <w:rsid w:val="007C1DBA"/>
    <w:rsid w:val="007C312C"/>
    <w:rsid w:val="007C5582"/>
    <w:rsid w:val="007C6F7D"/>
    <w:rsid w:val="007D0616"/>
    <w:rsid w:val="007D0A29"/>
    <w:rsid w:val="007D4358"/>
    <w:rsid w:val="007D6EED"/>
    <w:rsid w:val="007E258D"/>
    <w:rsid w:val="007E7368"/>
    <w:rsid w:val="007F0B15"/>
    <w:rsid w:val="007F0DE5"/>
    <w:rsid w:val="007F1D3E"/>
    <w:rsid w:val="007F2F22"/>
    <w:rsid w:val="007F36CA"/>
    <w:rsid w:val="007F4730"/>
    <w:rsid w:val="007F7F65"/>
    <w:rsid w:val="00800CC8"/>
    <w:rsid w:val="00801C9F"/>
    <w:rsid w:val="00803083"/>
    <w:rsid w:val="0080744D"/>
    <w:rsid w:val="00813B15"/>
    <w:rsid w:val="008147BC"/>
    <w:rsid w:val="008166A0"/>
    <w:rsid w:val="00820289"/>
    <w:rsid w:val="00832AB3"/>
    <w:rsid w:val="0083404B"/>
    <w:rsid w:val="00836DA4"/>
    <w:rsid w:val="00837688"/>
    <w:rsid w:val="00840735"/>
    <w:rsid w:val="00840761"/>
    <w:rsid w:val="00843DB1"/>
    <w:rsid w:val="008444B8"/>
    <w:rsid w:val="008459DE"/>
    <w:rsid w:val="00846425"/>
    <w:rsid w:val="00846706"/>
    <w:rsid w:val="00847059"/>
    <w:rsid w:val="00850D42"/>
    <w:rsid w:val="008530A0"/>
    <w:rsid w:val="00857717"/>
    <w:rsid w:val="00860600"/>
    <w:rsid w:val="00862840"/>
    <w:rsid w:val="00862D8B"/>
    <w:rsid w:val="00872752"/>
    <w:rsid w:val="00875808"/>
    <w:rsid w:val="00882DE3"/>
    <w:rsid w:val="00884A31"/>
    <w:rsid w:val="00884CFA"/>
    <w:rsid w:val="008858FA"/>
    <w:rsid w:val="00891BA7"/>
    <w:rsid w:val="008930BD"/>
    <w:rsid w:val="008935C8"/>
    <w:rsid w:val="0089426F"/>
    <w:rsid w:val="008A1A11"/>
    <w:rsid w:val="008A7EAA"/>
    <w:rsid w:val="008B43F3"/>
    <w:rsid w:val="008B4558"/>
    <w:rsid w:val="008B54B8"/>
    <w:rsid w:val="008B7449"/>
    <w:rsid w:val="008B7F09"/>
    <w:rsid w:val="008C18DF"/>
    <w:rsid w:val="008C3469"/>
    <w:rsid w:val="008C3F4B"/>
    <w:rsid w:val="008C4D99"/>
    <w:rsid w:val="008C5229"/>
    <w:rsid w:val="008D0161"/>
    <w:rsid w:val="008D0688"/>
    <w:rsid w:val="008D2D96"/>
    <w:rsid w:val="008D63ED"/>
    <w:rsid w:val="008E1B11"/>
    <w:rsid w:val="008E3F6F"/>
    <w:rsid w:val="008E51FB"/>
    <w:rsid w:val="008F6464"/>
    <w:rsid w:val="008F6EC5"/>
    <w:rsid w:val="008F6FCE"/>
    <w:rsid w:val="00901D45"/>
    <w:rsid w:val="0090480A"/>
    <w:rsid w:val="0090602A"/>
    <w:rsid w:val="00906487"/>
    <w:rsid w:val="009073E9"/>
    <w:rsid w:val="009074D6"/>
    <w:rsid w:val="00907CC6"/>
    <w:rsid w:val="00912934"/>
    <w:rsid w:val="00923A63"/>
    <w:rsid w:val="009269A4"/>
    <w:rsid w:val="00927748"/>
    <w:rsid w:val="00927AFE"/>
    <w:rsid w:val="009305E4"/>
    <w:rsid w:val="00930E75"/>
    <w:rsid w:val="00932AAC"/>
    <w:rsid w:val="00932F0E"/>
    <w:rsid w:val="00933538"/>
    <w:rsid w:val="009340F0"/>
    <w:rsid w:val="00935CFA"/>
    <w:rsid w:val="009423E6"/>
    <w:rsid w:val="00942659"/>
    <w:rsid w:val="00943B60"/>
    <w:rsid w:val="00943FED"/>
    <w:rsid w:val="00954115"/>
    <w:rsid w:val="009554B0"/>
    <w:rsid w:val="00955B8E"/>
    <w:rsid w:val="00956296"/>
    <w:rsid w:val="00960E11"/>
    <w:rsid w:val="00961A10"/>
    <w:rsid w:val="009629D3"/>
    <w:rsid w:val="009643AD"/>
    <w:rsid w:val="009644D4"/>
    <w:rsid w:val="009668CB"/>
    <w:rsid w:val="009670A7"/>
    <w:rsid w:val="009678C5"/>
    <w:rsid w:val="00974E8B"/>
    <w:rsid w:val="009750A0"/>
    <w:rsid w:val="00980684"/>
    <w:rsid w:val="00983611"/>
    <w:rsid w:val="0098672C"/>
    <w:rsid w:val="00991133"/>
    <w:rsid w:val="00992FB3"/>
    <w:rsid w:val="00994DE1"/>
    <w:rsid w:val="009965E6"/>
    <w:rsid w:val="009A10C8"/>
    <w:rsid w:val="009A24EE"/>
    <w:rsid w:val="009A2778"/>
    <w:rsid w:val="009A4A54"/>
    <w:rsid w:val="009B1485"/>
    <w:rsid w:val="009B2277"/>
    <w:rsid w:val="009B388B"/>
    <w:rsid w:val="009B4EEA"/>
    <w:rsid w:val="009B4F49"/>
    <w:rsid w:val="009C4404"/>
    <w:rsid w:val="009D3330"/>
    <w:rsid w:val="009D5AE8"/>
    <w:rsid w:val="009E0C96"/>
    <w:rsid w:val="009E42C6"/>
    <w:rsid w:val="009E55DA"/>
    <w:rsid w:val="009F02F9"/>
    <w:rsid w:val="009F3D5D"/>
    <w:rsid w:val="009F5BCE"/>
    <w:rsid w:val="009F6A5D"/>
    <w:rsid w:val="00A022F9"/>
    <w:rsid w:val="00A06704"/>
    <w:rsid w:val="00A10618"/>
    <w:rsid w:val="00A1178C"/>
    <w:rsid w:val="00A11DC5"/>
    <w:rsid w:val="00A15920"/>
    <w:rsid w:val="00A1682E"/>
    <w:rsid w:val="00A16872"/>
    <w:rsid w:val="00A17C24"/>
    <w:rsid w:val="00A25245"/>
    <w:rsid w:val="00A256DA"/>
    <w:rsid w:val="00A2578D"/>
    <w:rsid w:val="00A3256B"/>
    <w:rsid w:val="00A44183"/>
    <w:rsid w:val="00A4727E"/>
    <w:rsid w:val="00A508A2"/>
    <w:rsid w:val="00A51FC9"/>
    <w:rsid w:val="00A53069"/>
    <w:rsid w:val="00A5316C"/>
    <w:rsid w:val="00A56B03"/>
    <w:rsid w:val="00A61DBE"/>
    <w:rsid w:val="00A6443D"/>
    <w:rsid w:val="00A723C5"/>
    <w:rsid w:val="00A72CFE"/>
    <w:rsid w:val="00A82D21"/>
    <w:rsid w:val="00A86CE2"/>
    <w:rsid w:val="00A8732C"/>
    <w:rsid w:val="00A87754"/>
    <w:rsid w:val="00A87AB1"/>
    <w:rsid w:val="00A92BB9"/>
    <w:rsid w:val="00A93D2D"/>
    <w:rsid w:val="00A95429"/>
    <w:rsid w:val="00A961A5"/>
    <w:rsid w:val="00A96296"/>
    <w:rsid w:val="00AA1D2E"/>
    <w:rsid w:val="00AA3997"/>
    <w:rsid w:val="00AA48A4"/>
    <w:rsid w:val="00AA6AAC"/>
    <w:rsid w:val="00AA7953"/>
    <w:rsid w:val="00AB32BD"/>
    <w:rsid w:val="00AB38E0"/>
    <w:rsid w:val="00AB4781"/>
    <w:rsid w:val="00AB4BFD"/>
    <w:rsid w:val="00AB6D07"/>
    <w:rsid w:val="00AC11DA"/>
    <w:rsid w:val="00AC3D77"/>
    <w:rsid w:val="00AC4CF4"/>
    <w:rsid w:val="00AC6B5A"/>
    <w:rsid w:val="00AD21F8"/>
    <w:rsid w:val="00AF0EDB"/>
    <w:rsid w:val="00AF2F5E"/>
    <w:rsid w:val="00B04211"/>
    <w:rsid w:val="00B0424A"/>
    <w:rsid w:val="00B10FE8"/>
    <w:rsid w:val="00B12317"/>
    <w:rsid w:val="00B15DD3"/>
    <w:rsid w:val="00B16406"/>
    <w:rsid w:val="00B17C8C"/>
    <w:rsid w:val="00B217EF"/>
    <w:rsid w:val="00B22943"/>
    <w:rsid w:val="00B34974"/>
    <w:rsid w:val="00B36ED8"/>
    <w:rsid w:val="00B40F79"/>
    <w:rsid w:val="00B4452D"/>
    <w:rsid w:val="00B557B0"/>
    <w:rsid w:val="00B5657A"/>
    <w:rsid w:val="00B572CB"/>
    <w:rsid w:val="00B6000B"/>
    <w:rsid w:val="00B6363E"/>
    <w:rsid w:val="00B7537D"/>
    <w:rsid w:val="00B75818"/>
    <w:rsid w:val="00B76495"/>
    <w:rsid w:val="00B84E2A"/>
    <w:rsid w:val="00B86B38"/>
    <w:rsid w:val="00B87D5C"/>
    <w:rsid w:val="00B90083"/>
    <w:rsid w:val="00B90ACA"/>
    <w:rsid w:val="00B932EC"/>
    <w:rsid w:val="00B93F3F"/>
    <w:rsid w:val="00B956B6"/>
    <w:rsid w:val="00B972BB"/>
    <w:rsid w:val="00BA2D7A"/>
    <w:rsid w:val="00BA2E8C"/>
    <w:rsid w:val="00BA372C"/>
    <w:rsid w:val="00BA4671"/>
    <w:rsid w:val="00BA74B0"/>
    <w:rsid w:val="00BB6379"/>
    <w:rsid w:val="00BC10EC"/>
    <w:rsid w:val="00BD01D8"/>
    <w:rsid w:val="00BD10F4"/>
    <w:rsid w:val="00BD1268"/>
    <w:rsid w:val="00BD2CC3"/>
    <w:rsid w:val="00BD4253"/>
    <w:rsid w:val="00BD4F0F"/>
    <w:rsid w:val="00BE4E8E"/>
    <w:rsid w:val="00BF0214"/>
    <w:rsid w:val="00BF0498"/>
    <w:rsid w:val="00BF74E0"/>
    <w:rsid w:val="00C0514B"/>
    <w:rsid w:val="00C14DE6"/>
    <w:rsid w:val="00C23E45"/>
    <w:rsid w:val="00C24B2C"/>
    <w:rsid w:val="00C312D9"/>
    <w:rsid w:val="00C32356"/>
    <w:rsid w:val="00C32F71"/>
    <w:rsid w:val="00C35819"/>
    <w:rsid w:val="00C36A46"/>
    <w:rsid w:val="00C41C5B"/>
    <w:rsid w:val="00C42AC4"/>
    <w:rsid w:val="00C52B44"/>
    <w:rsid w:val="00C64C5C"/>
    <w:rsid w:val="00C66042"/>
    <w:rsid w:val="00C70311"/>
    <w:rsid w:val="00C72CE0"/>
    <w:rsid w:val="00C77064"/>
    <w:rsid w:val="00C85197"/>
    <w:rsid w:val="00C85BA8"/>
    <w:rsid w:val="00C87E8F"/>
    <w:rsid w:val="00C9020A"/>
    <w:rsid w:val="00C92795"/>
    <w:rsid w:val="00C927F3"/>
    <w:rsid w:val="00C92836"/>
    <w:rsid w:val="00C97CED"/>
    <w:rsid w:val="00CA0D44"/>
    <w:rsid w:val="00CA3A27"/>
    <w:rsid w:val="00CA3AE7"/>
    <w:rsid w:val="00CA41D0"/>
    <w:rsid w:val="00CA560D"/>
    <w:rsid w:val="00CA5C79"/>
    <w:rsid w:val="00CB14FF"/>
    <w:rsid w:val="00CB1FD3"/>
    <w:rsid w:val="00CB4217"/>
    <w:rsid w:val="00CB5E37"/>
    <w:rsid w:val="00CC4585"/>
    <w:rsid w:val="00CC4831"/>
    <w:rsid w:val="00CC5189"/>
    <w:rsid w:val="00CD1040"/>
    <w:rsid w:val="00CD2A44"/>
    <w:rsid w:val="00CD344F"/>
    <w:rsid w:val="00CD63C0"/>
    <w:rsid w:val="00CE10D6"/>
    <w:rsid w:val="00CE1BC3"/>
    <w:rsid w:val="00CE28B8"/>
    <w:rsid w:val="00CE2EAB"/>
    <w:rsid w:val="00CE6B02"/>
    <w:rsid w:val="00CE7788"/>
    <w:rsid w:val="00CF366C"/>
    <w:rsid w:val="00CF36DD"/>
    <w:rsid w:val="00D01843"/>
    <w:rsid w:val="00D059ED"/>
    <w:rsid w:val="00D07133"/>
    <w:rsid w:val="00D0743B"/>
    <w:rsid w:val="00D1185B"/>
    <w:rsid w:val="00D137AA"/>
    <w:rsid w:val="00D1515E"/>
    <w:rsid w:val="00D15D64"/>
    <w:rsid w:val="00D16424"/>
    <w:rsid w:val="00D21246"/>
    <w:rsid w:val="00D312D9"/>
    <w:rsid w:val="00D31975"/>
    <w:rsid w:val="00D34EE1"/>
    <w:rsid w:val="00D3555E"/>
    <w:rsid w:val="00D361A4"/>
    <w:rsid w:val="00D439FA"/>
    <w:rsid w:val="00D46329"/>
    <w:rsid w:val="00D50DED"/>
    <w:rsid w:val="00D52684"/>
    <w:rsid w:val="00D5509D"/>
    <w:rsid w:val="00D55345"/>
    <w:rsid w:val="00D57C6F"/>
    <w:rsid w:val="00D62BB9"/>
    <w:rsid w:val="00D63432"/>
    <w:rsid w:val="00D636F1"/>
    <w:rsid w:val="00D63B34"/>
    <w:rsid w:val="00D6570C"/>
    <w:rsid w:val="00D730DE"/>
    <w:rsid w:val="00D73269"/>
    <w:rsid w:val="00D734F3"/>
    <w:rsid w:val="00D82AC3"/>
    <w:rsid w:val="00D83FDB"/>
    <w:rsid w:val="00D859D7"/>
    <w:rsid w:val="00D9025C"/>
    <w:rsid w:val="00D92157"/>
    <w:rsid w:val="00D95643"/>
    <w:rsid w:val="00D96257"/>
    <w:rsid w:val="00DA18BE"/>
    <w:rsid w:val="00DA31E3"/>
    <w:rsid w:val="00DA33ED"/>
    <w:rsid w:val="00DB11E8"/>
    <w:rsid w:val="00DB33C9"/>
    <w:rsid w:val="00DB4C39"/>
    <w:rsid w:val="00DC24F3"/>
    <w:rsid w:val="00DC5CB2"/>
    <w:rsid w:val="00DD15B9"/>
    <w:rsid w:val="00DD2812"/>
    <w:rsid w:val="00DD7D81"/>
    <w:rsid w:val="00DE316A"/>
    <w:rsid w:val="00DF155C"/>
    <w:rsid w:val="00DF3759"/>
    <w:rsid w:val="00DF4897"/>
    <w:rsid w:val="00DF745A"/>
    <w:rsid w:val="00DF7622"/>
    <w:rsid w:val="00E005CD"/>
    <w:rsid w:val="00E030C9"/>
    <w:rsid w:val="00E04051"/>
    <w:rsid w:val="00E10486"/>
    <w:rsid w:val="00E11785"/>
    <w:rsid w:val="00E13119"/>
    <w:rsid w:val="00E20136"/>
    <w:rsid w:val="00E224BE"/>
    <w:rsid w:val="00E22D78"/>
    <w:rsid w:val="00E22E2E"/>
    <w:rsid w:val="00E23401"/>
    <w:rsid w:val="00E23BB5"/>
    <w:rsid w:val="00E354D3"/>
    <w:rsid w:val="00E4065E"/>
    <w:rsid w:val="00E42922"/>
    <w:rsid w:val="00E43712"/>
    <w:rsid w:val="00E4695C"/>
    <w:rsid w:val="00E500A1"/>
    <w:rsid w:val="00E50C65"/>
    <w:rsid w:val="00E530D1"/>
    <w:rsid w:val="00E55D3E"/>
    <w:rsid w:val="00E568F1"/>
    <w:rsid w:val="00E61C39"/>
    <w:rsid w:val="00E6296A"/>
    <w:rsid w:val="00E6637B"/>
    <w:rsid w:val="00E7098B"/>
    <w:rsid w:val="00E71538"/>
    <w:rsid w:val="00E736E0"/>
    <w:rsid w:val="00E760A8"/>
    <w:rsid w:val="00E770FF"/>
    <w:rsid w:val="00E77B16"/>
    <w:rsid w:val="00E8122D"/>
    <w:rsid w:val="00E82E21"/>
    <w:rsid w:val="00E94F1B"/>
    <w:rsid w:val="00E951F0"/>
    <w:rsid w:val="00E95406"/>
    <w:rsid w:val="00E96BE3"/>
    <w:rsid w:val="00E9758B"/>
    <w:rsid w:val="00EA1A89"/>
    <w:rsid w:val="00EA5A51"/>
    <w:rsid w:val="00EA6A2C"/>
    <w:rsid w:val="00EA7421"/>
    <w:rsid w:val="00EB12FF"/>
    <w:rsid w:val="00EB573C"/>
    <w:rsid w:val="00EC02AA"/>
    <w:rsid w:val="00EC12C1"/>
    <w:rsid w:val="00EC2A6B"/>
    <w:rsid w:val="00EC33A3"/>
    <w:rsid w:val="00EC6452"/>
    <w:rsid w:val="00EC64E5"/>
    <w:rsid w:val="00ED3C98"/>
    <w:rsid w:val="00EE3D80"/>
    <w:rsid w:val="00EF14E5"/>
    <w:rsid w:val="00EF2758"/>
    <w:rsid w:val="00EF4A8E"/>
    <w:rsid w:val="00F04465"/>
    <w:rsid w:val="00F046C4"/>
    <w:rsid w:val="00F069F0"/>
    <w:rsid w:val="00F11AF1"/>
    <w:rsid w:val="00F15ED1"/>
    <w:rsid w:val="00F15FD7"/>
    <w:rsid w:val="00F21F52"/>
    <w:rsid w:val="00F23377"/>
    <w:rsid w:val="00F273CB"/>
    <w:rsid w:val="00F302E6"/>
    <w:rsid w:val="00F31C69"/>
    <w:rsid w:val="00F338D3"/>
    <w:rsid w:val="00F3426D"/>
    <w:rsid w:val="00F3603E"/>
    <w:rsid w:val="00F42953"/>
    <w:rsid w:val="00F457E4"/>
    <w:rsid w:val="00F5115E"/>
    <w:rsid w:val="00F523C7"/>
    <w:rsid w:val="00F524C1"/>
    <w:rsid w:val="00F56982"/>
    <w:rsid w:val="00F61B71"/>
    <w:rsid w:val="00F651E7"/>
    <w:rsid w:val="00F72094"/>
    <w:rsid w:val="00F72837"/>
    <w:rsid w:val="00F735B3"/>
    <w:rsid w:val="00F7713A"/>
    <w:rsid w:val="00F808CF"/>
    <w:rsid w:val="00F82C5E"/>
    <w:rsid w:val="00F918BA"/>
    <w:rsid w:val="00F92489"/>
    <w:rsid w:val="00FA0E38"/>
    <w:rsid w:val="00FA4104"/>
    <w:rsid w:val="00FA7D5B"/>
    <w:rsid w:val="00FB359B"/>
    <w:rsid w:val="00FB3C23"/>
    <w:rsid w:val="00FB640E"/>
    <w:rsid w:val="00FD4789"/>
    <w:rsid w:val="00FD516C"/>
    <w:rsid w:val="00FD63AF"/>
    <w:rsid w:val="00FE0921"/>
    <w:rsid w:val="00FE3D3B"/>
    <w:rsid w:val="00FE3E37"/>
    <w:rsid w:val="00FF0159"/>
    <w:rsid w:val="00FF1728"/>
    <w:rsid w:val="00FF24F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21AD3"/>
  <w15:docId w15:val="{2BFFA278-CB5E-40EF-943E-E1024540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keywordhighligth">
    <w:name w:val="keywordhighligth"/>
    <w:basedOn w:val="DefaultParagraphFont"/>
    <w:rsid w:val="00131BB7"/>
  </w:style>
  <w:style w:type="paragraph" w:customStyle="1" w:styleId="CharCharCharChar">
    <w:name w:val="Char Char Char Char"/>
    <w:basedOn w:val="Normal"/>
    <w:rsid w:val="0098672C"/>
    <w:pPr>
      <w:spacing w:after="160" w:line="240" w:lineRule="exact"/>
    </w:pPr>
    <w:rPr>
      <w:rFonts w:ascii="Verdana" w:eastAsia="Times New Roman" w:hAnsi="Verdana" w:cs="Times New Roman"/>
      <w:i/>
      <w:sz w:val="20"/>
      <w:szCs w:val="20"/>
    </w:rPr>
  </w:style>
  <w:style w:type="character" w:styleId="IntenseEmphasis">
    <w:name w:val="Intense Emphasis"/>
    <w:uiPriority w:val="21"/>
    <w:qFormat/>
    <w:rsid w:val="0098672C"/>
    <w:rPr>
      <w:i/>
      <w:iCs/>
      <w:color w:val="5B9BD5"/>
    </w:rPr>
  </w:style>
  <w:style w:type="paragraph" w:styleId="BodyText">
    <w:name w:val="Body Text"/>
    <w:basedOn w:val="Normal"/>
    <w:link w:val="BodyTextChar"/>
    <w:rsid w:val="00C14D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4DE6"/>
    <w:rPr>
      <w:rFonts w:ascii="Times New Roman" w:eastAsia="Times New Roman" w:hAnsi="Times New Roman"/>
      <w:sz w:val="24"/>
      <w:szCs w:val="24"/>
      <w:lang w:val="en-GB"/>
    </w:rPr>
  </w:style>
  <w:style w:type="paragraph" w:customStyle="1" w:styleId="CharCharCharChar0">
    <w:name w:val="Char Char Char Char"/>
    <w:basedOn w:val="Normal"/>
    <w:rsid w:val="00C14DE6"/>
    <w:pPr>
      <w:spacing w:after="160" w:line="240" w:lineRule="exact"/>
    </w:pPr>
    <w:rPr>
      <w:rFonts w:ascii="Verdana" w:eastAsia="Times New Roman" w:hAnsi="Verdana"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 w:id="1997106566">
      <w:bodyDiv w:val="1"/>
      <w:marLeft w:val="0"/>
      <w:marRight w:val="0"/>
      <w:marTop w:val="0"/>
      <w:marBottom w:val="0"/>
      <w:divBdr>
        <w:top w:val="none" w:sz="0" w:space="0" w:color="auto"/>
        <w:left w:val="none" w:sz="0" w:space="0" w:color="auto"/>
        <w:bottom w:val="none" w:sz="0" w:space="0" w:color="auto"/>
        <w:right w:val="none" w:sz="0" w:space="0" w:color="auto"/>
      </w:divBdr>
      <w:divsChild>
        <w:div w:id="23278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E4FE-F1F0-4C01-943B-90E88705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Irena Dimic</cp:lastModifiedBy>
  <cp:revision>9</cp:revision>
  <cp:lastPrinted>2018-03-05T07:18:00Z</cp:lastPrinted>
  <dcterms:created xsi:type="dcterms:W3CDTF">2018-02-27T08:34:00Z</dcterms:created>
  <dcterms:modified xsi:type="dcterms:W3CDTF">2018-03-05T07:19:00Z</dcterms:modified>
</cp:coreProperties>
</file>