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E5BDD" Type="http://schemas.openxmlformats.org/officeDocument/2006/relationships/officeDocument" Target="/word/document.xml" /><Relationship Id="coreR1AE5B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ГРАЂ-</w:t>
            </w:r>
            <w:r>
              <w:rPr>
                <w:rFonts w:ascii="Arial" w:hAnsi="Arial"/>
                <w:b w:val="1"/>
                <w:sz w:val="18"/>
              </w:rPr>
              <w:t>41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 о званичној статистици,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„Службени гласник РС“, број 104/2009.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22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Шифра истраживања: 012040</w:t>
            </w:r>
          </w:p>
        </w:tc>
      </w:tr>
    </w:tbl>
    <w:p/>
    <w:p/>
    <w:p/>
    <w:p/>
    <w:p/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ПОЛУГОДИШЊ</w:t>
      </w:r>
      <w:r>
        <w:rPr>
          <w:rFonts w:ascii="Arial" w:hAnsi="Arial"/>
          <w:b w:val="1"/>
        </w:rPr>
        <w:t>Е</w:t>
      </w:r>
      <w:r>
        <w:rPr>
          <w:rFonts w:ascii="Arial" w:hAnsi="Arial"/>
          <w:b w:val="1"/>
        </w:rPr>
        <w:t xml:space="preserve"> И</w:t>
      </w:r>
      <w:r>
        <w:rPr>
          <w:rFonts w:ascii="Arial" w:hAnsi="Arial"/>
          <w:b w:val="1"/>
        </w:rPr>
        <w:t>СТРАЖИВАЊЕ</w:t>
      </w:r>
      <w:r>
        <w:rPr>
          <w:rFonts w:ascii="Arial" w:hAnsi="Arial"/>
          <w:b w:val="1"/>
        </w:rPr>
        <w:t xml:space="preserve"> О ЦЕНАМА СТАНОВА НОВОГРАДЊЕ</w:t>
      </w:r>
    </w:p>
    <w:p>
      <w:pPr>
        <w:spacing w:before="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За </w:t>
      </w:r>
      <w:r>
        <w:rPr>
          <w:rFonts w:ascii="Arial" w:hAnsi="Arial"/>
          <w:b w:val="1"/>
          <w:u w:val="single"/>
        </w:rPr>
        <w:tab/>
        <w:tab/>
      </w:r>
      <w:r>
        <w:rPr>
          <w:rFonts w:ascii="Arial" w:hAnsi="Arial"/>
          <w:b w:val="1"/>
        </w:rPr>
        <w:t>полугодиште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 године</w:t>
      </w:r>
    </w:p>
    <w:p>
      <w:pPr>
        <w:rPr>
          <w:b w:val="1"/>
          <w:sz w:val="22"/>
        </w:rPr>
      </w:pPr>
      <w:r>
        <w:rPr>
          <w:b w:val="1"/>
          <w:sz w:val="22"/>
        </w:rPr>
        <w:t xml:space="preserve"> </w:t>
      </w:r>
    </w:p>
    <w:p/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давање непотпуних </w:t>
        <w:br w:type="textWrapping"/>
        <w:t xml:space="preserve">и нетачних података на члану 52. Закона о званичној статистици („Службени гласник РС“, број 104/2009). </w:t>
      </w:r>
    </w:p>
    <w:p>
      <w:pPr>
        <w:spacing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109220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16" w:before="40"/>
                              <w:jc w:val="center"/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(у делу Брзи линкови) 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.1pt;margin-top:8.6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spacing w:lineRule="auto" w:line="216" w:before="40"/>
                        <w:jc w:val="center"/>
                        <w:rPr>
                          <w:rFonts w:ascii="Arial" w:hAnsi="Arial"/>
                          <w:b w:val="1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(у делу Брзи линкови) 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ind w:right="-195"/>
        <w:rPr>
          <w:sz w:val="18"/>
        </w:rPr>
      </w:pPr>
    </w:p>
    <w:p>
      <w:pPr>
        <w:ind w:right="-195"/>
        <w:rPr>
          <w:rFonts w:ascii="Arial" w:hAnsi="Arial"/>
          <w:sz w:val="18"/>
        </w:rPr>
      </w:pPr>
    </w:p>
    <w:p>
      <w:pPr>
        <w:ind w:right="-195"/>
        <w:rPr>
          <w:rFonts w:ascii="Arial" w:hAnsi="Arial"/>
          <w:sz w:val="18"/>
        </w:rPr>
      </w:pPr>
    </w:p>
    <w:p>
      <w:pPr>
        <w:ind w:right="-195"/>
        <w:rPr>
          <w:rFonts w:ascii="Arial" w:hAnsi="Arial"/>
          <w:sz w:val="18"/>
        </w:rPr>
      </w:pPr>
    </w:p>
    <w:p>
      <w:pPr>
        <w:ind w:right="-195"/>
        <w:rPr>
          <w:rFonts w:ascii="Arial" w:hAnsi="Arial"/>
          <w:sz w:val="18"/>
        </w:rPr>
      </w:pPr>
    </w:p>
    <w:p>
      <w:pPr>
        <w:ind w:right="-195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ИЗВЕШТАЈНОЈ ЈЕДИНИЦИ КОЈА ПОДНОСИ ИЗВЕШТАЈ</w:t>
        <w:tab/>
        <w:t xml:space="preserve">              </w:t>
      </w:r>
    </w:p>
    <w:tbl>
      <w:tblPr>
        <w:tblStyle w:val="T2"/>
        <w:tblpPr w:leftFromText="180" w:rightFromText="180" w:tblpX="1" w:tblpY="249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Подручно одељење</w:t>
            </w:r>
          </w:p>
        </w:tc>
        <w:tc>
          <w:tcPr>
            <w:tcW w:w="23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30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41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(Попуњава статистика)</w:t>
            </w:r>
          </w:p>
        </w:tc>
      </w:tr>
    </w:tbl>
    <w:p>
      <w:pPr>
        <w:ind w:right="-55"/>
        <w:rPr>
          <w:rFonts w:ascii="Arial" w:hAnsi="Arial"/>
          <w:sz w:val="18"/>
        </w:rPr>
      </w:pPr>
    </w:p>
    <w:p>
      <w:pPr>
        <w:ind w:right="-195"/>
        <w:rPr>
          <w:rFonts w:ascii="Arial" w:hAnsi="Arial"/>
          <w:sz w:val="16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а) Пословно име 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 xml:space="preserve"> </w:t>
      </w:r>
    </w:p>
    <w:p>
      <w:pPr>
        <w:ind w:right="-195"/>
        <w:rPr>
          <w:rFonts w:ascii="Arial" w:hAnsi="Arial"/>
          <w:sz w:val="12"/>
          <w:u w:val="single"/>
        </w:rPr>
      </w:pPr>
    </w:p>
    <w:p>
      <w:pPr>
        <w:ind w:right="-195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           </w:t>
      </w:r>
      <w:r>
        <w:rPr>
          <w:rFonts w:ascii="Arial" w:hAnsi="Arial"/>
          <w:sz w:val="16"/>
          <w:u w:val="single"/>
        </w:rPr>
        <w:tab/>
        <w:tab/>
        <w:tab/>
        <w:tab/>
        <w:tab/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</w:p>
    <w:tbl>
      <w:tblPr>
        <w:tblStyle w:val="T2"/>
        <w:tblpPr w:leftFromText="180" w:rightFromText="180" w:tblpX="1" w:tblpY="-84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(Попуњава статистика)</w:t>
            </w: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</w:tbl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б) Матични број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  <w:r>
        <w:rPr>
          <w:rFonts w:ascii="Arial" w:hAnsi="Arial"/>
          <w:sz w:val="20"/>
        </w:rPr>
        <w:t xml:space="preserve">    </w:t>
      </w: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    Ознака из адресара</w:t>
        <w:tab/>
        <w:tab/>
      </w:r>
      <w:r>
        <w:rPr>
          <w:rFonts w:ascii="Arial" w:hAnsi="Arial"/>
          <w:sz w:val="18"/>
          <w:u w:val="single"/>
        </w:rPr>
        <w:tab/>
        <w:tab/>
        <w:t xml:space="preserve"> </w:t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</w:p>
    <w:p>
      <w:pPr>
        <w:ind w:right="-195"/>
        <w:rPr>
          <w:rFonts w:ascii="Arial" w:hAnsi="Arial"/>
          <w:sz w:val="12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в) Општина </w:t>
      </w:r>
      <w:r>
        <w:rPr>
          <w:rFonts w:ascii="Arial" w:hAnsi="Arial"/>
          <w:sz w:val="18"/>
          <w:u w:val="single"/>
        </w:rPr>
        <w:tab/>
        <w:tab/>
        <w:tab/>
        <w:tab/>
        <w:tab/>
      </w:r>
      <w:r>
        <w:rPr>
          <w:rFonts w:ascii="Arial" w:hAnsi="Arial"/>
          <w:sz w:val="18"/>
        </w:rPr>
        <w:t xml:space="preserve"> Место </w:t>
      </w:r>
      <w:r>
        <w:rPr>
          <w:rFonts w:ascii="Arial" w:hAnsi="Arial"/>
          <w:sz w:val="18"/>
          <w:u w:val="single"/>
        </w:rPr>
        <w:tab/>
        <w:tab/>
        <w:tab/>
        <w:tab/>
        <w:t xml:space="preserve"> </w:t>
      </w:r>
    </w:p>
    <w:p>
      <w:pPr>
        <w:ind w:right="-195"/>
        <w:rPr>
          <w:rFonts w:ascii="Arial" w:hAnsi="Arial"/>
          <w:sz w:val="16"/>
          <w:u w:val="single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18"/>
        </w:rPr>
        <w:t xml:space="preserve">Улица и кућни број </w:t>
      </w:r>
      <w:r>
        <w:rPr>
          <w:rFonts w:ascii="Arial" w:hAnsi="Arial"/>
          <w:sz w:val="18"/>
          <w:u w:val="single"/>
        </w:rPr>
        <w:tab/>
        <w:tab/>
        <w:tab/>
        <w:tab/>
        <w:tab/>
      </w:r>
      <w:r>
        <w:rPr>
          <w:rFonts w:ascii="Arial" w:hAnsi="Arial"/>
          <w:sz w:val="18"/>
        </w:rPr>
        <w:t xml:space="preserve"> Телефон </w:t>
      </w:r>
      <w:r>
        <w:rPr>
          <w:rFonts w:ascii="Arial" w:hAnsi="Arial"/>
          <w:sz w:val="18"/>
          <w:u w:val="single"/>
        </w:rPr>
        <w:tab/>
        <w:tab/>
        <w:t xml:space="preserve"> </w:t>
      </w:r>
    </w:p>
    <w:p>
      <w:pPr>
        <w:ind w:right="-195"/>
        <w:rPr>
          <w:rFonts w:ascii="Arial" w:hAnsi="Arial"/>
          <w:sz w:val="12"/>
          <w:u w:val="single"/>
        </w:rPr>
      </w:pPr>
      <w:r>
        <w:rPr>
          <w:rFonts w:ascii="Arial" w:hAnsi="Arial"/>
        </w:rPr>
        <w:t xml:space="preserve">    </w:t>
      </w: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20"/>
        </w:rPr>
        <w:t xml:space="preserve">г) </w:t>
      </w:r>
      <w:r>
        <w:rPr>
          <w:rFonts w:ascii="Arial" w:hAnsi="Arial"/>
          <w:sz w:val="18"/>
        </w:rPr>
        <w:t xml:space="preserve">Делатност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ab/>
        <w:t xml:space="preserve"> </w:t>
      </w:r>
    </w:p>
    <w:p>
      <w:pPr>
        <w:spacing w:after="120"/>
        <w:ind w:right="-193"/>
        <w:rPr>
          <w:rFonts w:ascii="Arial" w:hAnsi="Arial"/>
          <w:i w:val="1"/>
          <w:sz w:val="16"/>
        </w:rPr>
      </w:pPr>
      <w:r>
        <w:rPr>
          <w:rFonts w:ascii="Arial" w:hAnsi="Arial"/>
          <w:sz w:val="16"/>
        </w:rPr>
        <w:tab/>
        <w:tab/>
        <w:t xml:space="preserve">                           </w:t>
      </w:r>
      <w:r>
        <w:rPr>
          <w:rFonts w:ascii="Arial" w:hAnsi="Arial"/>
          <w:i w:val="1"/>
          <w:sz w:val="16"/>
        </w:rPr>
        <w:t>према Класификацији делатности</w:t>
      </w:r>
      <w:r>
        <w:rPr>
          <w:rFonts w:ascii="Arial" w:hAnsi="Arial"/>
          <w:i w:val="1"/>
          <w:sz w:val="16"/>
        </w:rPr>
        <w:t xml:space="preserve">, </w:t>
      </w:r>
      <w:r>
        <w:rPr>
          <w:rFonts w:ascii="Arial" w:hAnsi="Arial"/>
          <w:i w:val="1"/>
          <w:sz w:val="16"/>
        </w:rPr>
        <w:t>КД (</w:t>
      </w:r>
      <w:r>
        <w:rPr>
          <w:rFonts w:ascii="Arial" w:hAnsi="Arial"/>
          <w:i w:val="1"/>
          <w:sz w:val="16"/>
        </w:rPr>
        <w:t xml:space="preserve"> 2010</w:t>
      </w:r>
      <w:r>
        <w:rPr>
          <w:rFonts w:ascii="Arial" w:hAnsi="Arial"/>
          <w:i w:val="1"/>
          <w:sz w:val="16"/>
        </w:rPr>
        <w:t>)</w:t>
      </w:r>
    </w:p>
    <w:p>
      <w:pPr>
        <w:ind w:right="-195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tbl>
      <w:tblPr>
        <w:tblStyle w:val="T2"/>
        <w:tblpPr w:leftFromText="180" w:rightFromText="180" w:tblpX="1" w:tblpY="153" w:horzAnchor="margin" w:vertAnchor="text" w:tblpXSpec="right"/>
        <w:tblW w:w="0" w:type="auto"/>
        <w:tblBorders>
          <w:top w:val="none" w:sz="0" w:space="0" w:shadow="0" w:frame="0"/>
          <w:left w:val="single" w:sz="4" w:space="0" w:shadow="0" w:frame="0"/>
          <w:bottom w:val="single" w:sz="6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/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sz w:val="20"/>
              </w:rPr>
            </w:pP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b w:val="1"/>
                <w:sz w:val="20"/>
              </w:rPr>
            </w:pP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b w:val="1"/>
                <w:sz w:val="20"/>
              </w:rPr>
            </w:pPr>
          </w:p>
        </w:tc>
      </w:tr>
    </w:tbl>
    <w:p>
      <w:pPr>
        <w:rPr>
          <w:sz w:val="16"/>
        </w:rPr>
      </w:pPr>
      <w:r>
        <w:rPr>
          <w:sz w:val="16"/>
        </w:rPr>
        <w:t xml:space="preserve">       </w:t>
      </w:r>
    </w:p>
    <w:p>
      <w:pPr>
        <w:rPr>
          <w:rFonts w:ascii="Arial" w:hAnsi="Arial"/>
        </w:rPr>
      </w:pPr>
      <w: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ascii="Arial" w:hAnsi="Arial"/>
          <w:sz w:val="16"/>
        </w:rPr>
        <w:t xml:space="preserve">Редни број извештаја        </w:t>
      </w:r>
    </w:p>
    <w:tbl>
      <w:tblPr>
        <w:tblStyle w:val="T2"/>
        <w:tblpPr w:leftFromText="180" w:rightFromText="180" w:tblpX="1" w:tblpY="153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6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left="-180" w:right="-19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Полугодиште, година</w:t>
            </w: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1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</w:tr>
    </w:tbl>
    <w:p/>
    <w:p>
      <w:r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16"/>
        </w:rPr>
        <w:tab/>
      </w:r>
      <w:r>
        <w:tab/>
        <w:tab/>
        <w:tab/>
        <w:tab/>
      </w:r>
    </w:p>
    <w:p>
      <w:pPr>
        <w:pStyle w:val="P5"/>
        <w:jc w:val="center"/>
        <w:rPr>
          <w:rFonts w:ascii="Arial" w:hAnsi="Arial"/>
          <w:sz w:val="16"/>
        </w:rPr>
      </w:pPr>
    </w:p>
    <w:p>
      <w:pPr>
        <w:tabs>
          <w:tab w:val="left" w:pos="8452" w:leader="none"/>
        </w:tabs>
        <w:rPr>
          <w:u w:val="single"/>
        </w:rPr>
        <w:sectPr>
          <w:type w:val="nextPage"/>
          <w:pgSz w:w="11907" w:h="16840" w:code="0"/>
          <w:pgMar w:left="851" w:right="851" w:top="851" w:bottom="851" w:header="567" w:footer="737" w:gutter="0"/>
          <w:cols w:equalWidth="1" w:space="720"/>
        </w:sectPr>
      </w:pPr>
    </w:p>
    <w:tbl>
      <w:tblPr>
        <w:tblStyle w:val="T2"/>
        <w:tblW w:w="5775" w:type="dxa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255"/>
        </w:trPr>
        <w:tc>
          <w:tcPr>
            <w:tcW w:w="57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-4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ЦЕНЕ СТАНОВА У ИЗВЕШТАЈНОМ ПОЛУГОДИШТУ</w:t>
            </w:r>
          </w:p>
        </w:tc>
      </w:tr>
    </w:tbl>
    <w:p>
      <w:pPr>
        <w:rPr>
          <w:rFonts w:ascii="Arial" w:hAnsi="Arial"/>
          <w:sz w:val="8"/>
        </w:rPr>
      </w:pPr>
    </w:p>
    <w:tbl>
      <w:tblPr>
        <w:tblStyle w:val="T2"/>
        <w:tblW w:w="15252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01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стана</w:t>
            </w:r>
          </w:p>
        </w:tc>
        <w:tc>
          <w:tcPr>
            <w:tcW w:w="2746" w:type="dxa"/>
            <w:gridSpan w:val="3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Локација зграде</w:t>
            </w:r>
          </w:p>
        </w:tc>
        <w:tc>
          <w:tcPr>
            <w:tcW w:w="818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Месец угова-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рања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стана</w:t>
            </w:r>
          </w:p>
        </w:tc>
        <w:tc>
          <w:tcPr>
            <w:tcW w:w="1617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Систем градње зграде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традиционални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полумонтажни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3. монтажни</w:t>
            </w:r>
          </w:p>
        </w:tc>
        <w:tc>
          <w:tcPr>
            <w:tcW w:w="912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Вели-чина зграде у спрато-вима</w:t>
            </w:r>
          </w:p>
        </w:tc>
        <w:tc>
          <w:tcPr>
            <w:tcW w:w="1747" w:type="dxa"/>
            <w:gridSpan w:val="3"/>
            <w:tcBorders>
              <w:top w:val="single" w:sz="6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Опремљеност зграде инсталацијама</w:t>
            </w:r>
          </w:p>
        </w:tc>
        <w:tc>
          <w:tcPr>
            <w:tcW w:w="730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соба у стану</w:t>
            </w:r>
          </w:p>
        </w:tc>
        <w:tc>
          <w:tcPr>
            <w:tcW w:w="1135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Корисна површина продатог стана,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m²</w:t>
            </w:r>
          </w:p>
        </w:tc>
        <w:tc>
          <w:tcPr>
            <w:tcW w:w="4746" w:type="dxa"/>
            <w:gridSpan w:val="4"/>
            <w:tcBorders>
              <w:top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Цене станова по 1m² корисне површине, у РСД</w:t>
            </w:r>
          </w:p>
        </w:tc>
      </w:tr>
      <w:tr>
        <w:trPr>
          <w:wAfter w:w="0" w:type="dxa"/>
        </w:trPr>
        <w:tc>
          <w:tcPr>
            <w:tcW w:w="801" w:type="dxa"/>
            <w:gridSpan w:val="2"/>
            <w:vMerge w:val="continue"/>
            <w:tcBorders>
              <w:lef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адреса и шифра зграде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насеља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747" w:type="dxa"/>
            <w:gridSpan w:val="3"/>
            <w:tcBorders>
              <w:top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1-да, 2-не</w:t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(13+14+15)</w:t>
            </w:r>
          </w:p>
        </w:tc>
        <w:tc>
          <w:tcPr>
            <w:tcW w:w="3511" w:type="dxa"/>
            <w:gridSpan w:val="3"/>
            <w:tcBorders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801" w:type="dxa"/>
            <w:gridSpan w:val="2"/>
            <w:vMerge w:val="continue"/>
            <w:tcBorders>
              <w:lef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централ-ног грејања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лифта</w:t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цена грађевин-ског земљишта</w:t>
            </w:r>
          </w:p>
        </w:tc>
        <w:tc>
          <w:tcPr>
            <w:tcW w:w="1170" w:type="dxa"/>
            <w:tcBorders>
              <w:top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цена грађења</w:t>
            </w:r>
          </w:p>
        </w:tc>
        <w:tc>
          <w:tcPr>
            <w:tcW w:w="1171" w:type="dxa"/>
            <w:tcBorders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трошкови</w:t>
            </w: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936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74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936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818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617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91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1083" w:type="dxa"/>
            <w:gridSpan w:val="2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664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73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113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123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117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117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1171" w:type="dxa"/>
            <w:tcBorders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top w:val="single" w:sz="6" w:space="0" w:shadow="0" w:frame="0"/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top w:val="single" w:sz="6" w:space="0" w:shadow="0" w:frame="0"/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gridSpan w:val="2"/>
            <w:tcBorders>
              <w:left w:val="single" w:sz="6" w:space="0" w:shadow="0" w:frame="0"/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gridSpan w:val="2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bottom w:val="single" w:sz="6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bottom w:val="single" w:sz="6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blPrEx>
          <w:tblW w:w="15252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8"/>
          <w:wBefore w:w="101" w:type="dxa"/>
          <w:wAfter w:w="7963" w:type="dxa"/>
          <w:trHeight w:hRule="atLeast" w:val="255"/>
        </w:trPr>
        <w:tc>
          <w:tcPr>
            <w:tcW w:w="7188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-4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ЦЕНЕ СТАНОВА У ИЗВЕШТАЈНОМ ПОЛУГОДИШТУ (наставак)</w:t>
            </w:r>
          </w:p>
        </w:tc>
      </w:tr>
    </w:tbl>
    <w:p>
      <w:pPr>
        <w:rPr>
          <w:rFonts w:ascii="Arial" w:hAnsi="Arial"/>
          <w:sz w:val="8"/>
        </w:rPr>
      </w:pPr>
    </w:p>
    <w:tbl>
      <w:tblPr>
        <w:tblStyle w:val="T2"/>
        <w:tblW w:w="15252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01" w:type="dxa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стана</w:t>
            </w:r>
          </w:p>
        </w:tc>
        <w:tc>
          <w:tcPr>
            <w:tcW w:w="2746" w:type="dxa"/>
            <w:gridSpan w:val="3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Локација зграде</w:t>
            </w:r>
          </w:p>
        </w:tc>
        <w:tc>
          <w:tcPr>
            <w:tcW w:w="818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Месец угова-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рања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стана</w:t>
            </w:r>
          </w:p>
        </w:tc>
        <w:tc>
          <w:tcPr>
            <w:tcW w:w="1617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spacing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Систем градње зграде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традиционални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полумонтажни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3. монтажни</w:t>
            </w:r>
          </w:p>
        </w:tc>
        <w:tc>
          <w:tcPr>
            <w:tcW w:w="912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Вели-чина зграде у спрато-вима</w:t>
            </w:r>
          </w:p>
        </w:tc>
        <w:tc>
          <w:tcPr>
            <w:tcW w:w="1747" w:type="dxa"/>
            <w:gridSpan w:val="2"/>
            <w:tcBorders>
              <w:top w:val="single" w:sz="6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Опремљеност зграде инсталацијама</w:t>
            </w:r>
          </w:p>
        </w:tc>
        <w:tc>
          <w:tcPr>
            <w:tcW w:w="730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соба у стану</w:t>
            </w:r>
          </w:p>
        </w:tc>
        <w:tc>
          <w:tcPr>
            <w:tcW w:w="1135" w:type="dxa"/>
            <w:vMerge w:val="restart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Корисна површина продатог стана,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m²</w:t>
            </w:r>
          </w:p>
        </w:tc>
        <w:tc>
          <w:tcPr>
            <w:tcW w:w="4746" w:type="dxa"/>
            <w:gridSpan w:val="4"/>
            <w:tcBorders>
              <w:top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Цене станова по 1m² корисне површине, у РСД</w:t>
            </w:r>
          </w:p>
        </w:tc>
      </w:tr>
      <w:tr>
        <w:trPr>
          <w:wAfter w:w="0" w:type="dxa"/>
        </w:trPr>
        <w:tc>
          <w:tcPr>
            <w:tcW w:w="801" w:type="dxa"/>
            <w:vMerge w:val="continue"/>
            <w:tcBorders>
              <w:lef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адреса и шифра зграде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насеља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747" w:type="dxa"/>
            <w:gridSpan w:val="2"/>
            <w:tcBorders>
              <w:top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1-да, 2-не</w:t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(13+14+15)</w:t>
            </w:r>
          </w:p>
        </w:tc>
        <w:tc>
          <w:tcPr>
            <w:tcW w:w="3511" w:type="dxa"/>
            <w:gridSpan w:val="3"/>
            <w:tcBorders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801" w:type="dxa"/>
            <w:vMerge w:val="continue"/>
            <w:tcBorders>
              <w:left w:val="single" w:sz="6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74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818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617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централ-ног грејања</w:t>
            </w:r>
          </w:p>
        </w:tc>
        <w:tc>
          <w:tcPr>
            <w:tcW w:w="66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лифта</w:t>
            </w:r>
          </w:p>
        </w:tc>
        <w:tc>
          <w:tcPr>
            <w:tcW w:w="730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35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цена грађевин-ског земљишта</w:t>
            </w:r>
          </w:p>
        </w:tc>
        <w:tc>
          <w:tcPr>
            <w:tcW w:w="1170" w:type="dxa"/>
            <w:tcBorders>
              <w:top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цена грађења</w:t>
            </w:r>
          </w:p>
        </w:tc>
        <w:tc>
          <w:tcPr>
            <w:tcW w:w="1171" w:type="dxa"/>
            <w:tcBorders>
              <w:bottom w:val="single" w:sz="4" w:space="0" w:shadow="0" w:frame="0"/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трошкови</w:t>
            </w: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936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74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936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818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617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91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1083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664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73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113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123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117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1170" w:type="dxa"/>
            <w:tcBorders>
              <w:bottom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1171" w:type="dxa"/>
            <w:tcBorders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</w:tr>
      <w:tr>
        <w:trPr>
          <w:wAfter w:w="0" w:type="dxa"/>
        </w:trPr>
        <w:tc>
          <w:tcPr>
            <w:tcW w:w="801" w:type="dxa"/>
            <w:tcBorders>
              <w:top w:val="single" w:sz="6" w:space="0" w:shadow="0" w:frame="0"/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top w:val="single" w:sz="6" w:space="0" w:shadow="0" w:frame="0"/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  <w:tr>
        <w:trPr>
          <w:wAfter w:w="0" w:type="dxa"/>
        </w:trPr>
        <w:tc>
          <w:tcPr>
            <w:tcW w:w="801" w:type="dxa"/>
            <w:tcBorders>
              <w:left w:val="single" w:sz="6" w:space="0" w:shadow="0" w:frame="0"/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74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36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818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617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912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083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664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730" w:type="dxa"/>
            <w:tcBorders>
              <w:bottom w:val="single" w:sz="6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35" w:type="dxa"/>
            <w:tcBorders>
              <w:bottom w:val="single" w:sz="6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235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0" w:type="dxa"/>
            <w:tcBorders>
              <w:bottom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  <w:tc>
          <w:tcPr>
            <w:tcW w:w="1171" w:type="dxa"/>
            <w:tcBorders>
              <w:bottom w:val="single" w:sz="6" w:space="0" w:shadow="0" w:frame="0"/>
              <w:right w:val="single" w:sz="6" w:space="0" w:shadow="0" w:frame="0"/>
            </w:tcBorders>
            <w:shd w:val="ThinDiagStripe" w:color="auto" w:fill="auto"/>
          </w:tcPr>
          <w:p>
            <w:pPr>
              <w:spacing w:before="60" w:after="60"/>
              <w:rPr>
                <w:rFonts w:ascii="Arial" w:hAnsi="Arial"/>
                <w:sz w:val="26"/>
              </w:rPr>
            </w:pPr>
          </w:p>
        </w:tc>
      </w:tr>
    </w:tbl>
    <w:p>
      <w:pPr>
        <w:rPr>
          <w:sz w:val="4"/>
        </w:rPr>
      </w:pPr>
    </w:p>
    <w:p>
      <w:pPr>
        <w:tabs>
          <w:tab w:val="left" w:pos="8452" w:leader="none"/>
        </w:tabs>
        <w:rPr>
          <w:sz w:val="4"/>
          <w:u w:val="single"/>
        </w:rPr>
      </w:pPr>
    </w:p>
    <w:p>
      <w:pPr>
        <w:tabs>
          <w:tab w:val="left" w:pos="8452" w:leader="none"/>
        </w:tabs>
        <w:rPr>
          <w:sz w:val="4"/>
          <w:u w:val="single"/>
        </w:rPr>
        <w:sectPr>
          <w:type w:val="nextPage"/>
          <w:pgSz w:w="16840" w:h="11907" w:code="0" w:orient="landscape"/>
          <w:pgMar w:left="851" w:right="851" w:top="851" w:bottom="851" w:header="567" w:footer="737" w:gutter="0"/>
          <w:cols w:equalWidth="1" w:space="720"/>
        </w:sectPr>
      </w:pPr>
    </w:p>
    <w:p>
      <w:pPr>
        <w:pStyle w:val="P1"/>
        <w:spacing w:after="240"/>
        <w:rPr>
          <w:rFonts w:ascii="Arial" w:hAnsi="Arial"/>
        </w:rPr>
      </w:pPr>
      <w:r>
        <w:rPr>
          <w:rFonts w:ascii="Arial" w:hAnsi="Arial"/>
        </w:rPr>
        <w:t>УПУТСТВО ЗА ПОПУЊАВАЊЕ ОБРАСЦА ГРАЂ-41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Образац Грађ-41 попуњавају привредна друштва и предузетници који су у посматраном периоду продавали новоизграђене станове. </w:t>
      </w:r>
      <w:r>
        <w:rPr>
          <w:rFonts w:ascii="Arial" w:hAnsi="Arial"/>
          <w:b w:val="1"/>
          <w:sz w:val="18"/>
        </w:rPr>
        <w:t>Обухватају се сви уговори који су реализовани у посматраном полугодишту</w:t>
      </w:r>
      <w:r>
        <w:rPr>
          <w:rFonts w:ascii="Arial" w:hAnsi="Arial"/>
          <w:sz w:val="18"/>
        </w:rPr>
        <w:t xml:space="preserve">. Уговор сматрамо реализованим ако је купац, у одређеном року, уплатио цео износ или један део износа који је продавац одредио. </w:t>
      </w:r>
      <w:r>
        <w:rPr>
          <w:rFonts w:ascii="Arial" w:hAnsi="Arial"/>
          <w:b w:val="1"/>
          <w:sz w:val="18"/>
        </w:rPr>
        <w:t>Треба приказати само први уговор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1"/>
          <w:sz w:val="18"/>
        </w:rPr>
        <w:t>између купца и продавца, а не приказивати анексе уговора</w:t>
      </w:r>
      <w:r>
        <w:rPr>
          <w:rFonts w:ascii="Arial" w:hAnsi="Arial"/>
          <w:sz w:val="18"/>
        </w:rPr>
        <w:t>. Уколико се уговор односи на стан који се продаје у фази грубих грађевинских радова, нагласити у напомени који се редови у табели односе на те станове.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јединици која подноси извештај (идентификациони подаци) уписују се на предвиђене линије или у предвиђена поља на првој страни обрасца.</w:t>
      </w:r>
    </w:p>
    <w:p>
      <w:pPr>
        <w:spacing w:before="120"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ПОПУЊАВАЊЕ ТАБЕЛЕ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З</w:t>
      </w:r>
      <w:r>
        <w:rPr>
          <w:rFonts w:ascii="Arial" w:hAnsi="Arial"/>
          <w:b w:val="1"/>
          <w:sz w:val="18"/>
        </w:rPr>
        <w:t xml:space="preserve">а сваки уговор о продаји стана </w:t>
      </w:r>
      <w:r>
        <w:rPr>
          <w:rFonts w:ascii="Arial" w:hAnsi="Arial"/>
          <w:b w:val="1"/>
          <w:sz w:val="18"/>
        </w:rPr>
        <w:t>испуњава се један ред у табели</w:t>
      </w:r>
      <w:r>
        <w:rPr>
          <w:rFonts w:ascii="Arial" w:hAnsi="Arial"/>
          <w:sz w:val="18"/>
        </w:rPr>
        <w:t>. Уколико је у току извештајног полугодишта било више реализованих уговора него што има редова у обрасцу, податке о преосталим становима уписати на нови образац са истим идентификационим подацима.</w:t>
      </w:r>
    </w:p>
    <w:p>
      <w:pPr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1. Уписује се редни број стана – први стан добија редни број 01, други 02 итд.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2. и 3 Уписују се подаци о локацији зграде, насеље и адреса или грађевинска ознака зграде. 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4. Уписује се матични број насеља, према списку насеља Републике Србије (попуњава статистика).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5. Уписује се месец када је реализован први уговор између купца и продавца стана.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6. Уписује се један од могућих одговора (1, 2 или 3), у зависности од система грађења.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7. Уписује се податак о величини зграде у спратовима. Ако зграда има само приземље, уписује се 00, ако поред приземља има и први спрат – уписује се 01 итд. У број спратова не урачунава се поткровље, па се у случају доградње поткровља уписује 99 у колону.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8. Уписује се један од могућих одговора (1 или 2), у зависности од опремљености зграде инсталацијама централног грејања, без обзира на то да ли су оне повезане за јавну или кућну мрежу. 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КОЛОНА 9. Уписује се један од могућих одговора (1 или 2), у зависности од опремљености зграде инсталацијама лифта.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10. Уписује се број соба у стану. 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11. Уписује се податак о корисној површини стана мереној унутар зидова стана. 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12. Уписује се податак о цени стана по 1 m² корисне површине, на основу уговора о продаји стана, и представља збир цена исказаних у колонама  13, 14. и 15.</w:t>
      </w:r>
    </w:p>
    <w:p>
      <w:pPr>
        <w:spacing w:before="40"/>
        <w:ind w:hanging="1361" w:left="136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13. Уписује се </w:t>
      </w:r>
      <w:r>
        <w:rPr>
          <w:rFonts w:ascii="Arial" w:hAnsi="Arial"/>
          <w:b w:val="1"/>
          <w:sz w:val="18"/>
        </w:rPr>
        <w:t>цена грађевинског земљишта</w:t>
      </w:r>
      <w:r>
        <w:rPr>
          <w:rFonts w:ascii="Arial" w:hAnsi="Arial"/>
          <w:sz w:val="18"/>
        </w:rPr>
        <w:t xml:space="preserve"> у износу који терети 1 m² корисне површине стана. У ове трошкове </w:t>
      </w:r>
      <w:r>
        <w:rPr>
          <w:rFonts w:ascii="Arial" w:hAnsi="Arial"/>
          <w:b w:val="1"/>
          <w:sz w:val="18"/>
        </w:rPr>
        <w:t>треба укључити трошкове расељавања</w:t>
      </w:r>
      <w:r>
        <w:rPr>
          <w:rFonts w:ascii="Arial" w:hAnsi="Arial"/>
          <w:sz w:val="18"/>
        </w:rPr>
        <w:t xml:space="preserve"> станара из постојећих стамбених зграда, уколико није купљено празно земљиште.</w:t>
      </w:r>
    </w:p>
    <w:p>
      <w:pPr>
        <w:spacing w:before="40"/>
        <w:ind w:hanging="1418" w:left="14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14. Уписује се </w:t>
      </w:r>
      <w:r>
        <w:rPr>
          <w:rFonts w:ascii="Arial" w:hAnsi="Arial"/>
          <w:b w:val="1"/>
          <w:sz w:val="18"/>
        </w:rPr>
        <w:t>цена грађења коју чине следећи елементи</w:t>
      </w:r>
      <w:r>
        <w:rPr>
          <w:rFonts w:ascii="Arial" w:hAnsi="Arial"/>
          <w:sz w:val="18"/>
        </w:rPr>
        <w:t>: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трошкови рушења постојећих грађевинских објеката и чишћења градилишта;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трошкове радне снаге;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трошкове изнајмљивања грађевинских машина и опреме;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трошкове превоза материјала, опреме и радника на градилиште;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вредност утрошеног грађевинског материјала и готових производа за уградњу;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утрошену електричну енергију;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трошкове резервних делова и ситног материјала;  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трошкове амортизације имовине;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опште трошкове извођача радова;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трошкове услуга подизвођача радова;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добит извођача радова.</w:t>
      </w:r>
    </w:p>
    <w:p>
      <w:pPr>
        <w:spacing w:before="40"/>
        <w:ind w:hanging="1418" w:left="14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КОЛОНА 15. Уписују се сви </w:t>
      </w:r>
      <w:r>
        <w:rPr>
          <w:rFonts w:ascii="Arial" w:hAnsi="Arial"/>
          <w:b w:val="1"/>
          <w:sz w:val="18"/>
        </w:rPr>
        <w:t>остали трошкови</w:t>
      </w:r>
      <w:r>
        <w:rPr>
          <w:rFonts w:ascii="Arial" w:hAnsi="Arial"/>
          <w:sz w:val="18"/>
        </w:rPr>
        <w:t xml:space="preserve"> који терете 1 m² корисне површине стана, а то су: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трошкови прибављања грађевинске дозволе;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трошкови пројектовања; 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директни и индиректни трошкови и добит пословног субјекта који је наручио изградњу ради даље продаје на тржишту;</w:t>
      </w:r>
    </w:p>
    <w:p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остали трошкови који се односе на плаћање пореза, такси, камата на кредит, ПДВ итд. </w:t>
      </w:r>
    </w:p>
    <w:p>
      <w:pPr>
        <w:jc w:val="center"/>
        <w:rPr>
          <w:b w:val="1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Напомена:</w:t>
            </w: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8"/>
              </w:rPr>
            </w:pPr>
          </w:p>
        </w:tc>
      </w:tr>
    </w:tbl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</w:t>
      </w:r>
    </w:p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5"/>
        <w:jc w:val="center"/>
        <w:rPr>
          <w:rFonts w:ascii="Arial" w:hAnsi="Arial"/>
          <w:sz w:val="16"/>
        </w:rPr>
      </w:pPr>
    </w:p>
    <w:p>
      <w:pPr>
        <w:pStyle w:val="P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567" w:footer="73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7D7B3D"/>
    <w:multiLevelType w:val="hybridMultilevel"/>
    <w:lvl w:ilvl="0" w:tplc="01A639CB">
      <w:start w:val="1"/>
      <w:numFmt w:val="bullet"/>
      <w:suff w:val="tab"/>
      <w:lvlText w:val="–"/>
      <w:lvlJc w:val="left"/>
      <w:pPr>
        <w:ind w:hanging="397" w:left="397"/>
        <w:tabs>
          <w:tab w:val="left" w:pos="397" w:leader="none"/>
        </w:tabs>
      </w:pPr>
      <w:rPr/>
    </w:lvl>
    <w:lvl w:ilvl="1" w:tplc="04E13D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3EC8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0789A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E79DC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F4A1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E65D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F50D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4CD0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5AF2D47"/>
    <w:multiLevelType w:val="hybridMultilevel"/>
    <w:lvl w:ilvl="0" w:tplc="086BC819">
      <w:start w:val="1"/>
      <w:numFmt w:val="bullet"/>
      <w:suff w:val="tab"/>
      <w:lvlText w:val="–"/>
      <w:lvlJc w:val="left"/>
      <w:pPr>
        <w:ind w:hanging="397" w:left="397"/>
        <w:tabs>
          <w:tab w:val="left" w:pos="397" w:leader="none"/>
        </w:tabs>
      </w:pPr>
      <w:rPr/>
    </w:lvl>
    <w:lvl w:ilvl="1" w:tplc="0101F3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9FB0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DECA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8A72E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508B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FF30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E794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5FE0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AAF0EC3"/>
    <w:multiLevelType w:val="hybridMultilevel"/>
    <w:lvl w:ilvl="0" w:tplc="10646A39">
      <w:start w:val="1"/>
      <w:numFmt w:val="bullet"/>
      <w:suff w:val="tab"/>
      <w:lvlText w:val="–"/>
      <w:lvlJc w:val="left"/>
      <w:pPr>
        <w:ind w:hanging="226" w:left="510"/>
        <w:tabs>
          <w:tab w:val="left" w:pos="510" w:leader="none"/>
        </w:tabs>
      </w:pPr>
      <w:rPr/>
    </w:lvl>
    <w:lvl w:ilvl="1" w:tplc="64D88E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65EA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F3F99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3DCE4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644A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A2706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02D0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FF44C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F416F22"/>
    <w:multiLevelType w:val="hybridMultilevel"/>
    <w:lvl w:ilvl="0" w:tplc="2D2630BB">
      <w:start w:val="1"/>
      <w:numFmt w:val="bullet"/>
      <w:suff w:val="tab"/>
      <w:lvlText w:val="–"/>
      <w:lvlJc w:val="left"/>
      <w:pPr>
        <w:ind w:hanging="397" w:left="397"/>
        <w:tabs>
          <w:tab w:val="left" w:pos="397" w:leader="none"/>
        </w:tabs>
      </w:pPr>
      <w:rPr/>
    </w:lvl>
    <w:lvl w:ilvl="1" w:tplc="2BC5353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66BC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9ABD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7D4F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9C2E2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5C8E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86B8F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B2A8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  <w:sz w:val="22"/>
    </w:rPr>
  </w:style>
  <w:style w:type="paragraph" w:styleId="P2">
    <w:name w:val="Heading 2"/>
    <w:basedOn w:val="P0"/>
    <w:next w:val="P0"/>
    <w:qFormat/>
    <w:pPr>
      <w:keepNext w:val="1"/>
      <w:jc w:val="center"/>
      <w:outlineLvl w:val="1"/>
    </w:pPr>
    <w:rPr>
      <w:b w:val="1"/>
      <w:sz w:val="20"/>
    </w:rPr>
  </w:style>
  <w:style w:type="paragraph" w:styleId="P3">
    <w:name w:val="Footnote Text"/>
    <w:basedOn w:val="P0"/>
    <w:next w:val="P3"/>
    <w:pPr/>
    <w:rPr>
      <w:sz w:val="20"/>
    </w:rPr>
  </w:style>
  <w:style w:type="paragraph" w:styleId="P4">
    <w:name w:val="Body Text"/>
    <w:basedOn w:val="P0"/>
    <w:next w:val="P4"/>
    <w:pPr>
      <w:jc w:val="both"/>
    </w:pPr>
    <w:rPr/>
  </w:style>
  <w:style w:type="paragraph" w:styleId="P5">
    <w:name w:val="Footer"/>
    <w:basedOn w:val="P0"/>
    <w:next w:val="P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2013-04-08T13:47:00Z</dcterms:created>
  <cp:lastModifiedBy>Nikola Kapetanovic</cp:lastModifiedBy>
  <cp:lastPrinted>2014-05-07T11:08:00Z</cp:lastPrinted>
  <dcterms:modified xsi:type="dcterms:W3CDTF">2020-01-10T11:25:19Z</dcterms:modified>
  <cp:revision>12</cp:revision>
  <dc:title>РЕПУБЛИКА СРБИЈА</dc:title>
</cp:coreProperties>
</file>