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7F26EE" Type="http://schemas.openxmlformats.org/officeDocument/2006/relationships/officeDocument" Target="/word/document.xml" /><Relationship Id="coreR477F26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Layout w:type="autofit"/>
      </w:tblPr>
      <w:tblGrid/>
      <w:tr>
        <w:trPr>
          <w:wAfter w:w="0" w:type="dxa"/>
        </w:trPr>
        <w:tc>
          <w:tcPr>
            <w:tcW w:w="3402" w:type="dxa"/>
            <w:tcMar>
              <w:left w:w="0" w:type="dxa"/>
              <w:right w:w="0" w:type="dxa"/>
            </w:tcMar>
          </w:tcPr>
          <w:p>
            <w:r>
              <w:fldChar w:fldCharType="begin"/>
            </w:r>
            <w:r>
              <w:instrText>EMBED Msxml2.SAXXMLReader.5.0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767080" cy="21526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2152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69" w:type="dxa"/>
          </w:tcPr>
          <w:p/>
        </w:tc>
        <w:tc>
          <w:tcPr>
            <w:tcW w:w="283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rPr>
                <w:b w:val="1"/>
              </w:rPr>
              <w:t>Упитник</w:t>
            </w:r>
            <w:r>
              <w:rPr>
                <w:b w:val="1"/>
              </w:rPr>
              <w:t xml:space="preserve"> ОТ-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Т</w:t>
            </w:r>
            <w:r>
              <w:rPr>
                <w:b w:val="1"/>
              </w:rPr>
              <w:t xml:space="preserve"> и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ОТ- К</w:t>
            </w:r>
          </w:p>
          <w:p>
            <w:pPr>
              <w:jc w:val="right"/>
              <w:rPr>
                <w:b w:val="1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</w:tcPr>
          <w:p>
            <w:pPr>
              <w:spacing w:before="120"/>
            </w:pPr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3969" w:type="dxa"/>
            <w:tcBorders>
              <w:right w:val="single" w:sz="4" w:space="0" w:shadow="0" w:frame="0"/>
            </w:tcBorders>
          </w:tcPr>
          <w:p/>
        </w:tc>
        <w:tc>
          <w:tcPr>
            <w:tcW w:w="28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Закон о званичној статистици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(„Службени гласник РС“, број  104/09)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3969" w:type="dxa"/>
          </w:tcPr>
          <w:p/>
        </w:tc>
        <w:tc>
          <w:tcPr>
            <w:tcW w:w="2835" w:type="dxa"/>
            <w:tcBorders>
              <w:top w:val="single" w:sz="4" w:space="0" w:shadow="0" w:frame="0"/>
            </w:tcBorders>
          </w:tcPr>
          <w:p/>
        </w:tc>
      </w:tr>
    </w:tbl>
    <w:p>
      <w:pPr>
        <w:rPr>
          <w:sz w:val="22"/>
        </w:rPr>
      </w:pPr>
    </w:p>
    <w:tbl>
      <w:tblPr>
        <w:tblStyle w:val="T2"/>
        <w:tblW w:w="9712" w:type="dxa"/>
        <w:jc w:val="center"/>
        <w:tblLayout w:type="autofit"/>
      </w:tblPr>
      <w:tblGrid/>
      <w:tr>
        <w:trPr>
          <w:wAfter w:w="0" w:type="dxa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825" w:type="dxa"/>
            <w:vAlign w:val="bottom"/>
          </w:tcPr>
          <w:p/>
        </w:tc>
        <w:tc>
          <w:tcPr>
            <w:tcW w:w="365" w:type="dxa"/>
            <w:vAlign w:val="bottom"/>
          </w:tcPr>
          <w:p/>
        </w:tc>
        <w:tc>
          <w:tcPr>
            <w:tcW w:w="365" w:type="dxa"/>
            <w:vAlign w:val="bottom"/>
          </w:tcPr>
          <w:p/>
        </w:tc>
        <w:tc>
          <w:tcPr>
            <w:tcW w:w="365" w:type="dxa"/>
            <w:vAlign w:val="bottom"/>
          </w:tcPr>
          <w:p/>
        </w:tc>
        <w:tc>
          <w:tcPr>
            <w:tcW w:w="365" w:type="dxa"/>
            <w:vAlign w:val="bottom"/>
          </w:tcPr>
          <w:p/>
        </w:tc>
        <w:tc>
          <w:tcPr>
            <w:tcW w:w="364" w:type="dxa"/>
            <w:vAlign w:val="bottom"/>
          </w:tcPr>
          <w:p/>
        </w:tc>
        <w:tc>
          <w:tcPr>
            <w:tcW w:w="364" w:type="dxa"/>
            <w:vAlign w:val="bottom"/>
          </w:tcPr>
          <w:p/>
        </w:tc>
        <w:tc>
          <w:tcPr>
            <w:tcW w:w="364" w:type="dxa"/>
            <w:vAlign w:val="bottom"/>
          </w:tcPr>
          <w:p/>
        </w:tc>
        <w:tc>
          <w:tcPr>
            <w:tcW w:w="364" w:type="dxa"/>
            <w:vAlign w:val="bottom"/>
          </w:tcPr>
          <w:p/>
        </w:tc>
        <w:tc>
          <w:tcPr>
            <w:tcW w:w="364" w:type="dxa"/>
            <w:vAlign w:val="bottom"/>
          </w:tcPr>
          <w:p/>
        </w:tc>
        <w:tc>
          <w:tcPr>
            <w:tcW w:w="4243" w:type="dxa"/>
            <w:vAlign w:val="bottom"/>
          </w:tcPr>
          <w:p>
            <w:pPr>
              <w:ind w:left="42"/>
              <w:jc w:val="right"/>
            </w:pPr>
            <w:r>
              <w:t xml:space="preserve">Шифрe истраживања: 011061 и 011063                   </w:t>
            </w:r>
          </w:p>
        </w:tc>
      </w:tr>
    </w:tbl>
    <w:p/>
    <w:p>
      <w:pPr>
        <w:spacing w:after="240"/>
        <w:jc w:val="center"/>
        <w:rPr>
          <w:b w:val="1"/>
          <w:sz w:val="24"/>
        </w:rPr>
      </w:pPr>
      <w:r>
        <w:rPr>
          <w:b w:val="1"/>
          <w:sz w:val="24"/>
        </w:rPr>
        <w:t>И</w:t>
      </w:r>
      <w:r>
        <w:rPr>
          <w:b w:val="1"/>
          <w:sz w:val="24"/>
        </w:rPr>
        <w:t>СТРАЖИВАЊЕ</w:t>
      </w:r>
      <w:r>
        <w:rPr>
          <w:b w:val="1"/>
          <w:sz w:val="24"/>
        </w:rPr>
        <w:t xml:space="preserve"> О </w:t>
      </w:r>
      <w:r>
        <w:rPr>
          <w:b w:val="1"/>
          <w:sz w:val="24"/>
        </w:rPr>
        <w:t>ТРЕТИРАНОМ</w:t>
      </w:r>
      <w:r>
        <w:rPr>
          <w:b w:val="1"/>
          <w:sz w:val="24"/>
        </w:rPr>
        <w:t xml:space="preserve"> ОТПАДУ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КАПАЦИТЕТИМА ПОСТРОЈЕЊА ЗА ТРЕТМАН ОТПАДА ЗА 201</w:t>
      </w:r>
      <w:r>
        <w:rPr>
          <w:b w:val="1"/>
          <w:sz w:val="24"/>
        </w:rPr>
        <w:t>7</w:t>
      </w:r>
      <w:r>
        <w:rPr>
          <w:b w:val="1"/>
          <w:sz w:val="24"/>
        </w:rPr>
        <w:t xml:space="preserve">. ГОДИНУ </w:t>
      </w:r>
    </w:p>
    <w:p>
      <w:pPr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5791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57912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Обавеза давања података темељи се на члану 26 а казнене одредбе за одбијање давања података или давањe непотпуних </w:t>
                              <w:br w:type="textWrapping"/>
                              <w:t>и нетачних података на члану 52 Закона о званичној статистици („Службени гласник РС“, број 104/2009).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 w:val="1"/>
                                <w:sz w:val="16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  <w:br w:type="textWrapping"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lIns="17780" tIns="10795" rIns="17780" bIns="107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45.6pt;z-index:1;mso-wrap-distance-left:9pt;mso-wrap-distance-top:0pt;mso-wrap-distance-right:9pt;mso-wrap-distance-bottom:0pt;margin-left:3.7pt;margin-top:0.7pt;mso-position-horizontal:absolute;mso-position-horizontal-relative:text;mso-position-vertical:absolute;mso-position-vertical-relative:text" strokecolor="#000000" strokeweight="0pt" o:allowincell="t">
                <v:textbox style="mso-fit-shape-to-text:f" inset="0mm,0mm,0mm,0mm">
                  <w:txbxContent>
                    <w:p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Обавеза давања података темељи се на члану 26 а казнене одредбе за одбијање давања података или давањe непотпуних </w:t>
                        <w:br w:type="textWrapping"/>
                        <w:t>и нетачних података на члану 52 Закона о званичној статистици („Службени гласник РС“, број 104/2009).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b w:val="1"/>
                          <w:sz w:val="16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  <w:br w:type="textWrapping"/>
                        <w:t>Сви подаци имају карактер пословне тајне.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којем можете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"http://www.stat.gov.rs"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(у делу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„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Брзи линкови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) или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"http://www.euprava.gov.rs"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504.25pt;height:33.6pt;z-index:2;mso-wrap-distance-left:9pt;mso-wrap-distance-top:0pt;mso-wrap-distance-right:9pt;mso-wrap-distance-bottom:0pt;margin-left:3.1pt;margin-top:5.75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b w:val="1"/>
                          <w:sz w:val="16"/>
                        </w:rPr>
                      </w:pPr>
                      <w:r>
                        <w:rPr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b w:val="1"/>
                          <w:sz w:val="16"/>
                        </w:rPr>
                        <w:t>,</w:t>
                      </w:r>
                      <w:r>
                        <w:rPr>
                          <w:b w:val="1"/>
                          <w:sz w:val="16"/>
                        </w:rPr>
                        <w:t xml:space="preserve"> којем можете </w:t>
                      </w:r>
                      <w:r>
                        <w:rPr>
                          <w:b w:val="1"/>
                          <w:sz w:val="16"/>
                        </w:rPr>
                        <w:t xml:space="preserve">                       </w:t>
                      </w:r>
                      <w:r>
                        <w:rPr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"http://www.stat.gov.rs" </w:instrText>
                      </w:r>
                      <w: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b w:val="1"/>
                          <w:sz w:val="16"/>
                        </w:rPr>
                        <w:t xml:space="preserve">(у делу </w:t>
                      </w:r>
                      <w:r>
                        <w:rPr>
                          <w:b w:val="1"/>
                          <w:sz w:val="16"/>
                        </w:rPr>
                        <w:t>„</w:t>
                      </w:r>
                      <w:r>
                        <w:rPr>
                          <w:b w:val="1"/>
                          <w:sz w:val="16"/>
                        </w:rPr>
                        <w:t>Брзи линкови</w:t>
                      </w:r>
                      <w:r>
                        <w:rPr>
                          <w:b w:val="1"/>
                          <w:sz w:val="16"/>
                        </w:rPr>
                        <w:t>“</w:t>
                      </w:r>
                      <w:r>
                        <w:rPr>
                          <w:b w:val="1"/>
                          <w:sz w:val="16"/>
                        </w:rPr>
                        <w:t xml:space="preserve">) или </w:t>
                      </w:r>
                      <w:r>
                        <w:fldChar w:fldCharType="begin"/>
                      </w:r>
                      <w:r>
                        <w:instrText xml:space="preserve"> HYPERLINK "http://www.euprava.gov.rs" </w:instrText>
                      </w:r>
                      <w: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936" w:type="dxa"/>
            <w:gridSpan w:val="10"/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8"/>
              </w:rPr>
              <w:t>Подаци о извештајној јединици:</w:t>
            </w: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1.</w:t>
            </w:r>
          </w:p>
        </w:tc>
        <w:tc>
          <w:tcPr>
            <w:tcW w:w="1469" w:type="dxa"/>
            <w:gridSpan w:val="5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Пословно име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6450" w:type="dxa"/>
            <w:gridSpan w:val="22"/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(назив дела правног лица – локалне јединице у саставу)</w:t>
            </w: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2.</w:t>
            </w:r>
          </w:p>
        </w:tc>
        <w:tc>
          <w:tcPr>
            <w:tcW w:w="1469" w:type="dxa"/>
            <w:gridSpan w:val="5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Матични број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sz w:val="1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4" w:type="dxa"/>
            <w:gridSpan w:val="10"/>
            <w:vMerge w:val="restart"/>
            <w:vAlign w:val="bottom"/>
          </w:tcPr>
          <w:p>
            <w:pPr>
              <w:rPr>
                <w:sz w:val="16"/>
              </w:rPr>
            </w:pPr>
            <w:r>
              <w:rPr>
                <w:sz w:val="18"/>
              </w:rPr>
              <w:t xml:space="preserve">Редни број дела правног лица </w:t>
            </w:r>
            <w:r>
              <w:rPr>
                <w:sz w:val="16"/>
              </w:rPr>
              <w:t>–</w:t>
            </w:r>
          </w:p>
          <w:p>
            <w:pPr>
              <w:rPr>
                <w:sz w:val="16"/>
              </w:rPr>
            </w:pPr>
            <w:r>
              <w:rPr>
                <w:sz w:val="18"/>
              </w:rPr>
              <w:t>локалне јединице у саставу</w:t>
            </w: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4" w:type="dxa"/>
            <w:gridSpan w:val="10"/>
            <w:vMerge w:val="continue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3.</w:t>
            </w:r>
          </w:p>
        </w:tc>
        <w:tc>
          <w:tcPr>
            <w:tcW w:w="3520" w:type="dxa"/>
            <w:gridSpan w:val="12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Порески идентификациони број</w:t>
            </w:r>
            <w:r>
              <w:rPr>
                <w:b w:val="1"/>
                <w:sz w:val="18"/>
              </w:rPr>
              <w:t xml:space="preserve"> (</w:t>
            </w:r>
            <w:r>
              <w:rPr>
                <w:b w:val="1"/>
                <w:sz w:val="18"/>
              </w:rPr>
              <w:t>ПИБ)</w:t>
            </w: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8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4.</w:t>
            </w:r>
          </w:p>
        </w:tc>
        <w:tc>
          <w:tcPr>
            <w:tcW w:w="1176" w:type="dxa"/>
            <w:gridSpan w:val="4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Делатност  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5.</w:t>
            </w:r>
          </w:p>
        </w:tc>
        <w:tc>
          <w:tcPr>
            <w:tcW w:w="882" w:type="dxa"/>
            <w:gridSpan w:val="3"/>
            <w:vAlign w:val="bottom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Општина</w:t>
            </w: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82" w:type="dxa"/>
            <w:gridSpan w:val="3"/>
            <w:vAlign w:val="bottom"/>
          </w:tcPr>
          <w:p>
            <w:pPr>
              <w:rPr>
                <w:sz w:val="16"/>
              </w:rPr>
            </w:pPr>
            <w:r>
              <w:rPr>
                <w:sz w:val="18"/>
              </w:rPr>
              <w:t>Насеље</w:t>
            </w: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879" w:type="dxa"/>
            <w:gridSpan w:val="3"/>
            <w:vAlign w:val="bottom"/>
          </w:tcPr>
          <w:p>
            <w:pPr>
              <w:rPr>
                <w:sz w:val="16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88" w:type="dxa"/>
            <w:gridSpan w:val="2"/>
            <w:vAlign w:val="bottom"/>
          </w:tcPr>
          <w:p>
            <w:pPr>
              <w:rPr>
                <w:sz w:val="16"/>
              </w:rPr>
            </w:pPr>
            <w:r>
              <w:rPr>
                <w:sz w:val="18"/>
              </w:rPr>
              <w:t>Улица</w:t>
            </w: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72" w:type="dxa"/>
            <w:gridSpan w:val="4"/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8"/>
              </w:rPr>
              <w:t>Кућни број</w:t>
            </w: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bottom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top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278" w:type="dxa"/>
            <w:gridSpan w:val="18"/>
          </w:tcPr>
          <w:p>
            <w:pPr>
              <w:pStyle w:val="P3"/>
              <w:rPr>
                <w:b w:val="1"/>
                <w:sz w:val="18"/>
              </w:rPr>
            </w:pPr>
            <w:r>
              <w:rPr>
                <w:sz w:val="18"/>
              </w:rPr>
              <w:t>Редни број подручног одељења (попуњава статистика)</w:t>
            </w: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98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4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5278" w:type="dxa"/>
            <w:gridSpan w:val="18"/>
            <w:vAlign w:val="bottom"/>
          </w:tcPr>
          <w:p>
            <w:pPr>
              <w:rPr>
                <w:sz w:val="16"/>
              </w:rPr>
            </w:pPr>
            <w:r>
              <w:rPr>
                <w:b w:val="1"/>
                <w:sz w:val="18"/>
              </w:rPr>
              <w:t>Редни број упитника из адресара (попуњава статистика)</w:t>
            </w: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293" w:type="dxa"/>
            <w:tcBorders>
              <w:left w:val="single" w:sz="6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</w:tbl>
    <w:p/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sz w:val="16"/>
              </w:rPr>
            </w:pPr>
          </w:p>
          <w:p>
            <w:r>
              <w:t xml:space="preserve"> Напомена:</w:t>
            </w:r>
          </w:p>
          <w:p/>
          <w:p/>
          <w:p/>
        </w:tc>
      </w:tr>
    </w:tbl>
    <w:p/>
    <w:p>
      <w:r>
        <w:t xml:space="preserve">Датум  ________________ 2018. године</w:t>
      </w:r>
    </w:p>
    <w:p/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Упитник попунио: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</w:pPr>
          </w:p>
        </w:tc>
        <w:tc>
          <w:tcPr>
            <w:tcW w:w="4083" w:type="dxa"/>
            <w:gridSpan w:val="2"/>
            <w:vAlign w:val="center"/>
          </w:tcPr>
          <w:p>
            <w:pPr>
              <w:jc w:val="center"/>
            </w:pPr>
            <w: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restart"/>
            <w:vAlign w:val="bottom"/>
          </w:tcPr>
          <w:p>
            <w:pPr>
              <w:jc w:val="center"/>
            </w:pPr>
            <w:r>
              <w:t>(М.П.)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vAlign w:val="center"/>
          </w:tcPr>
          <w:p>
            <w:pPr>
              <w:jc w:val="center"/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Merge w:val="continue"/>
            <w:vAlign w:val="bottom"/>
          </w:tcPr>
          <w:p>
            <w:pPr>
              <w:jc w:val="center"/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</w:tr>
    </w:tbl>
    <w:p/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/>
        </w:tc>
        <w:tc>
          <w:tcPr>
            <w:tcW w:w="364" w:type="dxa"/>
            <w:tcBorders>
              <w:left w:val="single" w:sz="6" w:space="0" w:shadow="0" w:frame="0"/>
            </w:tcBorders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372" w:type="dxa"/>
            <w:gridSpan w:val="12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</w:tcPr>
          <w:p>
            <w:pPr>
              <w:rPr>
                <w:sz w:val="16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4" w:type="dxa"/>
            <w:vAlign w:val="center"/>
          </w:tcPr>
          <w:p>
            <w:pPr>
              <w:jc w:val="center"/>
            </w:pPr>
          </w:p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r>
              <w:t>Имејл:</w:t>
            </w:r>
          </w:p>
        </w:tc>
        <w:tc>
          <w:tcPr>
            <w:tcW w:w="365" w:type="dxa"/>
            <w:tcBorders>
              <w:bottom w:val="single" w:sz="6" w:space="0" w:shadow="0" w:frame="0"/>
            </w:tcBorders>
          </w:tcPr>
          <w:p/>
        </w:tc>
        <w:tc>
          <w:tcPr>
            <w:tcW w:w="365" w:type="dxa"/>
            <w:tcBorders>
              <w:bottom w:val="single" w:sz="6" w:space="0" w:shadow="0" w:frame="0"/>
            </w:tcBorders>
          </w:tcPr>
          <w:p/>
        </w:tc>
        <w:tc>
          <w:tcPr>
            <w:tcW w:w="365" w:type="dxa"/>
            <w:tcBorders>
              <w:bottom w:val="single" w:sz="6" w:space="0" w:shadow="0" w:frame="0"/>
            </w:tcBorders>
          </w:tcPr>
          <w:p/>
        </w:tc>
        <w:tc>
          <w:tcPr>
            <w:tcW w:w="365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  <w:tcBorders>
              <w:bottom w:val="single" w:sz="6" w:space="0" w:shadow="0" w:frame="0"/>
            </w:tcBorders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4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  <w:tc>
          <w:tcPr>
            <w:tcW w:w="365" w:type="dxa"/>
          </w:tcPr>
          <w:p/>
        </w:tc>
      </w:tr>
    </w:tbl>
    <w:p>
      <w:pPr>
        <w:pStyle w:val="P4"/>
        <w:rPr>
          <w:sz w:val="16"/>
        </w:rPr>
      </w:pPr>
    </w:p>
    <w:p>
      <w:pPr>
        <w:pStyle w:val="P4"/>
        <w:jc w:val="center"/>
        <w:rPr>
          <w:sz w:val="16"/>
        </w:rPr>
      </w:pPr>
      <w:r>
        <w:rPr>
          <w:sz w:val="16"/>
        </w:rPr>
        <w:t>Штампано у Републичком заводу за статистику</w:t>
      </w:r>
    </w:p>
    <w:p>
      <w:pPr>
        <w:jc w:val="center"/>
      </w:pPr>
      <w:r>
        <w:rPr>
          <w:sz w:val="16"/>
        </w:rPr>
        <w:t>www.stat.gov.rs</w:t>
      </w:r>
    </w:p>
    <w:p>
      <w:pPr>
        <w:sectPr>
          <w:type w:val="nextPage"/>
          <w:pgSz w:w="11907" w:h="16840" w:code="0"/>
          <w:pgMar w:left="850" w:right="850" w:top="850" w:bottom="850" w:header="720" w:footer="720" w:gutter="0"/>
          <w:pgNumType w:start="1"/>
          <w:cols w:equalWidth="1" w:space="567"/>
          <w:titlePg w:val="1"/>
        </w:sectPr>
      </w:pPr>
    </w:p>
    <w:p>
      <w:pPr>
        <w:rPr>
          <w:sz w:val="2"/>
        </w:rPr>
      </w:pPr>
    </w:p>
    <w:p>
      <w:pPr>
        <w:rPr>
          <w:sz w:val="2"/>
        </w:rPr>
        <w:sectPr>
          <w:type w:val="nextPage"/>
          <w:pgSz w:w="23814" w:h="16840" w:code="0" w:orient="landscape"/>
          <w:pgMar w:left="567" w:right="567" w:top="851" w:bottom="567" w:header="720" w:footer="720" w:gutter="0"/>
          <w:pgNumType w:start="1"/>
          <w:cols w:equalWidth="1" w:space="567"/>
          <w:titlePg w:val="1"/>
        </w:sectPr>
      </w:pPr>
    </w:p>
    <w:p>
      <w:pPr>
        <w:rPr>
          <w:b w:val="1"/>
          <w:sz w:val="24"/>
        </w:rPr>
      </w:pPr>
      <w:r>
        <w:rPr>
          <w:b w:val="1"/>
          <w:sz w:val="24"/>
        </w:rPr>
        <w:t>Т</w:t>
      </w:r>
      <w:r>
        <w:rPr>
          <w:b w:val="1"/>
          <w:sz w:val="24"/>
        </w:rPr>
        <w:t>р</w:t>
      </w:r>
      <w:r>
        <w:rPr>
          <w:b w:val="1"/>
          <w:sz w:val="24"/>
        </w:rPr>
        <w:t>етман</w:t>
      </w:r>
      <w:r>
        <w:rPr>
          <w:b w:val="1"/>
          <w:sz w:val="24"/>
        </w:rPr>
        <w:t xml:space="preserve"> отпада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у 201</w:t>
      </w:r>
      <w:r>
        <w:rPr>
          <w:b w:val="1"/>
          <w:sz w:val="24"/>
        </w:rPr>
        <w:t>7</w:t>
      </w:r>
      <w:r>
        <w:rPr>
          <w:b w:val="1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години</w:t>
      </w:r>
      <w:r>
        <w:rPr>
          <w:b w:val="1"/>
          <w:sz w:val="24"/>
        </w:rPr>
        <w:t xml:space="preserve">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23" w:type="dxa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Редни број</w:t>
            </w:r>
          </w:p>
        </w:tc>
        <w:tc>
          <w:tcPr>
            <w:tcW w:w="312" w:type="dxa"/>
            <w:gridSpan w:val="7"/>
            <w:tcBorders>
              <w:top w:val="single" w:sz="8" w:space="0" w:shadow="0" w:frame="0"/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ВРСТА ОТПАДА</w:t>
            </w:r>
          </w:p>
        </w:tc>
        <w:tc>
          <w:tcPr>
            <w:tcW w:w="7439" w:type="dxa"/>
            <w:gridSpan w:val="6"/>
            <w:tcBorders>
              <w:top w:val="single" w:sz="8" w:space="0" w:shadow="0" w:frame="0"/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СТВОРЕН И ПРЕУЗЕТ ОТПАД И ОТПАД ИЗ ЗАЛИХА</w:t>
            </w:r>
          </w:p>
        </w:tc>
        <w:tc>
          <w:tcPr>
            <w:tcW w:w="8844" w:type="dxa"/>
            <w:gridSpan w:val="7"/>
            <w:tcBorders>
              <w:top w:val="single" w:sz="8" w:space="0" w:shadow="0" w:frame="0"/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ПОСТУПАЊЕ СА СТВОРЕНИМ И ПРЕУЗЕТИМ ОТПАДОМ</w:t>
            </w:r>
          </w:p>
        </w:tc>
      </w:tr>
      <w:tr>
        <w:trPr>
          <w:wAfter w:w="0" w:type="dxa"/>
        </w:trPr>
        <w:tc>
          <w:tcPr>
            <w:tcW w:w="523" w:type="dxa"/>
            <w:vMerge w:val="continue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12" w:type="dxa"/>
            <w:gridSpan w:val="6"/>
            <w:vMerge w:val="restart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Ознака отпада</w:t>
            </w:r>
            <w:r>
              <w:rPr>
                <w:sz w:val="16"/>
                <w:vertAlign w:val="superscript"/>
              </w:rPr>
              <w:t>1)</w:t>
            </w:r>
          </w:p>
        </w:tc>
        <w:tc>
          <w:tcPr>
            <w:tcW w:w="340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Назив отпада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1539" w:type="dxa"/>
            <w:vMerge w:val="restart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укупан отпад: 3=(4+5+7+8); 3=(9+10+11+13)</w:t>
            </w:r>
          </w:p>
        </w:tc>
        <w:tc>
          <w:tcPr>
            <w:tcW w:w="210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преузет отпад</w:t>
            </w: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шифра увоза:              1-земље ЕУ;                       2-ван ЕУ;</w:t>
            </w:r>
          </w:p>
        </w:tc>
        <w:tc>
          <w:tcPr>
            <w:tcW w:w="187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створени отпад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96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залихе отпада из претходне године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количине поново искоришћеног отпада▼ и R ►</w:t>
            </w: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R ознака поступка</w:t>
            </w:r>
          </w:p>
        </w:tc>
        <w:tc>
          <w:tcPr>
            <w:tcW w:w="130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количине одложеног отпада▼ и D ►</w:t>
            </w: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D ознака поступка</w:t>
            </w:r>
          </w:p>
        </w:tc>
        <w:tc>
          <w:tcPr>
            <w:tcW w:w="1738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испоручено другим пословним субјектима за даљи третман ►</w:t>
            </w:r>
          </w:p>
        </w:tc>
        <w:tc>
          <w:tcPr>
            <w:tcW w:w="121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шифра испоруке:         1-земље ЕУ;                   2-остале земље Европе;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3-Србија</w:t>
            </w:r>
          </w:p>
        </w:tc>
        <w:tc>
          <w:tcPr>
            <w:tcW w:w="147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количине отпада на крају године (привремено складиште)</w:t>
            </w:r>
          </w:p>
        </w:tc>
      </w:tr>
      <w:tr>
        <w:trPr>
          <w:wAfter w:w="0" w:type="dxa"/>
        </w:trPr>
        <w:tc>
          <w:tcPr>
            <w:tcW w:w="523" w:type="dxa"/>
            <w:vMerge w:val="continue"/>
            <w:tcBorders>
              <w:left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12" w:type="dxa"/>
            <w:gridSpan w:val="6"/>
            <w:vMerge w:val="continue"/>
            <w:tcBorders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539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Републике Србије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иностран-ства</w:t>
            </w:r>
          </w:p>
        </w:tc>
        <w:tc>
          <w:tcPr>
            <w:tcW w:w="96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87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6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07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07" w:type="dxa"/>
            <w:vMerge w:val="continue"/>
            <w:tcBorders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38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21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47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523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12" w:type="dxa"/>
            <w:gridSpan w:val="6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96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90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907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  <w:tc>
          <w:tcPr>
            <w:tcW w:w="12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тона</w:t>
            </w:r>
          </w:p>
        </w:tc>
      </w:tr>
      <w:tr>
        <w:trPr>
          <w:wAfter w:w="0" w:type="dxa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2" w:type="dxa"/>
            <w:gridSpan w:val="6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72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ц</w:t>
            </w:r>
          </w:p>
        </w:tc>
        <w:tc>
          <w:tcPr>
            <w:tcW w:w="1738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0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523" w:type="dxa"/>
            <w:tcBorders>
              <w:top w:val="single" w:sz="8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8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8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none" w:sz="0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none" w:sz="0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23" w:type="dxa"/>
            <w:tcBorders>
              <w:top w:val="single" w:sz="4" w:space="0" w:shadow="0" w:frame="0"/>
              <w:left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lef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1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3402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539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87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738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210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523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12" w:type="dxa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12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020" w:type="dxa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872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64" w:type="dxa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304" w:type="dxa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907" w:type="dxa"/>
            <w:tcBorders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738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210" w:type="dxa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312"/>
              <w:rPr>
                <w:sz w:val="16"/>
              </w:rPr>
            </w:pPr>
          </w:p>
        </w:tc>
      </w:tr>
    </w:tbl>
    <w:p>
      <w:pPr>
        <w:rPr>
          <w:b w:val="1"/>
          <w:sz w:val="16"/>
          <w:vertAlign w:val="superscript"/>
        </w:rPr>
      </w:pPr>
    </w:p>
    <w:p>
      <w:pPr>
        <w:rPr>
          <w:b w:val="1"/>
          <w:sz w:val="16"/>
          <w:vertAlign w:val="superscript"/>
        </w:rPr>
      </w:pPr>
    </w:p>
    <w:p>
      <w:pPr>
        <w:rPr>
          <w:b w:val="1"/>
          <w:sz w:val="16"/>
        </w:rPr>
      </w:pPr>
      <w:r>
        <w:rPr>
          <w:b w:val="1"/>
          <w:sz w:val="16"/>
          <w:vertAlign w:val="superscript"/>
        </w:rPr>
        <w:t>1)2)</w:t>
      </w:r>
      <w:r>
        <w:rPr>
          <w:b w:val="1"/>
          <w:sz w:val="16"/>
          <w:vertAlign w:val="superscript"/>
        </w:rPr>
        <w:t xml:space="preserve"> </w:t>
      </w:r>
      <w:r>
        <w:rPr>
          <w:b w:val="1"/>
          <w:sz w:val="16"/>
        </w:rPr>
        <w:t>Ознаке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и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називи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отпада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доступни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су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на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веб-</w:t>
      </w:r>
      <w:r>
        <w:rPr>
          <w:b w:val="1"/>
          <w:sz w:val="16"/>
        </w:rPr>
        <w:t>сајту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Републичког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завода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за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статистику</w:t>
      </w:r>
      <w:r>
        <w:rPr>
          <w:b w:val="1"/>
          <w:sz w:val="16"/>
        </w:rPr>
        <w:t>:</w:t>
      </w:r>
      <w:r>
        <w:rPr>
          <w:b w:val="1"/>
          <w:sz w:val="16"/>
        </w:rPr>
        <w:t xml:space="preserve"> www.</w:t>
      </w:r>
      <w:r>
        <w:rPr>
          <w:b w:val="1"/>
          <w:sz w:val="16"/>
        </w:rPr>
        <w:t>stat.gov.rs</w:t>
      </w:r>
      <w:r>
        <w:rPr>
          <w:b w:val="1"/>
          <w:sz w:val="16"/>
        </w:rPr>
        <w:t xml:space="preserve">, </w:t>
      </w:r>
      <w:r>
        <w:rPr>
          <w:b w:val="1"/>
          <w:sz w:val="16"/>
        </w:rPr>
        <w:t>у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оквиру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 xml:space="preserve">публикације </w:t>
      </w:r>
      <w:r>
        <w:rPr>
          <w:b w:val="1"/>
          <w:sz w:val="16"/>
        </w:rPr>
        <w:t>„</w:t>
      </w:r>
      <w:r>
        <w:rPr>
          <w:b w:val="1"/>
          <w:sz w:val="16"/>
        </w:rPr>
        <w:t>М</w:t>
      </w:r>
      <w:r>
        <w:rPr>
          <w:b w:val="1"/>
          <w:sz w:val="16"/>
        </w:rPr>
        <w:t>етодолошко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упутств</w:t>
      </w:r>
      <w:r>
        <w:rPr>
          <w:b w:val="1"/>
          <w:sz w:val="16"/>
        </w:rPr>
        <w:t>о</w:t>
      </w:r>
      <w:r>
        <w:rPr>
          <w:b w:val="1"/>
          <w:sz w:val="16"/>
        </w:rPr>
        <w:t>“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уз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У</w:t>
      </w:r>
      <w:r>
        <w:rPr>
          <w:b w:val="1"/>
          <w:sz w:val="16"/>
        </w:rPr>
        <w:t>питник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о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>отпаду</w:t>
      </w:r>
      <w:r>
        <w:rPr>
          <w:b w:val="1"/>
          <w:sz w:val="16"/>
        </w:rPr>
        <w:t>.</w:t>
      </w:r>
    </w:p>
    <w:p>
      <w:pPr>
        <w:rPr>
          <w:rFonts w:ascii="Times New Roman" w:hAnsi="Times New Roman"/>
          <w:b w:val="1"/>
          <w:sz w:val="16"/>
        </w:rPr>
      </w:pPr>
      <w:r>
        <w:rPr>
          <w:b w:val="1"/>
          <w:sz w:val="16"/>
          <w:vertAlign w:val="superscript"/>
        </w:rPr>
        <w:t>3)</w:t>
      </w:r>
      <w:r>
        <w:rPr>
          <w:b w:val="1"/>
          <w:sz w:val="16"/>
          <w:vertAlign w:val="superscript"/>
        </w:rPr>
        <w:t xml:space="preserve"> </w:t>
      </w:r>
      <w:r>
        <w:rPr>
          <w:rFonts w:ascii="Arial Bold" w:hAnsi="Arial Bold"/>
          <w:b w:val="1"/>
          <w:sz w:val="16"/>
        </w:rPr>
        <w:t>Количина ство</w:t>
      </w:r>
      <w:r>
        <w:rPr>
          <w:rFonts w:ascii="Arial Bold" w:hAnsi="Arial Bold"/>
          <w:b w:val="1"/>
          <w:sz w:val="16"/>
        </w:rPr>
        <w:t xml:space="preserve">реног отпада мора бити једнака количини отпада у колони 6 </w:t>
      </w:r>
      <w:r>
        <w:rPr>
          <w:rFonts w:ascii="Arial Bold" w:hAnsi="Arial Bold"/>
          <w:b w:val="1"/>
          <w:sz w:val="16"/>
        </w:rPr>
        <w:t>У</w:t>
      </w:r>
      <w:r>
        <w:rPr>
          <w:rFonts w:ascii="Arial Bold" w:hAnsi="Arial Bold"/>
          <w:b w:val="1"/>
          <w:sz w:val="16"/>
        </w:rPr>
        <w:t xml:space="preserve">питника </w:t>
      </w:r>
      <w:r>
        <w:rPr>
          <w:rFonts w:ascii="Arial Bold" w:hAnsi="Arial Bold"/>
          <w:b w:val="1"/>
          <w:sz w:val="16"/>
        </w:rPr>
        <w:t>о створеном отпаду за</w:t>
      </w:r>
      <w:r>
        <w:rPr>
          <w:rFonts w:ascii="Arial Bold" w:hAnsi="Arial Bold"/>
          <w:b w:val="1"/>
          <w:sz w:val="16"/>
        </w:rPr>
        <w:t xml:space="preserve"> 20</w:t>
      </w:r>
      <w:r>
        <w:rPr>
          <w:rFonts w:ascii="Arial Bold" w:hAnsi="Arial Bold"/>
          <w:b w:val="1"/>
          <w:sz w:val="16"/>
        </w:rPr>
        <w:t>17</w:t>
      </w:r>
      <w:r>
        <w:rPr>
          <w:rFonts w:ascii="Arial Bold" w:hAnsi="Arial Bold"/>
          <w:b w:val="1"/>
          <w:sz w:val="16"/>
        </w:rPr>
        <w:t>. годину.</w:t>
      </w:r>
    </w:p>
    <w:p>
      <w:pPr>
        <w:rPr>
          <w:sz w:val="14"/>
        </w:rPr>
      </w:pPr>
      <w:r>
        <w:rPr>
          <w:b w:val="1"/>
          <w:sz w:val="16"/>
        </w:rPr>
        <w:t>К</w:t>
      </w:r>
      <w:r>
        <w:rPr>
          <w:b w:val="1"/>
          <w:sz w:val="16"/>
        </w:rPr>
        <w:t>оличине отпада приказати у тонама, са три децимална места</w:t>
      </w:r>
      <w:r>
        <w:rPr>
          <w:b w:val="1"/>
          <w:sz w:val="16"/>
        </w:rPr>
        <w:t>.</w:t>
      </w:r>
      <w:r>
        <w:rPr>
          <w:sz w:val="16"/>
        </w:rPr>
        <w:t xml:space="preserve"> Ако су вредности у другим јединицама, нпр. у m</w:t>
      </w:r>
      <w:r>
        <w:rPr>
          <w:sz w:val="16"/>
          <w:vertAlign w:val="superscript"/>
        </w:rPr>
        <w:t>3</w:t>
      </w:r>
      <w:r>
        <w:rPr>
          <w:sz w:val="16"/>
        </w:rPr>
        <w:t xml:space="preserve"> или у комадима, и нисте у могућности да их претворите у тоне, јасно означите коришћену јединицу.</w:t>
      </w:r>
    </w:p>
    <w:p>
      <w:pPr>
        <w:rPr>
          <w:sz w:val="14"/>
        </w:rPr>
        <w:sectPr>
          <w:type w:val="continuous"/>
          <w:pgSz w:w="23814" w:h="16840" w:code="0" w:orient="landscape"/>
          <w:pgMar w:left="851" w:right="851" w:top="851" w:bottom="851" w:header="720" w:footer="720" w:gutter="0"/>
          <w:pgNumType w:start="1"/>
          <w:cols w:equalWidth="1" w:space="567"/>
          <w:titlePg w:val="1"/>
        </w:sectPr>
      </w:pPr>
    </w:p>
    <w:p>
      <w:pPr>
        <w:spacing w:lineRule="auto" w:line="235"/>
        <w:rPr>
          <w:rFonts w:ascii="Arial Bold" w:hAnsi="Arial Bold"/>
          <w:b w:val="1"/>
          <w:vertAlign w:val="superscript"/>
        </w:rPr>
      </w:pPr>
      <w:r>
        <w:rPr>
          <w:rFonts w:ascii="Arial Bold" w:hAnsi="Arial Bold"/>
          <w:b w:val="1"/>
        </w:rPr>
        <w:t>Упутство за попу</w:t>
      </w:r>
      <w:r>
        <w:rPr>
          <w:rFonts w:ascii="Arial Bold" w:hAnsi="Arial Bold"/>
          <w:b w:val="1"/>
        </w:rPr>
        <w:t>њ</w:t>
      </w:r>
      <w:r>
        <w:rPr>
          <w:rFonts w:ascii="Arial Bold" w:hAnsi="Arial Bold"/>
          <w:b w:val="1"/>
        </w:rPr>
        <w:t>ава</w:t>
      </w:r>
      <w:r>
        <w:rPr>
          <w:rFonts w:ascii="Arial Bold" w:hAnsi="Arial Bold"/>
          <w:b w:val="1"/>
        </w:rPr>
        <w:t>њ</w:t>
      </w:r>
      <w:r>
        <w:rPr>
          <w:rFonts w:ascii="Arial Bold" w:hAnsi="Arial Bold"/>
          <w:b w:val="1"/>
        </w:rPr>
        <w:t xml:space="preserve">е </w:t>
      </w:r>
      <w:r>
        <w:rPr>
          <w:rFonts w:ascii="Arial Bold" w:hAnsi="Arial Bold"/>
          <w:b w:val="1"/>
        </w:rPr>
        <w:t>У</w:t>
      </w:r>
      <w:r>
        <w:rPr>
          <w:rFonts w:ascii="Arial Bold" w:hAnsi="Arial Bold"/>
          <w:b w:val="1"/>
        </w:rPr>
        <w:t xml:space="preserve">питника о </w:t>
      </w:r>
      <w:r>
        <w:rPr>
          <w:rFonts w:ascii="Arial Bold" w:hAnsi="Arial Bold"/>
          <w:b w:val="1"/>
        </w:rPr>
        <w:t>третираном</w:t>
      </w:r>
      <w:r>
        <w:rPr>
          <w:rFonts w:ascii="Arial Bold" w:hAnsi="Arial Bold"/>
          <w:b w:val="1"/>
        </w:rPr>
        <w:t xml:space="preserve"> </w:t>
      </w:r>
      <w:r>
        <w:rPr>
          <w:rFonts w:ascii="Arial Bold" w:hAnsi="Arial Bold"/>
          <w:b w:val="1"/>
        </w:rPr>
        <w:t>отпаду (ОТ-Т)</w:t>
      </w:r>
      <w:r>
        <w:rPr>
          <w:rFonts w:ascii="Arial Bold" w:hAnsi="Arial Bold"/>
          <w:b w:val="1"/>
          <w:vertAlign w:val="superscript"/>
        </w:rPr>
        <w:t>1)</w:t>
      </w:r>
    </w:p>
    <w:p>
      <w:pPr>
        <w:spacing w:lineRule="auto" w:line="235"/>
        <w:rPr>
          <w:sz w:val="22"/>
        </w:rPr>
      </w:pPr>
    </w:p>
    <w:p>
      <w:pPr>
        <w:spacing w:lineRule="auto" w:line="235"/>
        <w:jc w:val="both"/>
      </w:pPr>
      <w:r>
        <w:t>Путем Упитника о третираном отпаду (ОТ-Т) пословни субјекти који имају одговарајућу дозволу за обављање једне или више делатности у области управљања отпадом (сакупљање, транспорт, складиштење, третман, одлагање) извештавају о третираном отпаду и даљем поступању са њим у 2017. години.</w:t>
      </w:r>
    </w:p>
    <w:p>
      <w:pPr>
        <w:spacing w:lineRule="auto" w:line="235"/>
        <w:jc w:val="both"/>
      </w:pPr>
      <w:r>
        <w:t>Путем овог упитника извештавају и сви други пословни субјекти који користе или одлажу отпад настао обављањем њихове делатности.</w:t>
      </w:r>
    </w:p>
    <w:p>
      <w:pPr>
        <w:spacing w:lineRule="auto" w:line="235"/>
        <w:jc w:val="both"/>
      </w:pPr>
    </w:p>
    <w:p>
      <w:pPr>
        <w:spacing w:lineRule="auto" w:line="235"/>
        <w:jc w:val="both"/>
      </w:pPr>
      <w:r>
        <w:t>Табела 1: Третман отпада у 2017. години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0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4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Избор ознаке отпада</w:t>
            </w:r>
          </w:p>
        </w:tc>
        <w:tc>
          <w:tcPr>
            <w:tcW w:w="7031" w:type="dxa"/>
            <w:vMerge w:val="restart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шестоцифрена ознака отпада (индексни број) чији се назив уписује у колону „а“. Класификација отпада дата је у Каталогу отпада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>, који је саставни део методолошког упутства уз Упитник о отпаду</w:t>
            </w:r>
            <w:r>
              <w:rPr>
                <w:sz w:val="16"/>
                <w:vertAlign w:val="superscript"/>
              </w:rPr>
              <w:t xml:space="preserve">3) </w:t>
            </w:r>
            <w:r>
              <w:rPr>
                <w:sz w:val="16"/>
              </w:rPr>
              <w:t>, и користи се за одређивање одговарајуће ознаке отпада.</w:t>
            </w: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Назив отпада</w:t>
            </w:r>
          </w:p>
        </w:tc>
        <w:tc>
          <w:tcPr>
            <w:tcW w:w="7031" w:type="dxa"/>
            <w:vMerge w:val="continue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</w:p>
        </w:tc>
      </w:tr>
      <w:tr>
        <w:tc>
          <w:tcPr>
            <w:tcW w:w="7031" w:type="dxa"/>
            <w:gridSpan w:val="3"/>
            <w:shd w:val="clear" w:color="auto" w:fill="C0C0C0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Створен (прикупљен) и преузет отпад и отпад из залиха</w:t>
            </w:r>
          </w:p>
        </w:tc>
      </w:tr>
      <w:tr>
        <w:tc>
          <w:tcPr>
            <w:tcW w:w="90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4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Укупна количина отпада + залихе</w:t>
            </w:r>
          </w:p>
        </w:tc>
        <w:tc>
          <w:tcPr>
            <w:tcW w:w="7031" w:type="dxa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која је у 2017. преузета од других власника отпада са намером да се преради или одстрани; уписује се сопствени отпад који је прерађен или одложен и она количина отпада која се налазила као залиха а која је прерађена или одстрањена у 2016.</w:t>
            </w: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 xml:space="preserve">Сакупљен или преузет отпад из Србије </w:t>
            </w:r>
          </w:p>
        </w:tc>
        <w:tc>
          <w:tcPr>
            <w:tcW w:w="7031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која је у 2017. сакупљена или преузета од других власника отпада из Републике Србије са намером да се преради или одстрани.</w:t>
            </w: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Сакупљен или преузет отпад из иностранства</w:t>
            </w:r>
          </w:p>
        </w:tc>
        <w:tc>
          <w:tcPr>
            <w:tcW w:w="7031" w:type="dxa"/>
            <w:vMerge w:val="restart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која је у 2017. сакупљена или преузета од других власника отпада из иностранства (увeзена) са намером да се преради или одстрани.</w:t>
            </w:r>
          </w:p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шифра 1 за отпад увезен из земаља ЕУ или шифра 2 за отпад увезен из осталих европских земаља.</w:t>
            </w: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Шифра увоза</w:t>
            </w:r>
          </w:p>
        </w:tc>
        <w:tc>
          <w:tcPr>
            <w:tcW w:w="7031" w:type="dxa"/>
            <w:vMerge w:val="continue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Створена количина отпада у 2017. години</w:t>
            </w:r>
          </w:p>
        </w:tc>
        <w:tc>
          <w:tcPr>
            <w:tcW w:w="7031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створена (сопствена) количина отпада пословних субјеката у 2017. години која је прерађена или одстрањена.</w:t>
            </w:r>
          </w:p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Количина сопственог отпада у колони 7 овог упитника мора бити једнака количини отпада у колони 6 Упитника о створеном отпаду (ОТ-С).</w:t>
            </w: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Залихе отпада из претходне године</w:t>
            </w:r>
          </w:p>
        </w:tc>
        <w:tc>
          <w:tcPr>
            <w:tcW w:w="7031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преузета с намером да се преради или одстрани а била је на привременом складишту у претходној години.</w:t>
            </w:r>
          </w:p>
        </w:tc>
      </w:tr>
      <w:tr>
        <w:tc>
          <w:tcPr>
            <w:tcW w:w="7031" w:type="dxa"/>
            <w:gridSpan w:val="3"/>
            <w:shd w:val="clear" w:color="auto" w:fill="C0C0C0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Поступање са створеним (прикупљеним) и преузетим отпадом</w:t>
            </w:r>
          </w:p>
        </w:tc>
      </w:tr>
      <w:tr>
        <w:tc>
          <w:tcPr>
            <w:tcW w:w="90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4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Поново искоришћен отпад</w:t>
            </w:r>
          </w:p>
        </w:tc>
        <w:tc>
          <w:tcPr>
            <w:tcW w:w="7031" w:type="dxa"/>
            <w:vMerge w:val="restart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која је у 2017. години прерађена једним од (R) поступака.</w:t>
            </w:r>
          </w:p>
        </w:tc>
      </w:tr>
      <w:tr>
        <w:tc>
          <w:tcPr>
            <w:tcW w:w="90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24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(R) ознака поступка</w:t>
            </w:r>
          </w:p>
        </w:tc>
        <w:tc>
          <w:tcPr>
            <w:tcW w:w="7031" w:type="dxa"/>
            <w:vMerge w:val="continue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</w:p>
        </w:tc>
      </w:tr>
      <w:tr>
        <w:tc>
          <w:tcPr>
            <w:tcW w:w="90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49" w:type="dxa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Одложен отпад</w:t>
            </w:r>
          </w:p>
        </w:tc>
        <w:tc>
          <w:tcPr>
            <w:tcW w:w="7031" w:type="dxa"/>
            <w:vMerge w:val="restart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која је у 2017. години одложена једним од (D) поступака.</w:t>
            </w:r>
          </w:p>
          <w:p>
            <w:pPr>
              <w:spacing w:lineRule="auto" w:line="235" w:before="20" w:after="20"/>
              <w:jc w:val="both"/>
              <w:rPr>
                <w:sz w:val="16"/>
              </w:rPr>
            </w:pP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ц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(D) ознака поступка</w:t>
            </w:r>
          </w:p>
        </w:tc>
        <w:tc>
          <w:tcPr>
            <w:tcW w:w="7031" w:type="dxa"/>
            <w:vMerge w:val="continue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Испоручено другим пословним субјектима за даљи третман</w:t>
            </w:r>
          </w:p>
        </w:tc>
        <w:tc>
          <w:tcPr>
            <w:tcW w:w="7031" w:type="dxa"/>
            <w:vMerge w:val="restart"/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која је у 2017. години испоручена другим пословним субјектима за даљи третман било да су они у земљи или иностранству, са одговарајућом шифром испоруке.</w:t>
            </w:r>
          </w:p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За отпад извезен у неку од земаља ЕУ користити ознаку 1; за отпад извезен ван земаља ЕУ користити ознаку 2; а за отпад испоручен другом пословном субјекту у земљи користити ознаку 3.</w:t>
            </w: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Шифра испоруке</w:t>
            </w:r>
          </w:p>
        </w:tc>
        <w:tc>
          <w:tcPr>
            <w:tcW w:w="7031" w:type="dxa"/>
            <w:vMerge w:val="continue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</w:p>
        </w:tc>
      </w:tr>
      <w:tr>
        <w:tc>
          <w:tcPr>
            <w:tcW w:w="90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49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Отпад на крају године у привременом складишту</w:t>
            </w:r>
          </w:p>
        </w:tc>
        <w:tc>
          <w:tcPr>
            <w:tcW w:w="7031" w:type="dxa"/>
            <w:tcBorders>
              <w:bottom w:val="single" w:sz="4" w:space="0" w:shadow="0" w:frame="0"/>
            </w:tcBorders>
          </w:tcPr>
          <w:p>
            <w:pPr>
              <w:spacing w:lineRule="auto" w:line="235" w:before="20" w:after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количина отпада која је у 2017. години остала на привременом складишту јер из различитих разлога није прерађена, одложена нити испоручена другим пословним субјектима за даљи третман.</w:t>
            </w:r>
          </w:p>
        </w:tc>
      </w:tr>
    </w:tbl>
    <w:p>
      <w:pPr>
        <w:spacing w:lineRule="auto" w:line="235"/>
        <w:jc w:val="both"/>
      </w:pPr>
    </w:p>
    <w:p>
      <w:pPr>
        <w:spacing w:lineRule="auto" w:line="235"/>
        <w:jc w:val="both"/>
      </w:pPr>
      <w:r>
        <w:t>Табела 2: Начини искоришћења и одлагања отпада</w:t>
      </w:r>
    </w:p>
    <w:tbl>
      <w:tblPr>
        <w:tblStyle w:val="T2"/>
        <w:tblW w:w="0" w:type="auto"/>
        <w:tblInd w:w="57" w:type="dxa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R1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Коришћење отпада првенствено као горива или другог средства за производњу енергије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R2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Регенерација/прерада растварача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R3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Рециклирање/прерада органских материја које се не користе као растварачи (укључујући компостирање и остале процесе биолошке трансформације)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R4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Рециклирање/прерада метала и једињења метала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R5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Рециклирање/прерада других неорганских материјала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R6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Регенерација киселина или база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R7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Обнављање компонената које се користе за смањење загађења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R8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Обнављање компонената катализатора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R9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Рерафинација или други начин поновног искоришћења отпадног уља</w:t>
            </w:r>
          </w:p>
        </w:tc>
      </w:tr>
      <w:t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R10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 xml:space="preserve">Излагање отпада процесима у земљишту који су од користи за пољопривреду или еколошки напредак (укључено затрпавање/насипање – </w:t>
            </w:r>
            <w:r>
              <w:rPr>
                <w:i w:val="1"/>
                <w:sz w:val="16"/>
              </w:rPr>
              <w:t>backfilling</w:t>
            </w:r>
            <w:r>
              <w:rPr>
                <w:sz w:val="16"/>
              </w:rPr>
              <w:t>)</w:t>
            </w:r>
          </w:p>
        </w:tc>
      </w:tr>
      <w:tr>
        <w:trPr>
          <w:trHeight w:hRule="atLeast" w:val="152"/>
        </w:trPr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R11</w:t>
            </w:r>
          </w:p>
        </w:tc>
        <w:tc>
          <w:tcPr>
            <w:tcW w:w="78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Коришћење отпада добијеног било којом операцијом од R1 до R10</w:t>
            </w:r>
          </w:p>
        </w:tc>
      </w:tr>
    </w:tbl>
    <w:p>
      <w:pPr>
        <w:spacing w:lineRule="auto" w:line="235"/>
        <w:jc w:val="both"/>
        <w:rPr>
          <w:sz w:val="16"/>
        </w:rPr>
      </w:pPr>
    </w:p>
    <w:tbl>
      <w:tblPr>
        <w:tblStyle w:val="T2"/>
        <w:tblW w:w="0" w:type="auto"/>
        <w:tblInd w:w="57" w:type="dxa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D1 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Депоновање отпада у земљиште или на земљиште (нпр. депоније и др.)</w:t>
            </w:r>
          </w:p>
        </w:tc>
      </w:tr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D2 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Излагање отпада процесима у земљишту (нпр. биодеградација течног отпада или муљева у земљишту)</w:t>
            </w:r>
          </w:p>
        </w:tc>
      </w:tr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D3 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Дубоко убризгавање (нпр. депоновање врста отпада које се пумпама могу убризгавати у бунаре, напуштене руднике соли или природне депое)</w:t>
            </w:r>
          </w:p>
        </w:tc>
      </w:tr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D4 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Површинско депоновање (нпр. депоновање течних или муљевитих врста отпада у јаме, базене или лагуне итд.)</w:t>
            </w:r>
          </w:p>
        </w:tc>
      </w:tr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D5 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Одлагање отпада у посебно пројектоване депоније (нпр. одлагање отпада у линеарно поређане покривене касете, међусобно изоловане и изоловане од животне средине)</w:t>
            </w:r>
          </w:p>
        </w:tc>
      </w:tr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D6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Испуштање у воде, осим у мора/океане</w:t>
            </w:r>
          </w:p>
        </w:tc>
      </w:tr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D10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Спаљивање (инсинерација) на тлу</w:t>
            </w:r>
          </w:p>
        </w:tc>
      </w:tr>
      <w:tr>
        <w:tc>
          <w:tcPr>
            <w:tcW w:w="14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D12 </w:t>
            </w:r>
          </w:p>
        </w:tc>
        <w:tc>
          <w:tcPr>
            <w:tcW w:w="79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20" w:after="20"/>
              <w:rPr>
                <w:sz w:val="16"/>
              </w:rPr>
            </w:pPr>
            <w:r>
              <w:rPr>
                <w:sz w:val="16"/>
              </w:rPr>
              <w:t>Трајно складиштење (нпр. смештај контејнера у рудник)</w:t>
            </w:r>
          </w:p>
        </w:tc>
      </w:tr>
    </w:tbl>
    <w:p>
      <w:pPr>
        <w:jc w:val="both"/>
        <w:rPr>
          <w:sz w:val="2"/>
        </w:rPr>
      </w:pPr>
    </w:p>
    <w:p>
      <w:pPr>
        <w:jc w:val="both"/>
        <w:rPr>
          <w:sz w:val="2"/>
        </w:rPr>
      </w:pPr>
    </w:p>
    <w:p>
      <w:pPr>
        <w:jc w:val="both"/>
        <w:rPr>
          <w:sz w:val="2"/>
        </w:rPr>
      </w:pPr>
    </w:p>
    <w:p>
      <w:pPr>
        <w:spacing w:lineRule="auto" w:line="252" w:before="20"/>
        <w:jc w:val="both"/>
        <w:rPr>
          <w:b w:val="1"/>
        </w:rPr>
      </w:pPr>
      <w:r>
        <w:rPr>
          <w:b w:val="1"/>
        </w:rPr>
        <w:t>Карактеристике постројења за третман отпада за 201</w:t>
      </w:r>
      <w:r>
        <w:rPr>
          <w:b w:val="1"/>
        </w:rPr>
        <w:t>7</w:t>
      </w:r>
      <w:r>
        <w:rPr>
          <w:b w:val="1"/>
        </w:rPr>
        <w:t>. годину –</w:t>
      </w:r>
      <w:r>
        <w:t xml:space="preserve"> </w:t>
      </w:r>
      <w:r>
        <w:rPr>
          <w:b w:val="1"/>
        </w:rPr>
        <w:t>Упитник ОТ-К / 201</w:t>
      </w:r>
      <w:r>
        <w:rPr>
          <w:b w:val="1"/>
        </w:rPr>
        <w:t>7</w:t>
      </w:r>
      <w:r>
        <w:rPr>
          <w:b w:val="1"/>
        </w:rPr>
        <w:t>.</w:t>
      </w:r>
    </w:p>
    <w:p>
      <w:pPr>
        <w:spacing w:lineRule="auto" w:line="252" w:before="20"/>
        <w:jc w:val="both"/>
        <w:rPr>
          <w:b w:val="1"/>
        </w:rPr>
      </w:pPr>
    </w:p>
    <w:p>
      <w:pPr>
        <w:spacing w:lineRule="auto" w:line="252" w:before="20"/>
        <w:jc w:val="both"/>
        <w:rPr>
          <w:b w:val="1"/>
        </w:rPr>
      </w:pPr>
      <w:r>
        <w:rPr>
          <w:b w:val="1"/>
        </w:rPr>
        <w:t>Табела 1. Карактеристике постројења за третман отпада у 201</w:t>
      </w:r>
      <w:r>
        <w:rPr>
          <w:b w:val="1"/>
        </w:rPr>
        <w:t>7</w:t>
      </w:r>
      <w:r>
        <w:rPr>
          <w:b w:val="1"/>
        </w:rPr>
        <w:t>. години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588"/>
        </w:trPr>
        <w:tc>
          <w:tcPr>
            <w:tcW w:w="468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spacing w:lineRule="auto" w:line="252" w:before="20"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>Врсте постројења према типу третмана</w:t>
            </w:r>
          </w:p>
        </w:tc>
        <w:tc>
          <w:tcPr>
            <w:tcW w:w="1620" w:type="dxa"/>
            <w:vAlign w:val="center"/>
          </w:tcPr>
          <w:p>
            <w:pPr>
              <w:spacing w:lineRule="auto" w:line="252" w:before="20"/>
              <w:jc w:val="center"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 xml:space="preserve">Број постројења </w:t>
            </w:r>
            <w:r>
              <w:rPr>
                <w:b w:val="1"/>
                <w:color w:val="000000"/>
                <w:sz w:val="16"/>
              </w:rPr>
              <w:t>или депонија</w:t>
            </w:r>
          </w:p>
        </w:tc>
        <w:tc>
          <w:tcPr>
            <w:tcW w:w="1556" w:type="dxa"/>
            <w:vAlign w:val="center"/>
          </w:tcPr>
          <w:p>
            <w:pPr>
              <w:spacing w:lineRule="auto" w:line="252" w:before="20"/>
              <w:jc w:val="center"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 xml:space="preserve">Капацитет </w:t>
            </w:r>
            <w:r>
              <w:rPr>
                <w:b w:val="1"/>
                <w:color w:val="000000"/>
                <w:sz w:val="16"/>
              </w:rPr>
              <w:t>постројења за термички третман отпада или депоније</w:t>
            </w:r>
          </w:p>
        </w:tc>
        <w:tc>
          <w:tcPr>
            <w:tcW w:w="1737" w:type="dxa"/>
            <w:vAlign w:val="center"/>
          </w:tcPr>
          <w:p>
            <w:pPr>
              <w:spacing w:lineRule="auto" w:line="252" w:before="20"/>
              <w:jc w:val="center"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>Преостали капацитет депоније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2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620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556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737" w:type="dxa"/>
            <w:tcBorders>
              <w:bottom w:val="single" w:sz="4" w:space="0" w:shadow="0" w:frame="0"/>
            </w:tcBorders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040" w:type="dxa"/>
            <w:gridSpan w:val="2"/>
          </w:tcPr>
          <w:p>
            <w:pPr>
              <w:spacing w:lineRule="auto" w:line="252" w:before="20"/>
              <w:rPr>
                <w:sz w:val="16"/>
              </w:rPr>
            </w:pPr>
            <w:r>
              <w:rPr>
                <w:sz w:val="16"/>
              </w:rPr>
              <w:t xml:space="preserve">За термички третман отпада првенствено као горива или другог средства за производњу енергије </w:t>
            </w:r>
            <w:r>
              <w:rPr>
                <w:color w:val="000000"/>
                <w:sz w:val="16"/>
              </w:rPr>
              <w:t>(t/годишње)</w:t>
            </w:r>
          </w:p>
        </w:tc>
        <w:tc>
          <w:tcPr>
            <w:tcW w:w="162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556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737" w:type="dxa"/>
            <w:shd w:val="clear" w:color="auto" w:fill="D9D9D9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wAfter w:w="0" w:type="dxa"/>
          <w:trHeight w:hRule="atLeast" w:val="228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040" w:type="dxa"/>
            <w:gridSpan w:val="2"/>
          </w:tcPr>
          <w:p>
            <w:pPr>
              <w:spacing w:lineRule="auto" w:line="252" w:before="20"/>
              <w:rPr>
                <w:sz w:val="16"/>
              </w:rPr>
            </w:pPr>
            <w:r>
              <w:rPr>
                <w:sz w:val="16"/>
              </w:rPr>
              <w:t xml:space="preserve">За термички третман отпада отпада ради одлагања </w:t>
            </w:r>
          </w:p>
          <w:p>
            <w:pPr>
              <w:spacing w:lineRule="auto" w:line="252" w:before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(t/годишње)</w:t>
            </w:r>
          </w:p>
        </w:tc>
        <w:tc>
          <w:tcPr>
            <w:tcW w:w="162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556" w:type="dxa"/>
            <w:tcBorders>
              <w:bottom w:val="single" w:sz="4" w:space="0" w:shadow="0" w:frame="0"/>
            </w:tcBorders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737" w:type="dxa"/>
            <w:tcBorders>
              <w:bottom w:val="single" w:sz="4" w:space="0" w:shadow="0" w:frame="0"/>
            </w:tcBorders>
            <w:shd w:val="clear" w:color="auto" w:fill="D9D9D9"/>
          </w:tcPr>
          <w:p>
            <w:pPr>
              <w:spacing w:lineRule="auto" w:line="252"/>
              <w:jc w:val="center"/>
            </w:pPr>
            <w:r>
              <w:rPr>
                <w:sz w:val="16"/>
              </w:rPr>
              <w:t>x</w:t>
            </w:r>
          </w:p>
        </w:tc>
      </w:tr>
      <w:tr>
        <w:trPr>
          <w:wAfter w:w="0" w:type="dxa"/>
        </w:trPr>
        <w:tc>
          <w:tcPr>
            <w:tcW w:w="468" w:type="dxa"/>
            <w:tcBorders>
              <w:bottom w:val="single" w:sz="4" w:space="0" w:shadow="0" w:frame="0"/>
            </w:tcBorders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040" w:type="dxa"/>
            <w:gridSpan w:val="2"/>
            <w:tcBorders>
              <w:bottom w:val="single" w:sz="4" w:space="0" w:shadow="0" w:frame="0"/>
            </w:tcBorders>
          </w:tcPr>
          <w:p>
            <w:pPr>
              <w:spacing w:lineRule="auto" w:line="252" w:before="20"/>
              <w:rPr>
                <w:sz w:val="16"/>
              </w:rPr>
            </w:pPr>
            <w:r>
              <w:rPr>
                <w:color w:val="000000"/>
                <w:sz w:val="16"/>
              </w:rPr>
              <w:t>За поновно искоришћење отпада – осим затрпавања/насипања (t/годишње)</w:t>
            </w:r>
          </w:p>
        </w:tc>
        <w:tc>
          <w:tcPr>
            <w:tcW w:w="1620" w:type="dxa"/>
            <w:tcBorders>
              <w:bottom w:val="single" w:sz="4" w:space="0" w:shadow="0" w:frame="0"/>
            </w:tcBorders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737" w:type="dxa"/>
            <w:shd w:val="clear" w:color="auto" w:fill="D9D9D9"/>
          </w:tcPr>
          <w:p>
            <w:pPr>
              <w:spacing w:lineRule="auto" w:line="252"/>
              <w:jc w:val="center"/>
            </w:pPr>
            <w:r>
              <w:rPr>
                <w:sz w:val="16"/>
              </w:rPr>
              <w:t>x</w:t>
            </w:r>
          </w:p>
        </w:tc>
      </w:tr>
      <w:tr>
        <w:trPr>
          <w:wAfter w:w="0" w:type="dxa"/>
        </w:trPr>
        <w:tc>
          <w:tcPr>
            <w:tcW w:w="468" w:type="dxa"/>
            <w:vMerge w:val="restart"/>
            <w:vAlign w:val="center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005" w:type="dxa"/>
            <w:vMerge w:val="restart"/>
            <w:vAlign w:val="center"/>
          </w:tcPr>
          <w:p>
            <w:pPr>
              <w:spacing w:lineRule="auto" w:line="252" w:before="20"/>
              <w:rPr>
                <w:sz w:val="16"/>
              </w:rPr>
            </w:pPr>
            <w:r>
              <w:rPr>
                <w:sz w:val="16"/>
              </w:rPr>
              <w:t>Депоније за:</w:t>
            </w:r>
          </w:p>
        </w:tc>
        <w:tc>
          <w:tcPr>
            <w:tcW w:w="2035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Опасни отпад </w:t>
            </w:r>
            <w:r>
              <w:rPr>
                <w:b w:val="1"/>
                <w:color w:val="000000"/>
                <w:sz w:val="16"/>
              </w:rPr>
              <w:t>(m³)</w:t>
            </w:r>
          </w:p>
        </w:tc>
        <w:tc>
          <w:tcPr>
            <w:tcW w:w="162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556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737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68" w:type="dxa"/>
            <w:vMerge w:val="continue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3005" w:type="dxa"/>
            <w:vMerge w:val="continue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2035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Неопасни отпад </w:t>
            </w:r>
            <w:r>
              <w:rPr>
                <w:b w:val="1"/>
                <w:color w:val="000000"/>
                <w:sz w:val="16"/>
              </w:rPr>
              <w:t>(m³)</w:t>
            </w:r>
          </w:p>
        </w:tc>
        <w:tc>
          <w:tcPr>
            <w:tcW w:w="162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556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737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68" w:type="dxa"/>
            <w:vMerge w:val="continue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3005" w:type="dxa"/>
            <w:vMerge w:val="continue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2035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Инертни отпад </w:t>
            </w:r>
            <w:r>
              <w:rPr>
                <w:b w:val="1"/>
                <w:color w:val="000000"/>
                <w:sz w:val="16"/>
              </w:rPr>
              <w:t>(m³)</w:t>
            </w:r>
          </w:p>
        </w:tc>
        <w:tc>
          <w:tcPr>
            <w:tcW w:w="162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556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1737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</w:tr>
    </w:tbl>
    <w:p>
      <w:pPr>
        <w:spacing w:lineRule="auto" w:line="252" w:before="20"/>
        <w:jc w:val="both"/>
        <w:rPr>
          <w:sz w:val="16"/>
        </w:rPr>
      </w:pPr>
    </w:p>
    <w:p>
      <w:pPr>
        <w:spacing w:lineRule="auto" w:line="252" w:before="20"/>
        <w:jc w:val="both"/>
        <w:rPr>
          <w:sz w:val="16"/>
        </w:rPr>
      </w:pPr>
    </w:p>
    <w:p>
      <w:pPr>
        <w:spacing w:lineRule="auto" w:line="252"/>
        <w:rPr>
          <w:rFonts w:ascii="Arial Bold" w:hAnsi="Arial Bold"/>
          <w:b w:val="1"/>
          <w:vertAlign w:val="superscript"/>
        </w:rPr>
      </w:pPr>
      <w:r>
        <w:rPr>
          <w:rFonts w:ascii="Arial Bold" w:hAnsi="Arial Bold"/>
          <w:b w:val="1"/>
        </w:rPr>
        <w:t>Упутство за попу</w:t>
      </w:r>
      <w:r>
        <w:rPr>
          <w:rFonts w:ascii="Arial Bold" w:hAnsi="Arial Bold"/>
          <w:b w:val="1"/>
        </w:rPr>
        <w:t>њ</w:t>
      </w:r>
      <w:r>
        <w:rPr>
          <w:rFonts w:ascii="Arial Bold" w:hAnsi="Arial Bold"/>
          <w:b w:val="1"/>
        </w:rPr>
        <w:t>ава</w:t>
      </w:r>
      <w:r>
        <w:rPr>
          <w:rFonts w:ascii="Arial Bold" w:hAnsi="Arial Bold"/>
          <w:b w:val="1"/>
        </w:rPr>
        <w:t>њ</w:t>
      </w:r>
      <w:r>
        <w:rPr>
          <w:rFonts w:ascii="Arial Bold" w:hAnsi="Arial Bold"/>
          <w:b w:val="1"/>
        </w:rPr>
        <w:t xml:space="preserve">е </w:t>
      </w:r>
      <w:r>
        <w:rPr>
          <w:b w:val="1"/>
        </w:rPr>
        <w:t>У</w:t>
      </w:r>
      <w:r>
        <w:rPr>
          <w:rFonts w:ascii="Arial Bold" w:hAnsi="Arial Bold"/>
          <w:b w:val="1"/>
        </w:rPr>
        <w:t xml:space="preserve">питника о </w:t>
      </w:r>
      <w:r>
        <w:rPr>
          <w:rFonts w:ascii="Arial Bold" w:hAnsi="Arial Bold"/>
          <w:b w:val="1"/>
        </w:rPr>
        <w:t>карактеристикама постројења за третман отпада (ОТ-К)</w:t>
      </w:r>
      <w:r>
        <w:rPr>
          <w:rFonts w:ascii="Arial Bold" w:hAnsi="Arial Bold"/>
          <w:b w:val="1"/>
          <w:vertAlign w:val="superscript"/>
        </w:rPr>
        <w:t>1)</w:t>
      </w:r>
    </w:p>
    <w:p>
      <w:pPr>
        <w:spacing w:lineRule="auto" w:line="252"/>
        <w:ind w:left="720"/>
        <w:rPr>
          <w:sz w:val="22"/>
        </w:rPr>
      </w:pPr>
    </w:p>
    <w:p>
      <w:pPr>
        <w:spacing w:lineRule="auto" w:line="252"/>
        <w:jc w:val="both"/>
        <w:rPr>
          <w:sz w:val="16"/>
        </w:rPr>
      </w:pPr>
      <w:r>
        <w:rPr>
          <w:sz w:val="16"/>
        </w:rPr>
        <w:t xml:space="preserve">Путем Упитника о карактеристикама постројења за третман отпада (ОТ-К) пословни субјекти који имају одговарајућу дозволу за третман или одлагање отпада извештавају о броју и капацитетима постројења у 2017. години. </w:t>
      </w:r>
    </w:p>
    <w:p>
      <w:pPr>
        <w:spacing w:lineRule="auto" w:line="252" w:before="20"/>
        <w:jc w:val="both"/>
        <w:rPr>
          <w:sz w:val="16"/>
        </w:rPr>
      </w:pPr>
    </w:p>
    <w:p>
      <w:pPr>
        <w:spacing w:lineRule="auto" w:line="252" w:before="20"/>
        <w:jc w:val="both"/>
        <w:rPr>
          <w:sz w:val="16"/>
        </w:rPr>
      </w:pPr>
      <w:r>
        <w:rPr>
          <w:sz w:val="16"/>
        </w:rPr>
        <w:t>Табела 1. Карактеристике постројења за третман отпада у 2017. години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68" w:type="dxa"/>
            <w:shd w:val="clear" w:color="auto" w:fill="D9D9D9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2970" w:type="dxa"/>
            <w:shd w:val="clear" w:color="auto" w:fill="D9D9D9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6983" w:type="dxa"/>
            <w:shd w:val="clear" w:color="auto" w:fill="D9D9D9"/>
          </w:tcPr>
          <w:p>
            <w:pPr>
              <w:numPr>
                <w:ilvl w:val="0"/>
                <w:numId w:val="3"/>
              </w:numPr>
              <w:spacing w:lineRule="auto" w:line="252" w:before="20"/>
              <w:jc w:val="both"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>Постројењ</w:t>
            </w:r>
            <w:r>
              <w:rPr>
                <w:b w:val="1"/>
                <w:color w:val="000000"/>
                <w:sz w:val="16"/>
              </w:rPr>
              <w:t>а</w:t>
            </w:r>
            <w:r>
              <w:rPr>
                <w:b w:val="1"/>
                <w:color w:val="000000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з</w:t>
            </w:r>
            <w:r>
              <w:rPr>
                <w:b w:val="1"/>
                <w:sz w:val="16"/>
              </w:rPr>
              <w:t xml:space="preserve">а </w:t>
            </w:r>
            <w:r>
              <w:rPr>
                <w:b w:val="1"/>
                <w:sz w:val="16"/>
              </w:rPr>
              <w:t>термички третман</w:t>
            </w:r>
            <w:r>
              <w:rPr>
                <w:b w:val="1"/>
                <w:sz w:val="16"/>
              </w:rPr>
              <w:t xml:space="preserve"> отпада првенствено као горива или другог </w:t>
            </w:r>
            <w:r>
              <w:rPr>
                <w:b w:val="1"/>
                <w:sz w:val="16"/>
              </w:rPr>
              <w:t xml:space="preserve">средства за производњу енергије 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Број постројења </w:t>
            </w:r>
          </w:p>
        </w:tc>
        <w:tc>
          <w:tcPr>
            <w:tcW w:w="6983" w:type="dxa"/>
          </w:tcPr>
          <w:p>
            <w:pPr>
              <w:spacing w:lineRule="auto" w:line="252" w:before="20"/>
              <w:ind w:left="57" w:right="57"/>
              <w:jc w:val="both"/>
              <w:rPr>
                <w:b w:val="1"/>
                <w:sz w:val="16"/>
              </w:rPr>
            </w:pPr>
            <w:r>
              <w:rPr>
                <w:sz w:val="16"/>
              </w:rPr>
              <w:t xml:space="preserve">Уписује се </w:t>
            </w:r>
            <w:r>
              <w:rPr>
                <w:b w:val="1"/>
                <w:sz w:val="16"/>
              </w:rPr>
              <w:t>број постројења</w:t>
            </w:r>
            <w:r>
              <w:rPr>
                <w:sz w:val="16"/>
              </w:rPr>
              <w:t xml:space="preserve"> (стационарних или мобилних техничких јединица) за инсинерацију (спаљивање) или коинсинерацију (суспаљивање) </w:t>
            </w:r>
            <w:r>
              <w:rPr>
                <w:b w:val="1"/>
                <w:sz w:val="16"/>
              </w:rPr>
              <w:t>која користе отпад као основно или додатно гориво за добијање енергије.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Капацитет (t/годишње)</w:t>
            </w:r>
          </w:p>
        </w:tc>
        <w:tc>
          <w:tcPr>
            <w:tcW w:w="6983" w:type="dxa"/>
          </w:tcPr>
          <w:p>
            <w:pPr>
              <w:spacing w:lineRule="auto" w:line="252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Уписује се </w:t>
            </w:r>
            <w:r>
              <w:rPr>
                <w:b w:val="1"/>
                <w:sz w:val="16"/>
              </w:rPr>
              <w:t>оперативни капацитет</w:t>
            </w:r>
            <w:r>
              <w:rPr>
                <w:sz w:val="16"/>
              </w:rPr>
              <w:t xml:space="preserve"> </w:t>
            </w:r>
            <w:r>
              <w:rPr>
                <w:b w:val="1"/>
                <w:sz w:val="16"/>
              </w:rPr>
              <w:t>у тонама годишње</w:t>
            </w:r>
            <w:r>
              <w:rPr>
                <w:sz w:val="16"/>
              </w:rPr>
              <w:t xml:space="preserve"> који не треба да буде већи од номиналног капацитета који се налази у дозволи за управљање отпадом а обухвата збир капацитета свих ложишта постројења у складу са спецификацијом произвођача.</w:t>
            </w:r>
          </w:p>
          <w:p>
            <w:pPr>
              <w:spacing w:lineRule="auto" w:line="252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>Тамо где је оперативни капацитет већи од оног који се налази у дозволи за управљање отпадом, количина за коју се поседује дозвола треба да буде извештавана.</w:t>
            </w:r>
          </w:p>
          <w:p>
            <w:pPr>
              <w:spacing w:lineRule="auto" w:line="252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 случају коинсинерације уписује се само оперативни капацитет резервисан (намењен) за улаз отпада а не укупни капацитет постројења за спаљивање. Ако не постоји податак о капацитету за коинсинерацију, податак о укупном отпаду који је био енергетски искоришћен за референтну годину може бити уписан.  </w:t>
            </w:r>
          </w:p>
        </w:tc>
      </w:tr>
      <w:tr>
        <w:trPr>
          <w:wAfter w:w="0" w:type="dxa"/>
        </w:trPr>
        <w:tc>
          <w:tcPr>
            <w:tcW w:w="468" w:type="dxa"/>
            <w:shd w:val="clear" w:color="auto" w:fill="D9D9D9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</w:p>
        </w:tc>
        <w:tc>
          <w:tcPr>
            <w:tcW w:w="2970" w:type="dxa"/>
            <w:shd w:val="clear" w:color="auto" w:fill="D9D9D9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6983" w:type="dxa"/>
            <w:shd w:val="clear" w:color="auto" w:fill="D9D9D9"/>
          </w:tcPr>
          <w:p>
            <w:pPr>
              <w:numPr>
                <w:ilvl w:val="0"/>
                <w:numId w:val="3"/>
              </w:numPr>
              <w:spacing w:lineRule="auto" w:line="252" w:before="20"/>
              <w:jc w:val="both"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 xml:space="preserve">Постројење </w:t>
            </w:r>
            <w:r>
              <w:rPr>
                <w:b w:val="1"/>
                <w:sz w:val="16"/>
              </w:rPr>
              <w:t>з</w:t>
            </w:r>
            <w:r>
              <w:rPr>
                <w:b w:val="1"/>
                <w:sz w:val="16"/>
              </w:rPr>
              <w:t xml:space="preserve">а </w:t>
            </w:r>
            <w:r>
              <w:rPr>
                <w:b w:val="1"/>
                <w:sz w:val="16"/>
              </w:rPr>
              <w:t>термички третман ради одлагања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Број постројења</w:t>
            </w:r>
          </w:p>
        </w:tc>
        <w:tc>
          <w:tcPr>
            <w:tcW w:w="6983" w:type="dxa"/>
          </w:tcPr>
          <w:p>
            <w:pPr>
              <w:spacing w:lineRule="auto" w:line="252" w:before="20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Уписује се </w:t>
            </w:r>
            <w:r>
              <w:rPr>
                <w:b w:val="1"/>
                <w:sz w:val="16"/>
              </w:rPr>
              <w:t>број постројења</w:t>
            </w:r>
            <w:r>
              <w:rPr>
                <w:sz w:val="16"/>
              </w:rPr>
              <w:t xml:space="preserve"> – (стационарних или мобилних техничких јединица) за инсинерацију (спаљивање) или коинсинерацију (суспаљивање) која користе отпад као основно или додатно гориво, </w:t>
            </w:r>
            <w:r>
              <w:rPr>
                <w:b w:val="1"/>
                <w:sz w:val="16"/>
              </w:rPr>
              <w:t>при чему се отпад термички обрађује ради одлагања.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Капацитет (t/годишње)</w:t>
            </w:r>
          </w:p>
        </w:tc>
        <w:tc>
          <w:tcPr>
            <w:tcW w:w="6983" w:type="dxa"/>
          </w:tcPr>
          <w:p>
            <w:pPr>
              <w:spacing w:lineRule="auto" w:line="252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Уписује се </w:t>
            </w:r>
            <w:r>
              <w:rPr>
                <w:b w:val="1"/>
                <w:sz w:val="16"/>
              </w:rPr>
              <w:t>оперативни капацитет</w:t>
            </w:r>
            <w:r>
              <w:rPr>
                <w:sz w:val="16"/>
              </w:rPr>
              <w:t xml:space="preserve"> </w:t>
            </w:r>
            <w:r>
              <w:rPr>
                <w:b w:val="1"/>
                <w:sz w:val="16"/>
              </w:rPr>
              <w:t>у тонама годишње</w:t>
            </w:r>
            <w:r>
              <w:rPr>
                <w:sz w:val="16"/>
              </w:rPr>
              <w:t xml:space="preserve"> који не треба да буде већи од номиналног капацитета који се налази у дозволи за управљање отпадом а обухвата збир капацитета свих ложишта постројења у складу са спецификацијом произвођача.</w:t>
            </w:r>
          </w:p>
          <w:p>
            <w:pPr>
              <w:spacing w:lineRule="auto" w:line="252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>Тамо где је оперативни капацитет већи од оног који се налази у дозволи за управљање отпадом, количина за коју се поседује дозвола треба да буде извештавана.</w:t>
            </w:r>
          </w:p>
          <w:p>
            <w:pPr>
              <w:spacing w:lineRule="auto" w:line="252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 случају коинсинерације уписује се само оперативни капацитет резервисан (намењен) за улаз отпада а не укупни капацитет постројења за спаљивање. Ако не постоји податак о капацитету за коинсинерацију, податак о укупном отпаду који је био енергетски искоришћен за референтну годину може бити уписан.  </w:t>
            </w:r>
          </w:p>
        </w:tc>
      </w:tr>
      <w:tr>
        <w:trPr>
          <w:wAfter w:w="0" w:type="dxa"/>
        </w:trPr>
        <w:tc>
          <w:tcPr>
            <w:tcW w:w="468" w:type="dxa"/>
            <w:shd w:val="clear" w:color="auto" w:fill="D9D9D9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</w:p>
        </w:tc>
        <w:tc>
          <w:tcPr>
            <w:tcW w:w="2970" w:type="dxa"/>
            <w:shd w:val="clear" w:color="auto" w:fill="D9D9D9"/>
          </w:tcPr>
          <w:p>
            <w:pPr>
              <w:spacing w:lineRule="auto" w:line="252" w:before="20"/>
              <w:jc w:val="both"/>
              <w:rPr>
                <w:sz w:val="16"/>
              </w:rPr>
            </w:pPr>
          </w:p>
        </w:tc>
        <w:tc>
          <w:tcPr>
            <w:tcW w:w="6983" w:type="dxa"/>
            <w:shd w:val="clear" w:color="auto" w:fill="D9D9D9"/>
          </w:tcPr>
          <w:p>
            <w:pPr>
              <w:numPr>
                <w:ilvl w:val="0"/>
                <w:numId w:val="3"/>
              </w:numPr>
              <w:spacing w:lineRule="auto" w:line="252" w:before="20"/>
              <w:jc w:val="both"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>Постројење за поновно и</w:t>
            </w:r>
            <w:r>
              <w:rPr>
                <w:b w:val="1"/>
                <w:color w:val="000000"/>
                <w:sz w:val="16"/>
              </w:rPr>
              <w:t xml:space="preserve">скоришћење отпада – </w:t>
            </w:r>
            <w:r>
              <w:rPr>
                <w:b w:val="1"/>
                <w:color w:val="000000"/>
                <w:sz w:val="16"/>
              </w:rPr>
              <w:t xml:space="preserve">осим </w:t>
            </w:r>
            <w:r>
              <w:rPr>
                <w:b w:val="1"/>
                <w:color w:val="000000"/>
                <w:sz w:val="16"/>
              </w:rPr>
              <w:t>затр</w:t>
            </w:r>
            <w:r>
              <w:rPr>
                <w:b w:val="1"/>
                <w:color w:val="000000"/>
                <w:sz w:val="16"/>
              </w:rPr>
              <w:t>павањ</w:t>
            </w:r>
            <w:r>
              <w:rPr>
                <w:b w:val="1"/>
                <w:color w:val="000000"/>
                <w:sz w:val="16"/>
              </w:rPr>
              <w:t>а</w:t>
            </w:r>
            <w:r>
              <w:rPr>
                <w:b w:val="1"/>
                <w:color w:val="000000"/>
                <w:sz w:val="16"/>
              </w:rPr>
              <w:t>/насипањ</w:t>
            </w:r>
            <w:r>
              <w:rPr>
                <w:b w:val="1"/>
                <w:color w:val="000000"/>
                <w:sz w:val="16"/>
              </w:rPr>
              <w:t>а</w:t>
            </w:r>
            <w:r>
              <w:rPr>
                <w:b w:val="1"/>
                <w:color w:val="000000"/>
                <w:sz w:val="16"/>
              </w:rPr>
              <w:t xml:space="preserve"> </w:t>
            </w:r>
            <w:r>
              <w:rPr>
                <w:b w:val="1"/>
                <w:color w:val="000000"/>
                <w:sz w:val="16"/>
              </w:rPr>
              <w:t>(</w:t>
            </w:r>
            <w:r>
              <w:rPr>
                <w:b w:val="1"/>
                <w:color w:val="000000"/>
                <w:sz w:val="16"/>
              </w:rPr>
              <w:t>t</w:t>
            </w:r>
            <w:r>
              <w:rPr>
                <w:b w:val="1"/>
                <w:color w:val="000000"/>
                <w:sz w:val="16"/>
              </w:rPr>
              <w:t>/</w:t>
            </w:r>
            <w:r>
              <w:rPr>
                <w:b w:val="1"/>
                <w:color w:val="000000"/>
                <w:sz w:val="16"/>
              </w:rPr>
              <w:t>годишње)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>Број постројења</w:t>
            </w:r>
          </w:p>
        </w:tc>
        <w:tc>
          <w:tcPr>
            <w:tcW w:w="6983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Уписује се број постројења за поновно искоришћење отпада. </w:t>
            </w:r>
          </w:p>
        </w:tc>
      </w:tr>
      <w:tr>
        <w:trPr>
          <w:wAfter w:w="0" w:type="dxa"/>
        </w:trPr>
        <w:tc>
          <w:tcPr>
            <w:tcW w:w="468" w:type="dxa"/>
            <w:shd w:val="clear" w:color="auto" w:fill="D9D9D9"/>
          </w:tcPr>
          <w:p>
            <w:pPr>
              <w:spacing w:lineRule="auto" w:line="252" w:before="20"/>
              <w:jc w:val="center"/>
              <w:rPr>
                <w:b w:val="1"/>
                <w:sz w:val="16"/>
              </w:rPr>
            </w:pPr>
          </w:p>
        </w:tc>
        <w:tc>
          <w:tcPr>
            <w:tcW w:w="2970" w:type="dxa"/>
            <w:shd w:val="clear" w:color="auto" w:fill="D9D9D9"/>
          </w:tcPr>
          <w:p>
            <w:pPr>
              <w:spacing w:lineRule="auto" w:line="252" w:before="20"/>
              <w:jc w:val="both"/>
              <w:rPr>
                <w:b w:val="1"/>
                <w:sz w:val="16"/>
              </w:rPr>
            </w:pPr>
          </w:p>
        </w:tc>
        <w:tc>
          <w:tcPr>
            <w:tcW w:w="6983" w:type="dxa"/>
            <w:shd w:val="clear" w:color="auto" w:fill="D9D9D9"/>
          </w:tcPr>
          <w:p>
            <w:pPr>
              <w:numPr>
                <w:ilvl w:val="0"/>
                <w:numId w:val="3"/>
              </w:numPr>
              <w:spacing w:lineRule="auto" w:line="252" w:before="20"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Депоније за </w:t>
            </w:r>
            <w:r>
              <w:rPr>
                <w:b w:val="1"/>
                <w:sz w:val="16"/>
              </w:rPr>
              <w:t>о</w:t>
            </w:r>
            <w:r>
              <w:rPr>
                <w:b w:val="1"/>
                <w:sz w:val="16"/>
              </w:rPr>
              <w:t xml:space="preserve">пасни, </w:t>
            </w:r>
            <w:r>
              <w:rPr>
                <w:b w:val="1"/>
                <w:sz w:val="16"/>
              </w:rPr>
              <w:t>н</w:t>
            </w:r>
            <w:r>
              <w:rPr>
                <w:b w:val="1"/>
                <w:sz w:val="16"/>
              </w:rPr>
              <w:t xml:space="preserve">еопасни и 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нертни отпад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Број депонија </w:t>
            </w:r>
          </w:p>
        </w:tc>
        <w:tc>
          <w:tcPr>
            <w:tcW w:w="6983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sz w:val="16"/>
              </w:rPr>
              <w:t>Уписује се број депонија према класи депоније (за инертни, опасни или неопасни отпад).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Укупни капацитет депоније </w:t>
            </w:r>
            <w:r>
              <w:rPr>
                <w:sz w:val="16"/>
              </w:rPr>
              <w:t xml:space="preserve">у </w:t>
            </w:r>
            <w:r>
              <w:rPr>
                <w:color w:val="000000"/>
                <w:sz w:val="16"/>
              </w:rPr>
              <w:t>m³</w:t>
            </w:r>
          </w:p>
        </w:tc>
        <w:tc>
          <w:tcPr>
            <w:tcW w:w="6983" w:type="dxa"/>
          </w:tcPr>
          <w:p>
            <w:pPr>
              <w:spacing w:lineRule="auto" w:line="252" w:before="20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Уписује се укупни капацитет депоније у </w:t>
            </w:r>
            <w:r>
              <w:rPr>
                <w:color w:val="000000"/>
                <w:sz w:val="16"/>
              </w:rPr>
              <w:t>m³.</w:t>
            </w:r>
          </w:p>
          <w:p>
            <w:pPr>
              <w:spacing w:lineRule="auto" w:line="252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>У Правилнику о садржини и изгледу дозволе за складиштење, третман и одлагање отпада („Службени гласник РС“, број 96/2009) наведено је да приликом издавања дозволе за одлагање отпада треба навести: класу депоније (за инертни, опасни или неопасни отпад); процедуру за пријем отпада; укупан капацитет депоније; оперативни план са распоредом и динамиком пуњења депоније; план за затварање и рекултивацију и финансијско или одговарајуће осигурање за покриће трошкова рада постројења, односно за случај удеса или штете причињене трећим лицима.</w:t>
            </w:r>
          </w:p>
        </w:tc>
      </w:tr>
      <w:tr>
        <w:trPr>
          <w:wAfter w:w="0" w:type="dxa"/>
        </w:trPr>
        <w:tc>
          <w:tcPr>
            <w:tcW w:w="468" w:type="dxa"/>
          </w:tcPr>
          <w:p>
            <w:pPr>
              <w:spacing w:lineRule="auto" w:line="252" w:before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0" w:type="dxa"/>
          </w:tcPr>
          <w:p>
            <w:pPr>
              <w:spacing w:lineRule="auto" w:line="252" w:before="20"/>
              <w:jc w:val="both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Преостали капацитет депоније </w:t>
            </w:r>
            <w:r>
              <w:rPr>
                <w:sz w:val="16"/>
              </w:rPr>
              <w:t xml:space="preserve">у </w:t>
            </w:r>
            <w:r>
              <w:rPr>
                <w:color w:val="000000"/>
                <w:sz w:val="16"/>
              </w:rPr>
              <w:t>m³</w:t>
            </w:r>
          </w:p>
        </w:tc>
        <w:tc>
          <w:tcPr>
            <w:tcW w:w="6983" w:type="dxa"/>
          </w:tcPr>
          <w:p>
            <w:pPr>
              <w:spacing w:lineRule="auto" w:line="252" w:before="20"/>
              <w:ind w:left="57" w:right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Уписује се преостали капацитет депоније на крају 2017. године у </w:t>
            </w:r>
            <w:r>
              <w:rPr>
                <w:color w:val="000000"/>
                <w:sz w:val="16"/>
              </w:rPr>
              <w:t>m³.</w:t>
            </w:r>
          </w:p>
        </w:tc>
      </w:tr>
    </w:tbl>
    <w:p>
      <w:pPr>
        <w:spacing w:lineRule="auto" w:line="252"/>
        <w:jc w:val="both"/>
        <w:rPr>
          <w:sz w:val="2"/>
        </w:rPr>
      </w:pPr>
    </w:p>
    <w:p>
      <w:pPr>
        <w:spacing w:lineRule="auto" w:line="252"/>
        <w:jc w:val="both"/>
        <w:rPr>
          <w:sz w:val="2"/>
        </w:rPr>
      </w:pPr>
    </w:p>
    <w:p>
      <w:pPr>
        <w:spacing w:lineRule="auto" w:line="252"/>
        <w:jc w:val="both"/>
        <w:rPr>
          <w:b w:val="1"/>
          <w:sz w:val="16"/>
        </w:rPr>
      </w:pPr>
    </w:p>
    <w:p>
      <w:pPr>
        <w:spacing w:lineRule="auto" w:line="252" w:before="20"/>
        <w:jc w:val="both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Упитник о третираном отпаду (ОТ-Т) и Упитник о карактеристикама постројења за третман отпада (ОТ-К) доступни су на сајту Републичког завода за статистику: </w:t>
      </w:r>
      <w:r>
        <w:rPr>
          <w:sz w:val="16"/>
        </w:rPr>
        <w:fldChar w:fldCharType="begin"/>
      </w:r>
      <w:r>
        <w:rPr>
          <w:sz w:val="16"/>
        </w:rPr>
        <w:instrText>HYPERLINK "http://www.stat.gov.rs"</w:instrText>
      </w:r>
      <w:r>
        <w:rPr>
          <w:sz w:val="16"/>
        </w:rPr>
        <w:fldChar w:fldCharType="separate"/>
      </w:r>
      <w:r>
        <w:rPr>
          <w:rStyle w:val="C2"/>
          <w:sz w:val="16"/>
        </w:rPr>
        <w:t>www.stat.gov.rs</w:t>
      </w:r>
      <w:r>
        <w:rPr>
          <w:rStyle w:val="C2"/>
          <w:sz w:val="16"/>
        </w:rPr>
        <w:fldChar w:fldCharType="end"/>
      </w:r>
      <w:r>
        <w:rPr>
          <w:sz w:val="16"/>
        </w:rPr>
        <w:t>.</w:t>
      </w:r>
    </w:p>
    <w:p>
      <w:pPr>
        <w:spacing w:lineRule="auto" w:line="252"/>
        <w:jc w:val="both"/>
        <w:outlineLvl w:val="0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Правилник о категоријама, испитивању и класификацији отпада („Службени гласник РС“, број 56/10).</w:t>
      </w:r>
    </w:p>
    <w:p>
      <w:pPr>
        <w:spacing w:lineRule="auto" w:line="252" w:before="20"/>
        <w:jc w:val="both"/>
        <w:rPr>
          <w:sz w:val="22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Методолошко упутство уз Упитник о отпаду</w:t>
      </w:r>
      <w:r>
        <w:rPr>
          <w:sz w:val="16"/>
          <w:vertAlign w:val="superscript"/>
        </w:rPr>
        <w:t xml:space="preserve">2) </w:t>
      </w:r>
      <w:r>
        <w:rPr>
          <w:sz w:val="16"/>
        </w:rPr>
        <w:t xml:space="preserve">доступно је на сајту Републичког завода за статистику: </w:t>
      </w:r>
      <w:r>
        <w:rPr>
          <w:sz w:val="16"/>
        </w:rPr>
        <w:fldChar w:fldCharType="begin"/>
      </w:r>
      <w:r>
        <w:rPr>
          <w:sz w:val="16"/>
        </w:rPr>
        <w:instrText>HYPERLINK "http://www.stat.gov.rs"</w:instrText>
      </w:r>
      <w:r>
        <w:rPr>
          <w:sz w:val="16"/>
        </w:rPr>
        <w:fldChar w:fldCharType="separate"/>
      </w:r>
      <w:r>
        <w:rPr>
          <w:rStyle w:val="C2"/>
          <w:sz w:val="16"/>
        </w:rPr>
        <w:t>www.stat.gov.rs</w:t>
      </w:r>
      <w:r>
        <w:rPr>
          <w:rStyle w:val="C2"/>
          <w:sz w:val="16"/>
        </w:rPr>
        <w:fldChar w:fldCharType="end"/>
      </w:r>
      <w:r>
        <w:rPr>
          <w:sz w:val="16"/>
        </w:rPr>
        <w:t>.</w:t>
      </w:r>
    </w:p>
    <w:sectPr>
      <w:type w:val="nextPage"/>
      <w:pgSz w:w="11907" w:h="16840" w:code="0"/>
      <w:pgMar w:left="851" w:right="851" w:top="851" w:bottom="851" w:header="720" w:footer="720" w:gutter="0"/>
      <w:pgNumType w:start="1"/>
      <w:cols w:equalWidth="1" w:space="567"/>
      <w:titlePg w:val="1"/>
    </w:sectPr>
  </w:body>
</w:document>
</file>

<file path=word/numbering.xml><?xml version="1.0" encoding="utf-8"?>
<w:numbering xmlns:w="http://schemas.openxmlformats.org/wordprocessingml/2006/main">
  <w:abstractNum w:abstractNumId="0">
    <w:nsid w:val="148727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D6F5DDA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52508FF"/>
    <w:multiLevelType w:val="hybridMultilevel"/>
    <w:lvl w:ilvl="0" w:tplc="5FA37243">
      <w:start w:val="1"/>
      <w:numFmt w:val="bullet"/>
      <w:suff w:val="tab"/>
      <w:lvlText w:val="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47091DE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2" w:tplc="6F33C6B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1CD8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7AA383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F173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43AD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CBEA9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216DE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ing 1"/>
    <w:basedOn w:val="P0"/>
    <w:next w:val="P0"/>
    <w:link w:val="C3"/>
    <w:qFormat/>
    <w:pPr>
      <w:keepNext w:val="1"/>
      <w:spacing w:before="240" w:after="60"/>
      <w:outlineLvl w:val="0"/>
    </w:pPr>
    <w:rPr>
      <w:b w:val="1"/>
      <w:sz w:val="32"/>
    </w:rPr>
  </w:style>
  <w:style w:type="paragraph" w:styleId="P3">
    <w:name w:val="Heading 2"/>
    <w:basedOn w:val="P0"/>
    <w:next w:val="P0"/>
    <w:link w:val="C4"/>
    <w:qFormat/>
    <w:pPr>
      <w:keepNext w:val="1"/>
      <w:outlineLvl w:val="1"/>
    </w:pPr>
    <w:rPr>
      <w:b w:val="1"/>
    </w:rPr>
  </w:style>
  <w:style w:type="paragraph" w:styleId="P4">
    <w:name w:val="Footer"/>
    <w:basedOn w:val="P0"/>
    <w:next w:val="P4"/>
    <w:link w:val="C5"/>
    <w:pPr>
      <w:tabs>
        <w:tab w:val="center" w:pos="4320" w:leader="none"/>
        <w:tab w:val="right" w:pos="8640" w:leader="none"/>
      </w:tabs>
    </w:pPr>
    <w:rPr>
      <w:sz w:val="24"/>
    </w:rPr>
  </w:style>
  <w:style w:type="paragraph" w:styleId="P5">
    <w:name w:val="Footnote Text"/>
    <w:basedOn w:val="P0"/>
    <w:next w:val="P5"/>
    <w:link w:val="C6"/>
    <w:pPr/>
    <w:rPr/>
  </w:style>
  <w:style w:type="paragraph" w:styleId="P6">
    <w:name w:val="Char Char Char Char Char1 Char"/>
    <w:basedOn w:val="P0"/>
    <w:next w:val="P6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7">
    <w:name w:val="Car Car"/>
    <w:basedOn w:val="P0"/>
    <w:next w:val="P7"/>
    <w:pPr>
      <w:spacing w:lineRule="exact" w:line="240" w:after="160"/>
    </w:pPr>
    <w:rPr>
      <w:rFonts w:ascii="Verdana" w:hAnsi="Verdana"/>
      <w:i w:val="1"/>
    </w:rPr>
  </w:style>
  <w:style w:type="paragraph" w:styleId="P8">
    <w:name w:val="Car Car1"/>
    <w:basedOn w:val="P0"/>
    <w:next w:val="P8"/>
    <w:pPr>
      <w:spacing w:lineRule="exact" w:line="240" w:after="160"/>
      <w:jc w:val="both"/>
    </w:pPr>
    <w:rPr>
      <w:rFonts w:ascii="Tahoma" w:hAnsi="Tahoma"/>
    </w:rPr>
  </w:style>
  <w:style w:type="paragraph" w:styleId="P9">
    <w:name w:val=" Char"/>
    <w:basedOn w:val="P0"/>
    <w:next w:val="P9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10">
    <w:name w:val="Balloon Text"/>
    <w:basedOn w:val="P0"/>
    <w:next w:val="P10"/>
    <w:link w:val="C9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link w:val="P2"/>
    <w:rPr>
      <w:b w:val="1"/>
      <w:sz w:val="32"/>
    </w:rPr>
  </w:style>
  <w:style w:type="character" w:styleId="C4">
    <w:name w:val="Heading 2 Char"/>
    <w:link w:val="P3"/>
    <w:rPr>
      <w:b w:val="1"/>
    </w:rPr>
  </w:style>
  <w:style w:type="character" w:styleId="C5">
    <w:name w:val="Footer Char"/>
    <w:link w:val="P4"/>
    <w:rPr>
      <w:sz w:val="24"/>
    </w:rPr>
  </w:style>
  <w:style w:type="character" w:styleId="C6">
    <w:name w:val="Footnote Text Char"/>
    <w:link w:val="P5"/>
    <w:rPr/>
  </w:style>
  <w:style w:type="character" w:styleId="C7">
    <w:name w:val="Footnote Reference"/>
    <w:rPr>
      <w:vertAlign w:val="superscript"/>
    </w:rPr>
  </w:style>
  <w:style w:type="character" w:styleId="C8">
    <w:name w:val="Strong"/>
    <w:qFormat/>
    <w:rPr>
      <w:b w:val="1"/>
    </w:rPr>
  </w:style>
  <w:style w:type="character" w:styleId="C9">
    <w:name w:val="Balloon Text Char"/>
    <w:link w:val="P10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2016-12-16T12:32:00Z</dcterms:created>
  <cp:lastModifiedBy>Nikola Kapetanovic</cp:lastModifiedBy>
  <cp:lastPrinted>2016-07-08T08:17:00Z</cp:lastPrinted>
  <dcterms:modified xsi:type="dcterms:W3CDTF">2020-01-10T11:25:18Z</dcterms:modified>
  <cp:revision>15</cp:revision>
  <dc:title>Упутство за попуњавање обрасца о индустријском отпаду</dc:title>
</cp:coreProperties>
</file>