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E4" w:rsidRPr="00C4688A" w:rsidRDefault="009D65E4" w:rsidP="009D65E4">
      <w:pPr>
        <w:jc w:val="both"/>
        <w:rPr>
          <w:rStyle w:val="Strong"/>
          <w:rFonts w:ascii="Arial" w:hAnsi="Arial" w:cs="Arial"/>
          <w:sz w:val="20"/>
          <w:szCs w:val="20"/>
          <w:u w:val="single"/>
          <w:lang w:val="sr-Cyrl-CS"/>
        </w:rPr>
      </w:pPr>
      <w:bookmarkStart w:id="0" w:name="_GoBack"/>
      <w:bookmarkEnd w:id="0"/>
      <w:r w:rsidRPr="00C4688A">
        <w:rPr>
          <w:rStyle w:val="Strong"/>
          <w:rFonts w:ascii="Arial" w:hAnsi="Arial" w:cs="Arial"/>
          <w:sz w:val="20"/>
          <w:szCs w:val="20"/>
          <w:u w:val="single"/>
          <w:lang w:val="ru-RU"/>
        </w:rPr>
        <w:t>ИЗДАЦИ ДОМАЋИНСТАВА ЗА ФИНАЛНУ ПОТРОШЊУ У РЕПУБЛИЦИ СРБИЈИ</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Style w:val="Strong"/>
          <w:rFonts w:ascii="Arial" w:hAnsi="Arial" w:cs="Arial"/>
          <w:lang w:val="sr-Latn-CS"/>
        </w:rPr>
      </w:pPr>
      <w:bookmarkStart w:id="1" w:name="1"/>
      <w:r w:rsidRPr="00C4688A">
        <w:rPr>
          <w:rStyle w:val="Strong"/>
          <w:rFonts w:ascii="Arial" w:hAnsi="Arial" w:cs="Arial"/>
          <w:sz w:val="20"/>
          <w:szCs w:val="20"/>
          <w:lang w:val="ru-RU"/>
        </w:rPr>
        <w:t>Уводне напомене</w:t>
      </w:r>
      <w:bookmarkEnd w:id="1"/>
    </w:p>
    <w:p w:rsidR="009D65E4" w:rsidRPr="00C4688A" w:rsidRDefault="009D65E4" w:rsidP="009D65E4">
      <w:pPr>
        <w:jc w:val="both"/>
        <w:rPr>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Основна намена обрачунатих издатака домаћинстава за финалну потрошњу јесте сагледавање стања и токова макроекономских дешавања на нивоу укупне државе. У Систему националних рачуна укупни обим ових издатака најзначајнији је градивни елеменат бруто домаћег производа, рачунатог расходним методом. Затим, у свом пуном обиму, али и у развијеној структури, издаци домаћинстава за финалну потрошњу користе се за потребе изградње пондерационог система цена и као један од поузданих елемената за одређивање нивоа животног стандарда унутар државе или за међународна поређења. Користе се и за сагледавање сложене међузависности економских субјеката у макроекономском систему, за грубу оцену квалитета једног броја статистичких истраживања, а имају и друге стручне, пословне и образовне намене.</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Pr="00C4688A" w:rsidRDefault="009D65E4" w:rsidP="009D65E4">
      <w:pPr>
        <w:jc w:val="both"/>
        <w:rPr>
          <w:rStyle w:val="Strong"/>
          <w:lang w:val="ru-RU"/>
        </w:rPr>
      </w:pPr>
      <w:bookmarkStart w:id="2" w:name="2"/>
      <w:r w:rsidRPr="00C4688A">
        <w:rPr>
          <w:rStyle w:val="Strong"/>
          <w:rFonts w:ascii="Arial" w:hAnsi="Arial" w:cs="Arial"/>
          <w:sz w:val="20"/>
          <w:szCs w:val="20"/>
          <w:lang w:val="ru-RU"/>
        </w:rPr>
        <w:t>Методолошки оквир</w:t>
      </w:r>
      <w:bookmarkEnd w:id="2"/>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 xml:space="preserve">Обрачуну издатака домаћинстава за финалну потрошњу приступило се ослањањем на </w:t>
      </w:r>
      <w:r w:rsidRPr="009D65E4">
        <w:rPr>
          <w:rStyle w:val="Strong"/>
          <w:rFonts w:ascii="Arial" w:hAnsi="Arial" w:cs="Arial"/>
          <w:sz w:val="20"/>
          <w:szCs w:val="20"/>
          <w:lang w:val="sr-Latn-CS"/>
        </w:rPr>
        <w:t>SNA</w:t>
      </w:r>
      <w:r w:rsidRPr="00C4688A">
        <w:rPr>
          <w:rStyle w:val="Strong"/>
          <w:rFonts w:ascii="Arial" w:hAnsi="Arial" w:cs="Arial"/>
          <w:sz w:val="20"/>
          <w:szCs w:val="20"/>
          <w:lang w:val="ru-RU"/>
        </w:rPr>
        <w:t>93</w:t>
      </w:r>
      <w:r w:rsidRPr="00C4688A">
        <w:rPr>
          <w:rFonts w:ascii="Arial" w:hAnsi="Arial" w:cs="Arial"/>
          <w:sz w:val="20"/>
          <w:szCs w:val="20"/>
          <w:vertAlign w:val="superscript"/>
          <w:lang w:val="ru-RU"/>
        </w:rPr>
        <w:t>1</w:t>
      </w:r>
      <w:r w:rsidRPr="00C4688A">
        <w:rPr>
          <w:rFonts w:ascii="Arial" w:hAnsi="Arial" w:cs="Arial"/>
          <w:sz w:val="20"/>
          <w:szCs w:val="20"/>
          <w:lang w:val="ru-RU"/>
        </w:rPr>
        <w:t xml:space="preserve"> и </w:t>
      </w:r>
      <w:r w:rsidRPr="009D65E4">
        <w:rPr>
          <w:rStyle w:val="Strong"/>
          <w:rFonts w:ascii="Arial" w:hAnsi="Arial" w:cs="Arial"/>
          <w:sz w:val="20"/>
          <w:szCs w:val="20"/>
          <w:lang w:val="sr-Latn-CS"/>
        </w:rPr>
        <w:t>ESA</w:t>
      </w:r>
      <w:r w:rsidRPr="00C4688A">
        <w:rPr>
          <w:rStyle w:val="Strong"/>
          <w:rFonts w:ascii="Arial" w:hAnsi="Arial" w:cs="Arial"/>
          <w:sz w:val="20"/>
          <w:szCs w:val="20"/>
          <w:lang w:val="ru-RU"/>
        </w:rPr>
        <w:t>95</w:t>
      </w:r>
      <w:r w:rsidRPr="00C4688A">
        <w:rPr>
          <w:rFonts w:ascii="Arial" w:hAnsi="Arial" w:cs="Arial"/>
          <w:sz w:val="20"/>
          <w:szCs w:val="20"/>
          <w:vertAlign w:val="superscript"/>
          <w:lang w:val="ru-RU"/>
        </w:rPr>
        <w:t>2</w:t>
      </w:r>
      <w:r w:rsidRPr="00C4688A">
        <w:rPr>
          <w:rFonts w:ascii="Arial" w:hAnsi="Arial" w:cs="Arial"/>
          <w:sz w:val="20"/>
          <w:szCs w:val="20"/>
          <w:lang w:val="ru-RU"/>
        </w:rPr>
        <w:t xml:space="preserve"> као на основни методолошки оквир, почев од прихватања дефинисања основних појмова, класификација, па до успостављања правила, поступака и времена бележења и вредновања основних категорија.</w:t>
      </w:r>
      <w:r>
        <w:rPr>
          <w:rFonts w:ascii="Arial" w:hAnsi="Arial" w:cs="Arial"/>
          <w:sz w:val="20"/>
          <w:szCs w:val="20"/>
          <w:lang w:val="sr-Latn-CS"/>
        </w:rPr>
        <w:t xml:space="preserve"> </w:t>
      </w:r>
      <w:r w:rsidRPr="00C4688A">
        <w:rPr>
          <w:rFonts w:ascii="Arial" w:hAnsi="Arial" w:cs="Arial"/>
          <w:sz w:val="20"/>
          <w:szCs w:val="20"/>
          <w:lang w:val="ru-RU"/>
        </w:rPr>
        <w:t xml:space="preserve">Други значајан ослонац јесу разни методолошки материјали </w:t>
      </w:r>
      <w:r w:rsidRPr="009D65E4">
        <w:rPr>
          <w:rStyle w:val="Strong"/>
          <w:rFonts w:ascii="Arial" w:hAnsi="Arial" w:cs="Arial"/>
          <w:sz w:val="20"/>
          <w:szCs w:val="20"/>
          <w:lang w:val="sr-Latn-CS"/>
        </w:rPr>
        <w:t>OECD</w:t>
      </w:r>
      <w:r w:rsidRPr="00C4688A">
        <w:rPr>
          <w:rFonts w:ascii="Arial" w:hAnsi="Arial" w:cs="Arial"/>
          <w:sz w:val="20"/>
          <w:szCs w:val="20"/>
          <w:lang w:val="ru-RU"/>
        </w:rPr>
        <w:t xml:space="preserve">-а и </w:t>
      </w:r>
      <w:r w:rsidRPr="009D65E4">
        <w:rPr>
          <w:rStyle w:val="Strong"/>
          <w:rFonts w:ascii="Arial" w:hAnsi="Arial" w:cs="Arial"/>
          <w:sz w:val="20"/>
          <w:szCs w:val="20"/>
          <w:lang w:val="sr-Latn-CS"/>
        </w:rPr>
        <w:t>Eurostat</w:t>
      </w:r>
      <w:r w:rsidRPr="00C4688A">
        <w:rPr>
          <w:rFonts w:ascii="Arial" w:hAnsi="Arial" w:cs="Arial"/>
          <w:sz w:val="20"/>
          <w:szCs w:val="20"/>
          <w:lang w:val="ru-RU"/>
        </w:rPr>
        <w:t xml:space="preserve">-а, који најчешће представљају даљу разраду и развој основних категорија и поступака из </w:t>
      </w:r>
      <w:r w:rsidRPr="009D65E4">
        <w:rPr>
          <w:rFonts w:ascii="Arial" w:hAnsi="Arial" w:cs="Arial"/>
          <w:sz w:val="20"/>
          <w:szCs w:val="20"/>
          <w:lang w:val="sr-Latn-CS"/>
        </w:rPr>
        <w:t>SNA</w:t>
      </w:r>
      <w:r w:rsidRPr="00C4688A">
        <w:rPr>
          <w:rFonts w:ascii="Arial" w:hAnsi="Arial" w:cs="Arial"/>
          <w:sz w:val="20"/>
          <w:szCs w:val="20"/>
          <w:lang w:val="ru-RU"/>
        </w:rPr>
        <w:t xml:space="preserve">93 и </w:t>
      </w:r>
      <w:r w:rsidRPr="009D65E4">
        <w:rPr>
          <w:rFonts w:ascii="Arial" w:hAnsi="Arial" w:cs="Arial"/>
          <w:sz w:val="20"/>
          <w:szCs w:val="20"/>
          <w:lang w:val="sr-Latn-CS"/>
        </w:rPr>
        <w:t>ESA</w:t>
      </w:r>
      <w:r w:rsidRPr="00C4688A">
        <w:rPr>
          <w:rFonts w:ascii="Arial" w:hAnsi="Arial" w:cs="Arial"/>
          <w:sz w:val="20"/>
          <w:szCs w:val="20"/>
          <w:lang w:val="ru-RU"/>
        </w:rPr>
        <w:t>95.</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 xml:space="preserve">Као трећи ослонац користи се доступно </w:t>
      </w:r>
      <w:r w:rsidRPr="00C4688A">
        <w:rPr>
          <w:rStyle w:val="Strong"/>
          <w:rFonts w:ascii="Arial" w:hAnsi="Arial" w:cs="Arial"/>
          <w:sz w:val="20"/>
          <w:szCs w:val="20"/>
          <w:lang w:val="ru-RU"/>
        </w:rPr>
        <w:t>искуство</w:t>
      </w:r>
      <w:r w:rsidRPr="00C4688A">
        <w:rPr>
          <w:rFonts w:ascii="Arial" w:hAnsi="Arial" w:cs="Arial"/>
          <w:sz w:val="20"/>
          <w:szCs w:val="20"/>
          <w:lang w:val="ru-RU"/>
        </w:rPr>
        <w:t xml:space="preserve"> једног броја </w:t>
      </w:r>
      <w:r w:rsidRPr="00C4688A">
        <w:rPr>
          <w:rStyle w:val="Strong"/>
          <w:rFonts w:ascii="Arial" w:hAnsi="Arial" w:cs="Arial"/>
          <w:sz w:val="20"/>
          <w:szCs w:val="20"/>
          <w:lang w:val="ru-RU"/>
        </w:rPr>
        <w:t>европских</w:t>
      </w:r>
      <w:r w:rsidRPr="00C4688A">
        <w:rPr>
          <w:rFonts w:ascii="Arial" w:hAnsi="Arial" w:cs="Arial"/>
          <w:sz w:val="20"/>
          <w:szCs w:val="20"/>
          <w:lang w:val="ru-RU"/>
        </w:rPr>
        <w:t xml:space="preserve"> земаља у овој области, стечено посредством већ поменутих међународних организација, или кроз директну сарадњу с другим националним статистичким заводима.</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pStyle w:val="NormalWeb"/>
        <w:spacing w:before="0" w:beforeAutospacing="0" w:after="0" w:afterAutospacing="0"/>
        <w:jc w:val="both"/>
        <w:rPr>
          <w:rStyle w:val="Strong"/>
          <w:rFonts w:ascii="Arial" w:hAnsi="Arial" w:cs="Arial"/>
          <w:sz w:val="20"/>
          <w:szCs w:val="20"/>
          <w:lang w:val="sr-Latn-CS"/>
        </w:rPr>
      </w:pPr>
      <w:bookmarkStart w:id="3" w:name="3"/>
      <w:r w:rsidRPr="00C4688A">
        <w:rPr>
          <w:rStyle w:val="Strong"/>
          <w:rFonts w:ascii="Arial" w:hAnsi="Arial" w:cs="Arial"/>
          <w:sz w:val="20"/>
          <w:szCs w:val="20"/>
          <w:lang w:val="ru-RU"/>
        </w:rPr>
        <w:t>Методолошка објашњења</w:t>
      </w:r>
      <w:bookmarkEnd w:id="3"/>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bookmarkStart w:id="4" w:name="4"/>
      <w:r w:rsidRPr="00C4688A">
        <w:rPr>
          <w:rStyle w:val="Strong"/>
          <w:rFonts w:ascii="Arial" w:hAnsi="Arial" w:cs="Arial"/>
          <w:sz w:val="20"/>
          <w:szCs w:val="20"/>
          <w:lang w:val="ru-RU"/>
        </w:rPr>
        <w:t xml:space="preserve">Дефиниције </w:t>
      </w:r>
      <w:bookmarkEnd w:id="4"/>
      <w:r w:rsidRPr="00C4688A">
        <w:rPr>
          <w:rFonts w:ascii="Arial" w:hAnsi="Arial" w:cs="Arial"/>
          <w:sz w:val="20"/>
          <w:szCs w:val="20"/>
          <w:lang w:val="ru-RU"/>
        </w:rPr>
        <w:br/>
      </w:r>
      <w:r w:rsidRPr="00C4688A">
        <w:rPr>
          <w:rFonts w:ascii="Arial" w:hAnsi="Arial" w:cs="Arial"/>
          <w:sz w:val="20"/>
          <w:szCs w:val="20"/>
          <w:lang w:val="ru-RU"/>
        </w:rPr>
        <w:br/>
      </w:r>
      <w:r w:rsidRPr="00C4688A">
        <w:rPr>
          <w:rStyle w:val="Strong"/>
          <w:rFonts w:ascii="Arial" w:hAnsi="Arial" w:cs="Arial"/>
          <w:sz w:val="20"/>
          <w:szCs w:val="20"/>
          <w:lang w:val="ru-RU"/>
        </w:rPr>
        <w:t>Добра и услуге се троше</w:t>
      </w:r>
      <w:r w:rsidRPr="00C4688A">
        <w:rPr>
          <w:rFonts w:ascii="Arial" w:hAnsi="Arial" w:cs="Arial"/>
          <w:sz w:val="20"/>
          <w:szCs w:val="20"/>
          <w:lang w:val="ru-RU"/>
        </w:rPr>
        <w:t xml:space="preserve"> (</w:t>
      </w:r>
      <w:r w:rsidRPr="009D65E4">
        <w:rPr>
          <w:rFonts w:ascii="Arial" w:hAnsi="Arial" w:cs="Arial"/>
          <w:sz w:val="20"/>
          <w:szCs w:val="20"/>
          <w:lang w:val="sr-Latn-CS"/>
        </w:rPr>
        <w:t>SNA</w:t>
      </w:r>
      <w:r w:rsidRPr="00C4688A">
        <w:rPr>
          <w:rFonts w:ascii="Arial" w:hAnsi="Arial" w:cs="Arial"/>
          <w:sz w:val="20"/>
          <w:szCs w:val="20"/>
          <w:lang w:val="ru-RU"/>
        </w:rPr>
        <w:t xml:space="preserve"> 9.35) када их институционалне јединице</w:t>
      </w:r>
      <w:r w:rsidRPr="00C4688A">
        <w:rPr>
          <w:rFonts w:ascii="Arial" w:hAnsi="Arial" w:cs="Arial"/>
          <w:sz w:val="20"/>
          <w:szCs w:val="20"/>
          <w:vertAlign w:val="superscript"/>
          <w:lang w:val="ru-RU"/>
        </w:rPr>
        <w:t>3</w:t>
      </w:r>
      <w:r w:rsidRPr="00C4688A">
        <w:rPr>
          <w:rFonts w:ascii="Arial" w:hAnsi="Arial" w:cs="Arial"/>
          <w:sz w:val="20"/>
          <w:szCs w:val="20"/>
          <w:lang w:val="ru-RU"/>
        </w:rPr>
        <w:t xml:space="preserve"> употребљавају у процесу производње или када директно служе задовољавању људских потреба и жеља. Употреба и трошење средстава у процесу производње, нпр. за међуфазну потрошњу или инвестиције у Систему (</w:t>
      </w:r>
      <w:r w:rsidRPr="00C4688A">
        <w:rPr>
          <w:rFonts w:ascii="Arial" w:hAnsi="Arial" w:cs="Arial"/>
          <w:sz w:val="20"/>
          <w:szCs w:val="20"/>
        </w:rPr>
        <w:t>SNA</w:t>
      </w:r>
      <w:r w:rsidRPr="00C4688A">
        <w:rPr>
          <w:rFonts w:ascii="Arial" w:hAnsi="Arial" w:cs="Arial"/>
          <w:sz w:val="20"/>
          <w:szCs w:val="20"/>
          <w:lang w:val="ru-RU"/>
        </w:rPr>
        <w:t xml:space="preserve">93 и </w:t>
      </w:r>
      <w:r w:rsidRPr="00C4688A">
        <w:rPr>
          <w:rFonts w:ascii="Arial" w:hAnsi="Arial" w:cs="Arial"/>
          <w:sz w:val="20"/>
          <w:szCs w:val="20"/>
        </w:rPr>
        <w:t>ESA</w:t>
      </w:r>
      <w:r w:rsidRPr="00C4688A">
        <w:rPr>
          <w:rFonts w:ascii="Arial" w:hAnsi="Arial" w:cs="Arial"/>
          <w:sz w:val="20"/>
          <w:szCs w:val="20"/>
          <w:lang w:val="ru-RU"/>
        </w:rPr>
        <w:t>95), немају карактер потрошње.</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Default="009D65E4" w:rsidP="009D65E4">
      <w:pPr>
        <w:pStyle w:val="NormalWeb"/>
        <w:spacing w:before="0" w:beforeAutospacing="0" w:after="0" w:afterAutospacing="0"/>
        <w:jc w:val="both"/>
        <w:rPr>
          <w:rFonts w:ascii="Arial" w:hAnsi="Arial" w:cs="Arial"/>
          <w:sz w:val="20"/>
          <w:szCs w:val="20"/>
          <w:lang w:val="sr-Latn-CS"/>
        </w:rPr>
      </w:pPr>
      <w:r w:rsidRPr="00C4688A">
        <w:rPr>
          <w:rStyle w:val="Strong"/>
          <w:rFonts w:ascii="Arial" w:hAnsi="Arial" w:cs="Arial"/>
          <w:sz w:val="20"/>
          <w:szCs w:val="20"/>
          <w:lang w:val="ru-RU"/>
        </w:rPr>
        <w:t>Карактер потрошње</w:t>
      </w:r>
      <w:r w:rsidRPr="00C4688A">
        <w:rPr>
          <w:rFonts w:ascii="Arial" w:hAnsi="Arial" w:cs="Arial"/>
          <w:sz w:val="20"/>
          <w:szCs w:val="20"/>
          <w:lang w:val="ru-RU"/>
        </w:rPr>
        <w:t xml:space="preserve">, или, како је у Систему наглашено - </w:t>
      </w:r>
      <w:r w:rsidRPr="00C4688A">
        <w:rPr>
          <w:rStyle w:val="Strong"/>
          <w:rFonts w:ascii="Arial" w:hAnsi="Arial" w:cs="Arial"/>
          <w:sz w:val="20"/>
          <w:szCs w:val="20"/>
          <w:lang w:val="ru-RU"/>
        </w:rPr>
        <w:t>финалне потрошње, могу имати само оне употребе и трошења добара и услуга којима се задовољавају људске појединачне или заједничке жеље или потребе</w:t>
      </w:r>
      <w:r w:rsidRPr="00C4688A">
        <w:rPr>
          <w:rFonts w:ascii="Arial" w:hAnsi="Arial" w:cs="Arial"/>
          <w:sz w:val="20"/>
          <w:szCs w:val="20"/>
          <w:lang w:val="ru-RU"/>
        </w:rPr>
        <w:t>. У пракси, у примени Система, финална потрошња мери се издацима а приказује се кроз издатке или кроз стицање, тј. крајњу намену (</w:t>
      </w:r>
      <w:r w:rsidRPr="00C4688A">
        <w:rPr>
          <w:rFonts w:ascii="Arial" w:hAnsi="Arial" w:cs="Arial"/>
          <w:sz w:val="20"/>
          <w:szCs w:val="20"/>
        </w:rPr>
        <w:t>ESA</w:t>
      </w:r>
      <w:r w:rsidRPr="00C4688A">
        <w:rPr>
          <w:rFonts w:ascii="Arial" w:hAnsi="Arial" w:cs="Arial"/>
          <w:sz w:val="20"/>
          <w:szCs w:val="20"/>
          <w:lang w:val="ru-RU"/>
        </w:rPr>
        <w:t>95 3.74). Издатке за финалну потрошњу могу имати само: сектори Домаћинства, Држава и Непрофитне институције које пружају услуге домаћинствима, а стицати је и исказивати као стварну потрошњу могу сектор Домаћинства и делимично сектор Држава.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r>
      <w:r w:rsidRPr="00C4688A">
        <w:rPr>
          <w:rStyle w:val="Strong"/>
          <w:rFonts w:ascii="Arial" w:hAnsi="Arial" w:cs="Arial"/>
          <w:sz w:val="20"/>
          <w:szCs w:val="20"/>
          <w:lang w:val="ru-RU"/>
        </w:rPr>
        <w:t>Издаци које направи сектор Непрофитне институције које пружају услуге домаћинствима</w:t>
      </w:r>
      <w:r w:rsidRPr="00C4688A">
        <w:rPr>
          <w:rFonts w:ascii="Arial" w:hAnsi="Arial" w:cs="Arial"/>
          <w:sz w:val="20"/>
          <w:szCs w:val="20"/>
          <w:lang w:val="ru-RU"/>
        </w:rPr>
        <w:t xml:space="preserve"> (сем мањих изузетака који се односе на улагања у инвестиције за властити рачун)</w:t>
      </w:r>
      <w:r w:rsidRPr="00C4688A">
        <w:rPr>
          <w:rStyle w:val="Strong"/>
          <w:rFonts w:ascii="Arial" w:hAnsi="Arial" w:cs="Arial"/>
          <w:sz w:val="20"/>
          <w:szCs w:val="20"/>
          <w:lang w:val="ru-RU"/>
        </w:rPr>
        <w:t xml:space="preserve"> преносе се у виду социјалних трансфера у натури сектору Домаћинства, и заједно са издацима домаћинстава за финалну потрошњу и делом издатака државе за финалну потрошњу, који се такође у виду социјалних трансфера преносе сектору Домаћинства, чине стварну финалну потрошњу домаћинстава или стварну личну потрошњу</w:t>
      </w:r>
      <w:r w:rsidRPr="00C4688A">
        <w:rPr>
          <w:rFonts w:ascii="Arial" w:hAnsi="Arial" w:cs="Arial"/>
          <w:sz w:val="20"/>
          <w:szCs w:val="20"/>
          <w:lang w:val="ru-RU"/>
        </w:rPr>
        <w:t xml:space="preserve">. </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 xml:space="preserve">Издаци државе за добра и услуге за финалну потрошњу, који се у виду социјалних трансфера преносе домаћинствима, имају следећа обележја: а) њихова набавка се од стране </w:t>
      </w:r>
      <w:r w:rsidRPr="00C4688A">
        <w:rPr>
          <w:rFonts w:ascii="Arial" w:hAnsi="Arial" w:cs="Arial"/>
          <w:sz w:val="20"/>
          <w:szCs w:val="20"/>
          <w:lang w:val="ru-RU"/>
        </w:rPr>
        <w:lastRenderedPageBreak/>
        <w:t>појединаца или домаћинстава може јасно идентификовати, у смислу ко ју је и када ју је примио; б) за њихову реализацију потребна је сагласност и сарадња појединца или домаћинства које је прима; в) када се употребе за неког појединца или неко (нека) домаћинство, онда се та иста добра или услуге не могу набавити нити употребити за неког другог појединца или за неко друго домаћинство (</w:t>
      </w:r>
      <w:r w:rsidRPr="009D65E4">
        <w:rPr>
          <w:rFonts w:ascii="Arial" w:hAnsi="Arial" w:cs="Arial"/>
          <w:sz w:val="20"/>
          <w:szCs w:val="20"/>
          <w:lang w:val="sr-Latn-CS"/>
        </w:rPr>
        <w:t>ESA</w:t>
      </w:r>
      <w:r w:rsidRPr="00C4688A">
        <w:rPr>
          <w:rFonts w:ascii="Arial" w:hAnsi="Arial" w:cs="Arial"/>
          <w:sz w:val="20"/>
          <w:szCs w:val="20"/>
          <w:lang w:val="ru-RU"/>
        </w:rPr>
        <w:t>95 3.82). Према Класификацији функција државе (</w:t>
      </w:r>
      <w:r w:rsidRPr="00C4688A">
        <w:rPr>
          <w:rFonts w:ascii="Arial" w:hAnsi="Arial" w:cs="Arial"/>
          <w:sz w:val="20"/>
          <w:szCs w:val="20"/>
        </w:rPr>
        <w:t>COFOG</w:t>
      </w:r>
      <w:r w:rsidRPr="00C4688A">
        <w:rPr>
          <w:rFonts w:ascii="Arial" w:hAnsi="Arial" w:cs="Arial"/>
          <w:sz w:val="20"/>
          <w:szCs w:val="20"/>
          <w:lang w:val="ru-RU"/>
        </w:rPr>
        <w:t>), ови издаци односе се, пре свега, на области образовања, здравства и социјалног осигурања, затим и на део културних и спортских активности, и на крају, у мањем обиму, на извесна социјална издвајања на комуналном (општинском) нивоу.</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Други део издатака државе за финалну потрошњу има карактер заједничке (колективне) потрошње и односи се на издатке за државну управу, безбедност и одбрану, одржавање реда и поретка, доношење и примену закона, истраживање и развој на нивоу државе и сл. Ови издаци се посебно исказују у Систему.</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jc w:val="both"/>
        <w:rPr>
          <w:rStyle w:val="Strong"/>
          <w:rFonts w:ascii="Arial" w:hAnsi="Arial" w:cs="Arial"/>
          <w:lang w:val="sr-Latn-CS"/>
        </w:rPr>
      </w:pPr>
      <w:r w:rsidRPr="00C4688A">
        <w:rPr>
          <w:rStyle w:val="Strong"/>
          <w:rFonts w:ascii="Arial" w:hAnsi="Arial" w:cs="Arial"/>
          <w:sz w:val="20"/>
          <w:szCs w:val="20"/>
          <w:lang w:val="ru-RU"/>
        </w:rPr>
        <w:t>Издаци домаћинстава за финалну потрошњу (</w:t>
      </w:r>
      <w:r w:rsidRPr="00C4688A">
        <w:rPr>
          <w:rStyle w:val="Strong"/>
          <w:rFonts w:ascii="Arial" w:hAnsi="Arial" w:cs="Arial"/>
          <w:sz w:val="20"/>
          <w:szCs w:val="20"/>
        </w:rPr>
        <w:t>ESA</w:t>
      </w:r>
      <w:r w:rsidRPr="00C4688A">
        <w:rPr>
          <w:rStyle w:val="Strong"/>
          <w:rFonts w:ascii="Arial" w:hAnsi="Arial" w:cs="Arial"/>
          <w:sz w:val="20"/>
          <w:szCs w:val="20"/>
          <w:lang w:val="ru-RU"/>
        </w:rPr>
        <w:t>95 3.75) састоје се од</w:t>
      </w:r>
      <w:r w:rsidRPr="00C4688A">
        <w:rPr>
          <w:rStyle w:val="Strong"/>
          <w:rFonts w:ascii="Arial" w:hAnsi="Arial" w:cs="Arial"/>
          <w:sz w:val="20"/>
          <w:szCs w:val="20"/>
          <w:lang w:val="sr-Latn-CS"/>
        </w:rPr>
        <w:t xml:space="preserve"> </w:t>
      </w:r>
      <w:r w:rsidRPr="00C4688A">
        <w:rPr>
          <w:rStyle w:val="Strong"/>
          <w:rFonts w:ascii="Arial" w:hAnsi="Arial" w:cs="Arial"/>
          <w:sz w:val="20"/>
          <w:szCs w:val="20"/>
          <w:lang w:val="ru-RU"/>
        </w:rPr>
        <w:t>издатака резидентних домаћинстава за добра и услуге које се користе за директно задовољавање личних жеља и потреба чланова заједнице</w:t>
      </w:r>
      <w:r w:rsidRPr="00C4688A">
        <w:rPr>
          <w:rStyle w:val="Strong"/>
          <w:rFonts w:ascii="Arial" w:hAnsi="Arial" w:cs="Arial"/>
          <w:lang w:val="ru-RU"/>
        </w:rPr>
        <w:t>.</w:t>
      </w:r>
    </w:p>
    <w:p w:rsidR="009D65E4" w:rsidRPr="00C4688A" w:rsidRDefault="009D65E4" w:rsidP="009D65E4">
      <w:pPr>
        <w:jc w:val="both"/>
        <w:rPr>
          <w:rStyle w:val="Strong"/>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lang w:val="ru-RU"/>
        </w:rPr>
      </w:pPr>
      <w:bookmarkStart w:id="5" w:name="5"/>
      <w:r w:rsidRPr="00C4688A">
        <w:rPr>
          <w:rStyle w:val="Strong"/>
          <w:rFonts w:ascii="Arial" w:hAnsi="Arial" w:cs="Arial"/>
          <w:sz w:val="20"/>
          <w:szCs w:val="20"/>
          <w:lang w:val="ru-RU"/>
        </w:rPr>
        <w:t>Класификација</w:t>
      </w:r>
      <w:bookmarkEnd w:id="5"/>
      <w:r w:rsidRPr="00C4688A">
        <w:rPr>
          <w:rFonts w:ascii="Arial" w:hAnsi="Arial" w:cs="Arial"/>
          <w:sz w:val="20"/>
          <w:szCs w:val="20"/>
          <w:lang w:val="ru-RU"/>
        </w:rPr>
        <w:t xml:space="preserve"> </w:t>
      </w:r>
      <w:r w:rsidRPr="00C4688A">
        <w:rPr>
          <w:rFonts w:ascii="Arial" w:hAnsi="Arial" w:cs="Arial"/>
          <w:sz w:val="20"/>
          <w:szCs w:val="20"/>
          <w:lang w:val="ru-RU"/>
        </w:rPr>
        <w:br/>
      </w:r>
      <w:r w:rsidRPr="00C4688A">
        <w:rPr>
          <w:rFonts w:ascii="Arial" w:hAnsi="Arial" w:cs="Arial"/>
          <w:sz w:val="20"/>
          <w:szCs w:val="20"/>
          <w:lang w:val="ru-RU"/>
        </w:rPr>
        <w:br/>
      </w:r>
      <w:r w:rsidRPr="00C4688A">
        <w:rPr>
          <w:rStyle w:val="Strong"/>
          <w:rFonts w:ascii="Arial" w:hAnsi="Arial" w:cs="Arial"/>
          <w:sz w:val="20"/>
          <w:szCs w:val="20"/>
          <w:lang w:val="ru-RU"/>
        </w:rPr>
        <w:t>Класификација личне потрошње -- по намени (</w:t>
      </w:r>
      <w:r w:rsidRPr="009D65E4">
        <w:rPr>
          <w:rStyle w:val="Strong"/>
          <w:rFonts w:ascii="Arial" w:hAnsi="Arial" w:cs="Arial"/>
          <w:sz w:val="20"/>
          <w:szCs w:val="20"/>
          <w:lang w:val="sr-Latn-CS"/>
        </w:rPr>
        <w:t>COICOP</w:t>
      </w:r>
      <w:r w:rsidRPr="00C4688A">
        <w:rPr>
          <w:rStyle w:val="Strong"/>
          <w:rFonts w:ascii="Arial" w:hAnsi="Arial" w:cs="Arial"/>
          <w:sz w:val="20"/>
          <w:szCs w:val="20"/>
          <w:lang w:val="ru-RU"/>
        </w:rPr>
        <w:t xml:space="preserve">), садржи дванаест основних категорија: </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01 Храна и безалкохолна пића;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02 Алкохолна пића, дуван и наркотици;</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03 Одећа и обућа;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04 Становање, вода, струја, гас и друга горива;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05 Намештај, опрема за стан и одржавање;</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06 Здравље;</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07 Транспорт;</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08 Комуникације;</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09 Рекреација и култура;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10 Образовање;</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11 Ресторани и хотели;</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12 Остала добра и услуге;</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 xml:space="preserve">Као тринаеста категорија појављује се салдо издатака резидената и нерезидената за добра и услуге набављене у иностранству, односно у земљи. Структура </w:t>
      </w:r>
      <w:r w:rsidRPr="00C4688A">
        <w:rPr>
          <w:rFonts w:ascii="Arial" w:hAnsi="Arial" w:cs="Arial"/>
          <w:sz w:val="20"/>
          <w:szCs w:val="20"/>
        </w:rPr>
        <w:t>COICOP</w:t>
      </w:r>
      <w:r w:rsidRPr="00C4688A">
        <w:rPr>
          <w:rFonts w:ascii="Arial" w:hAnsi="Arial" w:cs="Arial"/>
          <w:sz w:val="20"/>
          <w:szCs w:val="20"/>
          <w:lang w:val="ru-RU"/>
        </w:rPr>
        <w:t xml:space="preserve"> која је прихваћена у овом раду има још 48 група, 109 класа и 148 основних поглавља. Резултати истраживања за Републику Србију у посматраном периоду биће приказани на нивоу група. Поред овог облика, </w:t>
      </w:r>
      <w:r w:rsidRPr="00C4688A">
        <w:rPr>
          <w:rFonts w:ascii="Arial" w:hAnsi="Arial" w:cs="Arial"/>
          <w:sz w:val="20"/>
          <w:szCs w:val="20"/>
        </w:rPr>
        <w:t>COICOP</w:t>
      </w:r>
      <w:r w:rsidRPr="00C4688A">
        <w:rPr>
          <w:rFonts w:ascii="Arial" w:hAnsi="Arial" w:cs="Arial"/>
          <w:sz w:val="20"/>
          <w:szCs w:val="20"/>
          <w:lang w:val="ru-RU"/>
        </w:rPr>
        <w:t>, у зависности од намене – за потребе обрачуна цена, истраживања буџета домаћинстава и друго, може имати и мало другачије структуриране агрегате.</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jc w:val="both"/>
        <w:rPr>
          <w:rFonts w:ascii="Arial" w:hAnsi="Arial" w:cs="Arial"/>
          <w:sz w:val="20"/>
          <w:szCs w:val="20"/>
          <w:lang w:val="sr-Latn-CS"/>
        </w:rPr>
      </w:pPr>
      <w:bookmarkStart w:id="6" w:name="6"/>
      <w:r w:rsidRPr="00C4688A">
        <w:rPr>
          <w:rStyle w:val="Strong"/>
          <w:rFonts w:ascii="Arial" w:hAnsi="Arial" w:cs="Arial"/>
          <w:sz w:val="20"/>
          <w:szCs w:val="20"/>
          <w:lang w:val="ru-RU"/>
        </w:rPr>
        <w:t>Обухватност</w:t>
      </w:r>
      <w:bookmarkEnd w:id="6"/>
      <w:r w:rsidRPr="00C4688A">
        <w:rPr>
          <w:rFonts w:ascii="Arial" w:hAnsi="Arial" w:cs="Arial"/>
          <w:sz w:val="20"/>
          <w:szCs w:val="20"/>
          <w:lang w:val="ru-RU"/>
        </w:rPr>
        <w:t xml:space="preserve"> </w:t>
      </w:r>
      <w:r w:rsidRPr="00C4688A">
        <w:rPr>
          <w:rFonts w:ascii="Arial" w:hAnsi="Arial" w:cs="Arial"/>
          <w:sz w:val="20"/>
          <w:szCs w:val="20"/>
          <w:lang w:val="ru-RU"/>
        </w:rPr>
        <w:br/>
      </w:r>
      <w:r w:rsidRPr="00C4688A">
        <w:rPr>
          <w:rFonts w:ascii="Arial" w:hAnsi="Arial" w:cs="Arial"/>
          <w:sz w:val="20"/>
          <w:szCs w:val="20"/>
          <w:lang w:val="ru-RU"/>
        </w:rPr>
        <w:br/>
        <w:t xml:space="preserve">И </w:t>
      </w:r>
      <w:r w:rsidRPr="009D65E4">
        <w:rPr>
          <w:rFonts w:ascii="Arial" w:hAnsi="Arial" w:cs="Arial"/>
          <w:sz w:val="20"/>
          <w:szCs w:val="20"/>
          <w:lang w:val="sr-Latn-CS"/>
        </w:rPr>
        <w:t>SNA</w:t>
      </w:r>
      <w:r w:rsidRPr="00C4688A">
        <w:rPr>
          <w:rFonts w:ascii="Arial" w:hAnsi="Arial" w:cs="Arial"/>
          <w:sz w:val="20"/>
          <w:szCs w:val="20"/>
          <w:lang w:val="ru-RU"/>
        </w:rPr>
        <w:t xml:space="preserve">93 и </w:t>
      </w:r>
      <w:r w:rsidRPr="009D65E4">
        <w:rPr>
          <w:rFonts w:ascii="Arial" w:hAnsi="Arial" w:cs="Arial"/>
          <w:sz w:val="20"/>
          <w:szCs w:val="20"/>
          <w:lang w:val="sr-Latn-CS"/>
        </w:rPr>
        <w:t>ESA</w:t>
      </w:r>
      <w:r w:rsidRPr="00C4688A">
        <w:rPr>
          <w:rFonts w:ascii="Arial" w:hAnsi="Arial" w:cs="Arial"/>
          <w:sz w:val="20"/>
          <w:szCs w:val="20"/>
          <w:lang w:val="ru-RU"/>
        </w:rPr>
        <w:t>95 поклањају посебну пажњу разграничењу издатака домаћинстава за финалну потрошњу у односу на неке друге издатке или употребе у Систему, имајући у виду, пре свега, да се домаћинства могу бавити и производњом. Овим издацима домаћинстава обухваћена су сва она добра и услуге које су намењене сопственој финалној потрошњи, тј. које су: плаћене новчаним или неновчаним средствима; плаћене одмах и у целости или на неки кредитни начин; стечене као облик зараде у натури или примањем поклона; и стечене из сопствене производње.</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br/>
        <w:t xml:space="preserve">У том смислу, посебно значајни </w:t>
      </w:r>
      <w:r w:rsidRPr="00C4688A">
        <w:rPr>
          <w:rStyle w:val="Strong"/>
          <w:rFonts w:ascii="Arial" w:hAnsi="Arial" w:cs="Arial"/>
          <w:sz w:val="20"/>
          <w:szCs w:val="20"/>
          <w:lang w:val="ru-RU"/>
        </w:rPr>
        <w:t>гранични случајеви који се укључују</w:t>
      </w:r>
      <w:r w:rsidRPr="00C4688A">
        <w:rPr>
          <w:rFonts w:ascii="Arial" w:hAnsi="Arial" w:cs="Arial"/>
          <w:sz w:val="20"/>
          <w:szCs w:val="20"/>
          <w:lang w:val="ru-RU"/>
        </w:rPr>
        <w:t xml:space="preserve"> (</w:t>
      </w:r>
      <w:r w:rsidRPr="009D65E4">
        <w:rPr>
          <w:rFonts w:ascii="Arial" w:hAnsi="Arial" w:cs="Arial"/>
          <w:sz w:val="20"/>
          <w:szCs w:val="20"/>
          <w:lang w:val="sr-Latn-CS"/>
        </w:rPr>
        <w:t>ESA</w:t>
      </w:r>
      <w:r w:rsidRPr="00C4688A">
        <w:rPr>
          <w:rFonts w:ascii="Arial" w:hAnsi="Arial" w:cs="Arial"/>
          <w:sz w:val="20"/>
          <w:szCs w:val="20"/>
          <w:lang w:val="ru-RU"/>
        </w:rPr>
        <w:t xml:space="preserve">95 3.76) у издатке домаћинстава за финалну потрошњу јесу: </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lastRenderedPageBreak/>
        <w:br/>
        <w:t>- Услуге становања, тј. стамбених ренти</w:t>
      </w:r>
      <w:r w:rsidRPr="00C4688A">
        <w:rPr>
          <w:rFonts w:ascii="Arial" w:hAnsi="Arial" w:cs="Arial"/>
          <w:sz w:val="20"/>
          <w:szCs w:val="20"/>
          <w:vertAlign w:val="superscript"/>
          <w:lang w:val="ru-RU"/>
        </w:rPr>
        <w:t>4</w:t>
      </w:r>
      <w:r w:rsidRPr="00C4688A">
        <w:rPr>
          <w:rFonts w:ascii="Arial" w:hAnsi="Arial" w:cs="Arial"/>
          <w:sz w:val="20"/>
          <w:szCs w:val="20"/>
          <w:lang w:val="ru-RU"/>
        </w:rPr>
        <w:t xml:space="preserve"> , без обзира на власништво стана, укључујући и сопствено власништво над станом у коме се станује;</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 Доходак у натури: </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а) део који се односи на добра и услуге које послодавци дају запосленима као део зараде у натури, уместо, као што је уобичајено, у новцу [</w:t>
      </w:r>
      <w:r w:rsidRPr="009D65E4">
        <w:rPr>
          <w:rFonts w:ascii="Arial" w:hAnsi="Arial" w:cs="Arial"/>
          <w:sz w:val="20"/>
          <w:szCs w:val="20"/>
          <w:lang w:val="sr-Latn-CS"/>
        </w:rPr>
        <w:t>ESA</w:t>
      </w:r>
      <w:r w:rsidRPr="00C4688A">
        <w:rPr>
          <w:rFonts w:ascii="Arial" w:hAnsi="Arial" w:cs="Arial"/>
          <w:sz w:val="20"/>
          <w:szCs w:val="20"/>
          <w:lang w:val="ru-RU"/>
        </w:rPr>
        <w:t>95 3.76 (</w:t>
      </w:r>
      <w:r w:rsidRPr="009D65E4">
        <w:rPr>
          <w:rFonts w:ascii="Arial" w:hAnsi="Arial" w:cs="Arial"/>
          <w:sz w:val="20"/>
          <w:szCs w:val="20"/>
          <w:lang w:val="sr-Latn-CS"/>
        </w:rPr>
        <w:t>b</w:t>
      </w:r>
      <w:r w:rsidRPr="00C4688A">
        <w:rPr>
          <w:rFonts w:ascii="Arial" w:hAnsi="Arial" w:cs="Arial"/>
          <w:sz w:val="20"/>
          <w:szCs w:val="20"/>
          <w:lang w:val="ru-RU"/>
        </w:rPr>
        <w:t xml:space="preserve">) (1); </w:t>
      </w:r>
    </w:p>
    <w:p w:rsidR="009D65E4" w:rsidRPr="00C4688A" w:rsidRDefault="009D65E4" w:rsidP="009D65E4">
      <w:pPr>
        <w:jc w:val="both"/>
        <w:rPr>
          <w:rFonts w:ascii="Arial" w:hAnsi="Arial" w:cs="Arial"/>
          <w:sz w:val="20"/>
          <w:szCs w:val="20"/>
          <w:lang w:val="sr-Latn-CS"/>
        </w:rPr>
      </w:pPr>
      <w:r w:rsidRPr="009D65E4">
        <w:rPr>
          <w:rFonts w:ascii="Arial" w:hAnsi="Arial" w:cs="Arial"/>
          <w:sz w:val="20"/>
          <w:szCs w:val="20"/>
          <w:lang w:val="sr-Latn-CS"/>
        </w:rPr>
        <w:t>SNA</w:t>
      </w:r>
      <w:r w:rsidRPr="00C4688A">
        <w:rPr>
          <w:rFonts w:ascii="Arial" w:hAnsi="Arial" w:cs="Arial"/>
          <w:sz w:val="20"/>
          <w:szCs w:val="20"/>
          <w:lang w:val="ru-RU"/>
        </w:rPr>
        <w:t>93 9.50];</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б) део који се односи на потрошњу добара произведених у сопственом домаћинству, у првом реду хране и пића, најчешће у пољопривредним домаћинствима, и део који се односи на услуге које пружа стално запослено или по потреби ангажовано особље у домаћинствима, као што су кување, спремање, прање и пеглање, чување деце и друго [ESA95 3.76 (b) (2);SNA93 9.52];</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 Издаци који се односе на набавку материјала за текуће одржавање стана, покућства, аутомобила и сл.; </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Набавка коришћених трајних потрошних добара од других институционалних сектора или из иностранства;</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 И један број ставки које се односе на издатке за финансијске услуге, услуге осигурања, за поједине врсте дозвола и сл. </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С друге стране, значајни су следећи </w:t>
      </w:r>
      <w:r w:rsidRPr="00C4688A">
        <w:rPr>
          <w:rFonts w:ascii="Arial" w:hAnsi="Arial" w:cs="Arial"/>
          <w:b/>
          <w:sz w:val="20"/>
          <w:szCs w:val="20"/>
          <w:lang w:val="ru-RU"/>
        </w:rPr>
        <w:t>гранични случајеви који се искључују</w:t>
      </w:r>
      <w:r w:rsidRPr="00C4688A">
        <w:rPr>
          <w:rFonts w:ascii="Arial" w:hAnsi="Arial" w:cs="Arial"/>
          <w:sz w:val="20"/>
          <w:szCs w:val="20"/>
          <w:lang w:val="ru-RU"/>
        </w:rPr>
        <w:t xml:space="preserve"> (ESA95 3.77) из издатака домаћинстава за финалну потрошњу: </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Социјални трансфери у натури за које трошкове првобитно сноси домаћинство, а који се потом рефундирају из средстава социјалног осигурања;</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 Ставке које имају третман међуфазне потрошње или бруто инвестиција, као што су: </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а) издаци домаћинства које има регистровану неку предузетничку активност (радњу, агенцију или слично -- нпр. пекар, месар, електричар, таксиста, зубар, адвокат итд.) када набавља трајна потрошна добра (нпр. аутомобил) само за потребе свог посла; </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б) издаци домаћинства за куповину стана или неке друге некретнине и њихово инвестиционо одржавање; </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xml:space="preserve">в) издаци за драгоцености, нпр. вредне уметничке слике или скупоцени накит; </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br/>
        <w:t xml:space="preserve">- Издаци за куповину земље и друге тзв. непроизведене активе; </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Плаћања домаћинстава за порезе и таксе;</w:t>
      </w:r>
    </w:p>
    <w:p w:rsidR="009D65E4" w:rsidRPr="00C4688A" w:rsidRDefault="009D65E4" w:rsidP="009D65E4">
      <w:pPr>
        <w:jc w:val="both"/>
        <w:rPr>
          <w:rFonts w:ascii="Arial" w:hAnsi="Arial" w:cs="Arial"/>
          <w:sz w:val="20"/>
          <w:szCs w:val="20"/>
          <w:lang w:val="sr-Latn-CS"/>
        </w:rPr>
      </w:pP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t>- Плаћања домаћинстава за чланарине, претплате и доприносе сектору Непрофитних институција које пружају услуге домаћинствима, као што су синдикати, професионална удружења и друга социјална, културна и верска удружења;</w:t>
      </w:r>
    </w:p>
    <w:p w:rsidR="009D65E4" w:rsidRPr="00C4688A" w:rsidRDefault="009D65E4" w:rsidP="009D65E4">
      <w:pPr>
        <w:jc w:val="both"/>
        <w:rPr>
          <w:rFonts w:ascii="Arial" w:hAnsi="Arial" w:cs="Arial"/>
          <w:sz w:val="20"/>
          <w:szCs w:val="20"/>
          <w:lang w:val="sr-Latn-CS"/>
        </w:rPr>
      </w:pPr>
      <w:r w:rsidRPr="00C4688A">
        <w:rPr>
          <w:rFonts w:ascii="Arial" w:hAnsi="Arial" w:cs="Arial"/>
          <w:sz w:val="20"/>
          <w:szCs w:val="20"/>
          <w:lang w:val="ru-RU"/>
        </w:rPr>
        <w:br/>
        <w:t>- Добровољни прилози и поклони домаћинстава дати добротворним и хуманитарним организацијама.</w:t>
      </w:r>
    </w:p>
    <w:p w:rsidR="009D65E4" w:rsidRPr="00C4688A" w:rsidRDefault="009D65E4" w:rsidP="009D65E4">
      <w:pPr>
        <w:jc w:val="both"/>
        <w:rPr>
          <w:rFonts w:ascii="Arial" w:hAnsi="Arial" w:cs="Arial"/>
          <w:sz w:val="20"/>
          <w:szCs w:val="20"/>
          <w:lang w:val="sr-Latn-CS"/>
        </w:rPr>
      </w:pPr>
    </w:p>
    <w:p w:rsidR="009D65E4" w:rsidRPr="003152FC" w:rsidRDefault="009D65E4" w:rsidP="009D65E4">
      <w:pPr>
        <w:pStyle w:val="NormalWeb"/>
        <w:spacing w:before="0" w:beforeAutospacing="0" w:after="0" w:afterAutospacing="0"/>
        <w:jc w:val="both"/>
        <w:rPr>
          <w:rFonts w:ascii="Arial" w:hAnsi="Arial" w:cs="Arial"/>
          <w:sz w:val="20"/>
          <w:szCs w:val="20"/>
          <w:lang w:val="ru-RU"/>
        </w:rPr>
      </w:pPr>
      <w:bookmarkStart w:id="7" w:name="7"/>
      <w:r w:rsidRPr="00C4688A">
        <w:rPr>
          <w:rStyle w:val="Strong"/>
          <w:rFonts w:ascii="Arial" w:hAnsi="Arial" w:cs="Arial"/>
          <w:sz w:val="20"/>
          <w:szCs w:val="20"/>
          <w:lang w:val="ru-RU"/>
        </w:rPr>
        <w:t>Време бележења</w:t>
      </w:r>
      <w:bookmarkEnd w:id="7"/>
      <w:r w:rsidRPr="00C4688A">
        <w:rPr>
          <w:rFonts w:ascii="Arial" w:hAnsi="Arial" w:cs="Arial"/>
          <w:sz w:val="20"/>
          <w:szCs w:val="20"/>
          <w:lang w:val="ru-RU"/>
        </w:rPr>
        <w:t xml:space="preserve"> </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t>Време бележења издатака домаћинстава за финалну употребу (</w:t>
      </w:r>
      <w:r w:rsidRPr="009D65E4">
        <w:rPr>
          <w:rFonts w:ascii="Arial" w:hAnsi="Arial" w:cs="Arial"/>
          <w:sz w:val="20"/>
          <w:szCs w:val="20"/>
          <w:lang w:val="sr-Latn-CS"/>
        </w:rPr>
        <w:t>ESA</w:t>
      </w:r>
      <w:r w:rsidRPr="00C4688A">
        <w:rPr>
          <w:rFonts w:ascii="Arial" w:hAnsi="Arial" w:cs="Arial"/>
          <w:sz w:val="20"/>
          <w:szCs w:val="20"/>
          <w:lang w:val="ru-RU"/>
        </w:rPr>
        <w:t>95 3.89) генерално је тренутак настанка обавезе купца према продавцу. То значи да се издаци за добра бележе у тренутку промене власништва, а издаци за услуге онда када је пружање услуге довршено.</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t>Издаци за добра набављена путем кредита (</w:t>
      </w:r>
      <w:r w:rsidRPr="009D65E4">
        <w:rPr>
          <w:rFonts w:ascii="Arial" w:hAnsi="Arial" w:cs="Arial"/>
          <w:sz w:val="20"/>
          <w:szCs w:val="20"/>
          <w:lang w:val="sr-Latn-CS"/>
        </w:rPr>
        <w:t>ESA</w:t>
      </w:r>
      <w:r w:rsidRPr="00C4688A">
        <w:rPr>
          <w:rFonts w:ascii="Arial" w:hAnsi="Arial" w:cs="Arial"/>
          <w:sz w:val="20"/>
          <w:szCs w:val="20"/>
          <w:lang w:val="ru-RU"/>
        </w:rPr>
        <w:t>95 3.90), најма, откупа и слично, као и за она набављена путем финансијског лизинга, бележе се, по конвенцији, у тренутку испоруке тих добара, без обзира на то да ли у том тренутку долази до промене власништва.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lastRenderedPageBreak/>
        <w:br/>
        <w:t>Потрошња из сопствене производње (</w:t>
      </w:r>
      <w:r w:rsidRPr="009D65E4">
        <w:rPr>
          <w:rFonts w:ascii="Arial" w:hAnsi="Arial" w:cs="Arial"/>
          <w:sz w:val="20"/>
          <w:szCs w:val="20"/>
          <w:lang w:val="sr-Latn-CS"/>
        </w:rPr>
        <w:t>ESA</w:t>
      </w:r>
      <w:r w:rsidRPr="00C4688A">
        <w:rPr>
          <w:rFonts w:ascii="Arial" w:hAnsi="Arial" w:cs="Arial"/>
          <w:sz w:val="20"/>
          <w:szCs w:val="20"/>
          <w:lang w:val="ru-RU"/>
        </w:rPr>
        <w:t>95 3.91) бележи се у тренутку када је производ који се задржава за сопствену потрошњу произведен.</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Pr="00C4688A" w:rsidRDefault="009D65E4" w:rsidP="009D65E4">
      <w:pPr>
        <w:pStyle w:val="NormalWeb"/>
        <w:spacing w:before="0" w:beforeAutospacing="0" w:after="0" w:afterAutospacing="0"/>
        <w:jc w:val="both"/>
        <w:rPr>
          <w:rFonts w:ascii="Arial" w:hAnsi="Arial" w:cs="Arial"/>
          <w:lang w:val="ru-RU"/>
        </w:rPr>
      </w:pPr>
      <w:bookmarkStart w:id="8" w:name="8"/>
      <w:r w:rsidRPr="00C4688A">
        <w:rPr>
          <w:rStyle w:val="Strong"/>
          <w:rFonts w:ascii="Arial" w:hAnsi="Arial" w:cs="Arial"/>
          <w:sz w:val="20"/>
          <w:szCs w:val="20"/>
          <w:lang w:val="ru-RU"/>
        </w:rPr>
        <w:t xml:space="preserve">Вредновање </w:t>
      </w:r>
      <w:bookmarkEnd w:id="8"/>
      <w:r w:rsidRPr="00C4688A">
        <w:rPr>
          <w:rFonts w:ascii="Arial" w:hAnsi="Arial" w:cs="Arial"/>
          <w:sz w:val="20"/>
          <w:szCs w:val="20"/>
          <w:lang w:val="ru-RU"/>
        </w:rPr>
        <w:br/>
      </w:r>
      <w:r w:rsidRPr="00C4688A">
        <w:rPr>
          <w:rFonts w:ascii="Arial" w:hAnsi="Arial" w:cs="Arial"/>
          <w:sz w:val="20"/>
          <w:szCs w:val="20"/>
          <w:lang w:val="ru-RU"/>
        </w:rPr>
        <w:br/>
        <w:t>Издаци домаћинстава за финалну потрошњу вреднују се (</w:t>
      </w:r>
      <w:r w:rsidRPr="009D65E4">
        <w:rPr>
          <w:rFonts w:ascii="Arial" w:hAnsi="Arial" w:cs="Arial"/>
          <w:sz w:val="20"/>
          <w:szCs w:val="20"/>
          <w:lang w:val="sr-Latn-CS"/>
        </w:rPr>
        <w:t>ESA</w:t>
      </w:r>
      <w:r w:rsidRPr="00C4688A">
        <w:rPr>
          <w:rFonts w:ascii="Arial" w:hAnsi="Arial" w:cs="Arial"/>
          <w:sz w:val="20"/>
          <w:szCs w:val="20"/>
          <w:lang w:val="ru-RU"/>
        </w:rPr>
        <w:t>95 3.92) према ценам</w:t>
      </w:r>
      <w:r w:rsidRPr="009D65E4">
        <w:rPr>
          <w:rFonts w:ascii="Arial" w:hAnsi="Arial" w:cs="Arial"/>
          <w:sz w:val="20"/>
          <w:szCs w:val="20"/>
          <w:lang w:val="sr-Latn-CS"/>
        </w:rPr>
        <w:t>a</w:t>
      </w:r>
      <w:r>
        <w:rPr>
          <w:rFonts w:ascii="Arial" w:hAnsi="Arial" w:cs="Arial"/>
          <w:sz w:val="20"/>
          <w:szCs w:val="20"/>
          <w:lang w:val="ru-RU"/>
        </w:rPr>
        <w:t xml:space="preserve"> које</w:t>
      </w:r>
      <w:r w:rsidRPr="003152FC">
        <w:rPr>
          <w:rFonts w:ascii="Arial" w:hAnsi="Arial" w:cs="Arial"/>
          <w:sz w:val="20"/>
          <w:szCs w:val="20"/>
          <w:lang w:val="ru-RU"/>
        </w:rPr>
        <w:t xml:space="preserve"> купац стварно плаћа у тренутку набавке. </w:t>
      </w:r>
      <w:r w:rsidRPr="00C4688A">
        <w:rPr>
          <w:rFonts w:ascii="Arial" w:hAnsi="Arial" w:cs="Arial"/>
          <w:sz w:val="20"/>
          <w:szCs w:val="20"/>
          <w:lang w:val="ru-RU"/>
        </w:rPr>
        <w:t>Добра и услуге које су задржане за сопствену потрошњу вреднују се (</w:t>
      </w:r>
      <w:r w:rsidRPr="00C4688A">
        <w:rPr>
          <w:rFonts w:ascii="Arial" w:hAnsi="Arial" w:cs="Arial"/>
          <w:sz w:val="20"/>
          <w:szCs w:val="20"/>
        </w:rPr>
        <w:t>ESA</w:t>
      </w:r>
      <w:r w:rsidRPr="00C4688A">
        <w:rPr>
          <w:rFonts w:ascii="Arial" w:hAnsi="Arial" w:cs="Arial"/>
          <w:sz w:val="20"/>
          <w:szCs w:val="20"/>
          <w:lang w:val="ru-RU"/>
        </w:rPr>
        <w:t>95 3.94) по базним ценама, као и добра и услуге које запослени добијају као накнаду у натури, уколико су произведена од стране њихових послодаваца (</w:t>
      </w:r>
      <w:r w:rsidRPr="00C4688A">
        <w:rPr>
          <w:rFonts w:ascii="Arial" w:hAnsi="Arial" w:cs="Arial"/>
          <w:sz w:val="20"/>
          <w:szCs w:val="20"/>
        </w:rPr>
        <w:t>ESA</w:t>
      </w:r>
      <w:r w:rsidRPr="00C4688A">
        <w:rPr>
          <w:rFonts w:ascii="Arial" w:hAnsi="Arial" w:cs="Arial"/>
          <w:sz w:val="20"/>
          <w:szCs w:val="20"/>
          <w:lang w:val="ru-RU"/>
        </w:rPr>
        <w:t>95 3.93).</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r>
      <w:bookmarkStart w:id="9" w:name="9"/>
      <w:r w:rsidRPr="00C4688A">
        <w:rPr>
          <w:rStyle w:val="Strong"/>
          <w:rFonts w:ascii="Arial" w:hAnsi="Arial" w:cs="Arial"/>
          <w:sz w:val="20"/>
          <w:szCs w:val="20"/>
          <w:lang w:val="ru-RU"/>
        </w:rPr>
        <w:t>Извори</w:t>
      </w:r>
      <w:bookmarkEnd w:id="9"/>
    </w:p>
    <w:p w:rsidR="009D65E4" w:rsidRPr="00C4688A" w:rsidRDefault="009D65E4" w:rsidP="009D65E4">
      <w:pPr>
        <w:pStyle w:val="NormalWeb"/>
        <w:spacing w:before="0" w:beforeAutospacing="0" w:after="0" w:afterAutospacing="0"/>
        <w:jc w:val="both"/>
        <w:rPr>
          <w:rFonts w:ascii="Arial" w:hAnsi="Arial" w:cs="Arial"/>
          <w:lang w:val="ru-RU"/>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 xml:space="preserve">Основни приступ у процењивању података о издацима домаћинстава за финалну потрошњу јесте коришћење више или бар два различита релевантна извора података о посматраној појави, и то на широј, детаљнијој основи, тј. на већем броју ставки, који омогућава поузданост обухвата Класификацијом задатих агрегата. </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t>Ово је посебно важно за земље које пролазе кроз тзв. транзициони период свога развоја, када се дешавају врло значајне промене у структури економског система: у власништву над средствима за производњу, у самој производњи, у расподели укупног друштвеног богатства и у обиму, структури и динамици финалне потрошње. Из тих разлога, да би се добили поуздани резултати процењивања финалне потрошње, користе се подаци о посматраној појави с више страна, добијени применом различитих метода.</w:t>
      </w:r>
    </w:p>
    <w:p w:rsidR="009D65E4" w:rsidRPr="00C4688A" w:rsidRDefault="009D65E4" w:rsidP="009D65E4">
      <w:pPr>
        <w:pStyle w:val="NormalWeb"/>
        <w:spacing w:before="0" w:beforeAutospacing="0" w:after="0" w:afterAutospacing="0"/>
        <w:jc w:val="both"/>
        <w:rPr>
          <w:rFonts w:ascii="Arial" w:hAnsi="Arial" w:cs="Arial"/>
          <w:lang w:val="ru-RU"/>
        </w:rPr>
      </w:pPr>
      <w:r w:rsidRPr="00C4688A">
        <w:rPr>
          <w:rFonts w:ascii="Arial" w:hAnsi="Arial" w:cs="Arial"/>
          <w:sz w:val="20"/>
          <w:szCs w:val="20"/>
          <w:lang w:val="ru-RU"/>
        </w:rPr>
        <w:br/>
        <w:t xml:space="preserve">У складу са широко постављеним препорукама </w:t>
      </w:r>
      <w:r w:rsidRPr="009D65E4">
        <w:rPr>
          <w:rFonts w:ascii="Arial" w:hAnsi="Arial" w:cs="Arial"/>
          <w:sz w:val="20"/>
          <w:szCs w:val="20"/>
          <w:lang w:val="sr-Latn-CS"/>
        </w:rPr>
        <w:t>SNA</w:t>
      </w:r>
      <w:r w:rsidRPr="00C4688A">
        <w:rPr>
          <w:rFonts w:ascii="Arial" w:hAnsi="Arial" w:cs="Arial"/>
          <w:sz w:val="20"/>
          <w:szCs w:val="20"/>
          <w:lang w:val="ru-RU"/>
        </w:rPr>
        <w:t xml:space="preserve">93 и </w:t>
      </w:r>
      <w:r w:rsidRPr="009D65E4">
        <w:rPr>
          <w:rFonts w:ascii="Arial" w:hAnsi="Arial" w:cs="Arial"/>
          <w:sz w:val="20"/>
          <w:szCs w:val="20"/>
          <w:lang w:val="sr-Latn-CS"/>
        </w:rPr>
        <w:t>ESA</w:t>
      </w:r>
      <w:r w:rsidRPr="00C4688A">
        <w:rPr>
          <w:rFonts w:ascii="Arial" w:hAnsi="Arial" w:cs="Arial"/>
          <w:sz w:val="20"/>
          <w:szCs w:val="20"/>
          <w:lang w:val="ru-RU"/>
        </w:rPr>
        <w:t xml:space="preserve">95 и на основу искуства многих земаља у процењивању издатака домаћинстава за финалну потрошњу користе се резултати истраживања већег броја служби унутар Републичког завода за статистику Србије, затим подаци из административних извора, тј. подаци из датотека других државних органа и институција, као и подаци из осталих различитих извора чија се релевантност </w:t>
      </w:r>
      <w:r w:rsidRPr="003152FC">
        <w:rPr>
          <w:rFonts w:ascii="Arial" w:hAnsi="Arial" w:cs="Arial"/>
          <w:sz w:val="20"/>
          <w:szCs w:val="20"/>
          <w:lang w:val="ru-RU"/>
        </w:rPr>
        <w:t xml:space="preserve">може проверити. </w:t>
      </w:r>
      <w:r w:rsidRPr="00C4688A">
        <w:rPr>
          <w:rFonts w:ascii="Arial" w:hAnsi="Arial" w:cs="Arial"/>
          <w:sz w:val="20"/>
          <w:szCs w:val="20"/>
          <w:lang w:val="ru-RU"/>
        </w:rPr>
        <w:t>Подаци за овде приказану процену издатака домаћинстава за финалну потрошњу ослањају се на званичне резултате истраживања једног броја служби Завода, која се односе на следеће области: потрошњу у домаћинствима, трговину на мало, транспорт, комуникације, угоститељство, пословање предузетника, приходе и расходе државних институција, увоз и извоз добара и услуга, затим пољопривреду, индустрију, радну снагу и цене. Поред тога, коришћени су и подаци: Народне банке Србије, Министарства финансија Републике Србије (укључујући Пореску управу), Управе царина, Министарства унутрашњих послова Србије, Електропривреде Србије, Телекома Србија, Привредне коморе Србије, струковних удружења, стручних часописа и др.</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r>
      <w:bookmarkStart w:id="10" w:name="10"/>
      <w:r w:rsidRPr="00C4688A">
        <w:rPr>
          <w:rStyle w:val="Strong"/>
          <w:rFonts w:ascii="Arial" w:hAnsi="Arial" w:cs="Arial"/>
          <w:sz w:val="20"/>
          <w:szCs w:val="20"/>
          <w:lang w:val="ru-RU"/>
        </w:rPr>
        <w:t>Употреба извора</w:t>
      </w:r>
      <w:bookmarkEnd w:id="10"/>
    </w:p>
    <w:p w:rsidR="009D65E4" w:rsidRPr="00C4688A" w:rsidRDefault="009D65E4" w:rsidP="009D65E4">
      <w:pPr>
        <w:pStyle w:val="NormalWeb"/>
        <w:spacing w:before="0" w:beforeAutospacing="0" w:after="0" w:afterAutospacing="0"/>
        <w:jc w:val="both"/>
        <w:rPr>
          <w:rFonts w:ascii="Arial" w:hAnsi="Arial" w:cs="Arial"/>
          <w:lang w:val="ru-RU"/>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Style w:val="Strong"/>
          <w:rFonts w:ascii="Arial" w:hAnsi="Arial" w:cs="Arial"/>
          <w:sz w:val="20"/>
          <w:szCs w:val="20"/>
          <w:lang w:val="ru-RU"/>
        </w:rPr>
        <w:t>Принципи</w:t>
      </w:r>
      <w:r w:rsidRPr="00C4688A">
        <w:rPr>
          <w:rFonts w:ascii="Arial" w:hAnsi="Arial" w:cs="Arial"/>
          <w:sz w:val="20"/>
          <w:szCs w:val="20"/>
          <w:lang w:val="ru-RU"/>
        </w:rPr>
        <w:t xml:space="preserve"> </w:t>
      </w:r>
      <w:r w:rsidRPr="00C4688A">
        <w:rPr>
          <w:rFonts w:ascii="Arial" w:hAnsi="Arial" w:cs="Arial"/>
          <w:sz w:val="20"/>
          <w:szCs w:val="20"/>
          <w:lang w:val="ru-RU"/>
        </w:rPr>
        <w:br/>
      </w:r>
    </w:p>
    <w:p w:rsidR="009D65E4" w:rsidRPr="00C4688A" w:rsidRDefault="009D65E4" w:rsidP="009D65E4">
      <w:pPr>
        <w:pStyle w:val="NormalWeb"/>
        <w:spacing w:before="0" w:beforeAutospacing="0" w:after="0" w:afterAutospacing="0"/>
        <w:jc w:val="both"/>
        <w:rPr>
          <w:rStyle w:val="Strong"/>
          <w:rFonts w:ascii="Arial" w:hAnsi="Arial" w:cs="Arial"/>
          <w:sz w:val="20"/>
          <w:szCs w:val="20"/>
          <w:lang w:val="sr-Latn-CS"/>
        </w:rPr>
      </w:pPr>
      <w:r w:rsidRPr="00C4688A">
        <w:rPr>
          <w:rStyle w:val="Strong"/>
          <w:rFonts w:ascii="Arial" w:hAnsi="Arial" w:cs="Arial"/>
          <w:sz w:val="20"/>
          <w:szCs w:val="20"/>
          <w:lang w:val="ru-RU"/>
        </w:rPr>
        <w:t xml:space="preserve">Основни принцип који је примењен приликом процене ставки из издатака домаћинстава за финалну потрошњу јесте усклађивање података о једној истој појави добијених из различитих извора. То укључује анализу метода (дефиниција, обухвата, поступака и др.) примењених за добијање тих података, као и проверу функционалне логичности података узетих из сваког од тих извора. Такође, посматра се временска серија саме појаве. На крају, сагледава се вредност посматране појаве </w:t>
      </w:r>
      <w:r w:rsidRPr="00C4688A">
        <w:rPr>
          <w:rStyle w:val="Strong"/>
          <w:rFonts w:ascii="Arial" w:hAnsi="Arial" w:cs="Arial"/>
          <w:sz w:val="20"/>
          <w:szCs w:val="20"/>
          <w:lang w:val="ru-RU"/>
        </w:rPr>
        <w:lastRenderedPageBreak/>
        <w:t>у односу на вредности других појава из других делова економског система, које су с њом, у макроекономском смислу, функционално повезане.</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t xml:space="preserve">У пракси се најчешће издвајају следеће групе извора: подаци из </w:t>
      </w:r>
      <w:r w:rsidRPr="009D65E4">
        <w:rPr>
          <w:rFonts w:ascii="Arial" w:hAnsi="Arial" w:cs="Arial"/>
          <w:sz w:val="20"/>
          <w:szCs w:val="20"/>
          <w:lang w:val="sr-Latn-CS"/>
        </w:rPr>
        <w:t>A</w:t>
      </w:r>
      <w:r w:rsidRPr="00C4688A">
        <w:rPr>
          <w:rFonts w:ascii="Arial" w:hAnsi="Arial" w:cs="Arial"/>
          <w:sz w:val="20"/>
          <w:szCs w:val="20"/>
          <w:lang w:val="ru-RU"/>
        </w:rPr>
        <w:t>нкете о потрошњи домаћинстава, подаци из истраживања гранских статистика, подаци из административних тј. државних институција и подаци из осталих организација, чијим се разматрањем и усклађивањем долази до процене издатака домаћинстава за финалну потрошњу.</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r>
      <w:r w:rsidRPr="00C4688A">
        <w:rPr>
          <w:rStyle w:val="Strong"/>
          <w:rFonts w:ascii="Arial" w:hAnsi="Arial" w:cs="Arial"/>
          <w:sz w:val="20"/>
          <w:szCs w:val="20"/>
          <w:lang w:val="ru-RU"/>
        </w:rPr>
        <w:t>Додатна истраживања</w:t>
      </w:r>
      <w:r w:rsidRPr="00C4688A">
        <w:rPr>
          <w:rFonts w:ascii="Arial" w:hAnsi="Arial" w:cs="Arial"/>
          <w:sz w:val="20"/>
          <w:szCs w:val="20"/>
          <w:lang w:val="ru-RU"/>
        </w:rPr>
        <w:t xml:space="preserve"> </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Посебна пажња посвећена је категоријама: Храна и безалкохолна пића (01), Алкохолна пића (02), Становање (04) и Транспорт (07).</w:t>
      </w:r>
      <w:r>
        <w:rPr>
          <w:rFonts w:ascii="Arial" w:hAnsi="Arial" w:cs="Arial"/>
          <w:sz w:val="20"/>
          <w:szCs w:val="20"/>
          <w:lang w:val="sr-Latn-CS"/>
        </w:rPr>
        <w:t xml:space="preserve"> </w:t>
      </w:r>
      <w:r w:rsidRPr="00C4688A">
        <w:rPr>
          <w:rFonts w:ascii="Arial" w:hAnsi="Arial" w:cs="Arial"/>
          <w:sz w:val="20"/>
          <w:szCs w:val="20"/>
          <w:lang w:val="ru-RU"/>
        </w:rPr>
        <w:t>За категорије Храна (01) и Алкохолна пића (02) додатно је примењен метод робних токова за двадесетак ставки – обрачунат у складу са “</w:t>
      </w:r>
      <w:r w:rsidRPr="009D65E4">
        <w:rPr>
          <w:rFonts w:ascii="Arial" w:hAnsi="Arial" w:cs="Arial"/>
          <w:sz w:val="20"/>
          <w:szCs w:val="20"/>
          <w:lang w:val="sr-Latn-CS"/>
        </w:rPr>
        <w:t>Food</w:t>
      </w:r>
      <w:r w:rsidRPr="00C4688A">
        <w:rPr>
          <w:rFonts w:ascii="Arial" w:hAnsi="Arial" w:cs="Arial"/>
          <w:sz w:val="20"/>
          <w:szCs w:val="20"/>
          <w:lang w:val="ru-RU"/>
        </w:rPr>
        <w:t xml:space="preserve"> </w:t>
      </w:r>
      <w:r w:rsidRPr="009D65E4">
        <w:rPr>
          <w:rFonts w:ascii="Arial" w:hAnsi="Arial" w:cs="Arial"/>
          <w:sz w:val="20"/>
          <w:szCs w:val="20"/>
          <w:lang w:val="sr-Latn-CS"/>
        </w:rPr>
        <w:t>balance</w:t>
      </w:r>
      <w:r w:rsidRPr="00C4688A">
        <w:rPr>
          <w:rFonts w:ascii="Arial" w:hAnsi="Arial" w:cs="Arial"/>
          <w:sz w:val="20"/>
          <w:szCs w:val="20"/>
          <w:lang w:val="ru-RU"/>
        </w:rPr>
        <w:t xml:space="preserve"> </w:t>
      </w:r>
      <w:r w:rsidRPr="009D65E4">
        <w:rPr>
          <w:rFonts w:ascii="Arial" w:hAnsi="Arial" w:cs="Arial"/>
          <w:sz w:val="20"/>
          <w:szCs w:val="20"/>
          <w:lang w:val="sr-Latn-CS"/>
        </w:rPr>
        <w:t>sheet</w:t>
      </w:r>
      <w:r w:rsidRPr="00C4688A">
        <w:rPr>
          <w:rFonts w:ascii="Arial" w:hAnsi="Arial" w:cs="Arial"/>
          <w:sz w:val="20"/>
          <w:szCs w:val="20"/>
          <w:lang w:val="ru-RU"/>
        </w:rPr>
        <w:t>” методом</w:t>
      </w:r>
      <w:r w:rsidRPr="00C4688A">
        <w:rPr>
          <w:rFonts w:ascii="Arial" w:hAnsi="Arial" w:cs="Arial"/>
          <w:sz w:val="20"/>
          <w:szCs w:val="20"/>
          <w:vertAlign w:val="superscript"/>
          <w:lang w:val="ru-RU"/>
        </w:rPr>
        <w:t>5</w:t>
      </w:r>
      <w:r w:rsidRPr="00C4688A">
        <w:rPr>
          <w:rFonts w:ascii="Arial" w:hAnsi="Arial" w:cs="Arial"/>
          <w:sz w:val="20"/>
          <w:szCs w:val="20"/>
          <w:lang w:val="ru-RU"/>
        </w:rPr>
        <w:t>, развијеном у Уједињеним нацијама, Организацији за храну и пољопривреду (</w:t>
      </w:r>
      <w:r w:rsidRPr="009D65E4">
        <w:rPr>
          <w:rFonts w:ascii="Arial" w:hAnsi="Arial" w:cs="Arial"/>
          <w:sz w:val="20"/>
          <w:szCs w:val="20"/>
          <w:lang w:val="sr-Latn-CS"/>
        </w:rPr>
        <w:t>FAO</w:t>
      </w:r>
      <w:r w:rsidRPr="00C4688A">
        <w:rPr>
          <w:rFonts w:ascii="Arial" w:hAnsi="Arial" w:cs="Arial"/>
          <w:sz w:val="20"/>
          <w:szCs w:val="20"/>
          <w:lang w:val="ru-RU"/>
        </w:rPr>
        <w:t>), при чему су као главни ослонац коришћени подаци из области пољопривреде, индустрије и спољне трговине, а затим и подаци из угоститељства и АПД. У смислу неке врсте упоредног сагледавања, коришћени су и резултати примене овог метода код десетак европских земаља.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t>У категорији Становање (04) обрачуната је импутирана рента за већински део станова у којима станују домаћинства која су и власници тих станова према “</w:t>
      </w:r>
      <w:r w:rsidRPr="009D65E4">
        <w:rPr>
          <w:rFonts w:ascii="Arial" w:hAnsi="Arial" w:cs="Arial"/>
          <w:sz w:val="20"/>
          <w:szCs w:val="20"/>
          <w:lang w:val="sr-Latn-CS"/>
        </w:rPr>
        <w:t>User</w:t>
      </w:r>
      <w:r w:rsidRPr="00C4688A">
        <w:rPr>
          <w:rFonts w:ascii="Arial" w:hAnsi="Arial" w:cs="Arial"/>
          <w:sz w:val="20"/>
          <w:szCs w:val="20"/>
          <w:lang w:val="ru-RU"/>
        </w:rPr>
        <w:t xml:space="preserve"> </w:t>
      </w:r>
      <w:r w:rsidRPr="009D65E4">
        <w:rPr>
          <w:rFonts w:ascii="Arial" w:hAnsi="Arial" w:cs="Arial"/>
          <w:sz w:val="20"/>
          <w:szCs w:val="20"/>
          <w:lang w:val="sr-Latn-CS"/>
        </w:rPr>
        <w:t>Cost</w:t>
      </w:r>
      <w:r w:rsidRPr="00C4688A">
        <w:rPr>
          <w:rFonts w:ascii="Arial" w:hAnsi="Arial" w:cs="Arial"/>
          <w:sz w:val="20"/>
          <w:szCs w:val="20"/>
          <w:lang w:val="ru-RU"/>
        </w:rPr>
        <w:t xml:space="preserve">” методу, који је Европска </w:t>
      </w:r>
      <w:r w:rsidRPr="003152FC">
        <w:rPr>
          <w:rFonts w:ascii="Arial" w:hAnsi="Arial" w:cs="Arial"/>
          <w:sz w:val="20"/>
          <w:szCs w:val="20"/>
          <w:lang w:val="ru-RU"/>
        </w:rPr>
        <w:t>унија</w:t>
      </w:r>
      <w:r w:rsidRPr="00C4688A">
        <w:rPr>
          <w:rFonts w:ascii="Arial" w:hAnsi="Arial" w:cs="Arial"/>
          <w:sz w:val="20"/>
          <w:szCs w:val="20"/>
          <w:lang w:val="ru-RU"/>
        </w:rPr>
        <w:t xml:space="preserve"> поставила као стандард за земље кандидате за пријем у своје чланство.</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Ово је индиректни метод процене вредности стамбене ренте у текућој години путем обрачуна укупних стварних издатака за стан које имају власници станова, укључујући издатке за набавку тј. изградњу, редовно одржавање, осигурање, плаћени порез и амортизацију током периода употребе и укључујући и процењену (делимично стандардизовану) зараду коју имају власници станова у којима они иначе станују.</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3152FC">
        <w:rPr>
          <w:rFonts w:ascii="Arial" w:hAnsi="Arial" w:cs="Arial"/>
          <w:sz w:val="20"/>
          <w:szCs w:val="20"/>
          <w:lang w:val="sr-Latn-CS"/>
        </w:rPr>
        <w:br/>
      </w:r>
      <w:r w:rsidRPr="00C4688A">
        <w:rPr>
          <w:rFonts w:ascii="Arial" w:hAnsi="Arial" w:cs="Arial"/>
          <w:sz w:val="20"/>
          <w:szCs w:val="20"/>
          <w:lang w:val="ru-RU"/>
        </w:rPr>
        <w:t>Основни</w:t>
      </w:r>
      <w:r w:rsidRPr="003152FC">
        <w:rPr>
          <w:rFonts w:ascii="Arial" w:hAnsi="Arial" w:cs="Arial"/>
          <w:sz w:val="20"/>
          <w:szCs w:val="20"/>
          <w:lang w:val="sr-Latn-CS"/>
        </w:rPr>
        <w:t xml:space="preserve"> </w:t>
      </w:r>
      <w:r w:rsidRPr="00C4688A">
        <w:rPr>
          <w:rFonts w:ascii="Arial" w:hAnsi="Arial" w:cs="Arial"/>
          <w:sz w:val="20"/>
          <w:szCs w:val="20"/>
          <w:lang w:val="ru-RU"/>
        </w:rPr>
        <w:t>методолошки</w:t>
      </w:r>
      <w:r w:rsidRPr="003152FC">
        <w:rPr>
          <w:rFonts w:ascii="Arial" w:hAnsi="Arial" w:cs="Arial"/>
          <w:sz w:val="20"/>
          <w:szCs w:val="20"/>
          <w:lang w:val="sr-Latn-CS"/>
        </w:rPr>
        <w:t xml:space="preserve"> </w:t>
      </w:r>
      <w:r w:rsidRPr="00C4688A">
        <w:rPr>
          <w:rFonts w:ascii="Arial" w:hAnsi="Arial" w:cs="Arial"/>
          <w:sz w:val="20"/>
          <w:szCs w:val="20"/>
          <w:lang w:val="ru-RU"/>
        </w:rPr>
        <w:t>оквир</w:t>
      </w:r>
      <w:r w:rsidRPr="003152FC">
        <w:rPr>
          <w:rFonts w:ascii="Arial" w:hAnsi="Arial" w:cs="Arial"/>
          <w:sz w:val="20"/>
          <w:szCs w:val="20"/>
          <w:lang w:val="sr-Latn-CS"/>
        </w:rPr>
        <w:t xml:space="preserve"> </w:t>
      </w:r>
      <w:r w:rsidRPr="00C4688A">
        <w:rPr>
          <w:rFonts w:ascii="Arial" w:hAnsi="Arial" w:cs="Arial"/>
          <w:sz w:val="20"/>
          <w:szCs w:val="20"/>
          <w:lang w:val="ru-RU"/>
        </w:rPr>
        <w:t>за</w:t>
      </w:r>
      <w:r w:rsidRPr="003152FC">
        <w:rPr>
          <w:rFonts w:ascii="Arial" w:hAnsi="Arial" w:cs="Arial"/>
          <w:sz w:val="20"/>
          <w:szCs w:val="20"/>
          <w:lang w:val="sr-Latn-CS"/>
        </w:rPr>
        <w:t xml:space="preserve"> </w:t>
      </w:r>
      <w:r w:rsidRPr="00C4688A">
        <w:rPr>
          <w:rFonts w:ascii="Arial" w:hAnsi="Arial" w:cs="Arial"/>
          <w:sz w:val="20"/>
          <w:szCs w:val="20"/>
          <w:lang w:val="ru-RU"/>
        </w:rPr>
        <w:t>процењивање</w:t>
      </w:r>
      <w:r w:rsidRPr="003152FC">
        <w:rPr>
          <w:rFonts w:ascii="Arial" w:hAnsi="Arial" w:cs="Arial"/>
          <w:sz w:val="20"/>
          <w:szCs w:val="20"/>
          <w:lang w:val="sr-Latn-CS"/>
        </w:rPr>
        <w:t xml:space="preserve"> </w:t>
      </w:r>
      <w:r w:rsidRPr="00C4688A">
        <w:rPr>
          <w:rFonts w:ascii="Arial" w:hAnsi="Arial" w:cs="Arial"/>
          <w:sz w:val="20"/>
          <w:szCs w:val="20"/>
          <w:lang w:val="ru-RU"/>
        </w:rPr>
        <w:t>вредности</w:t>
      </w:r>
      <w:r w:rsidRPr="003152FC">
        <w:rPr>
          <w:rFonts w:ascii="Arial" w:hAnsi="Arial" w:cs="Arial"/>
          <w:sz w:val="20"/>
          <w:szCs w:val="20"/>
          <w:lang w:val="sr-Latn-CS"/>
        </w:rPr>
        <w:t xml:space="preserve"> </w:t>
      </w:r>
      <w:r w:rsidRPr="00C4688A">
        <w:rPr>
          <w:rFonts w:ascii="Arial" w:hAnsi="Arial" w:cs="Arial"/>
          <w:sz w:val="20"/>
          <w:szCs w:val="20"/>
          <w:lang w:val="ru-RU"/>
        </w:rPr>
        <w:t>услуга</w:t>
      </w:r>
      <w:r w:rsidRPr="003152FC">
        <w:rPr>
          <w:rFonts w:ascii="Arial" w:hAnsi="Arial" w:cs="Arial"/>
          <w:sz w:val="20"/>
          <w:szCs w:val="20"/>
          <w:lang w:val="sr-Latn-CS"/>
        </w:rPr>
        <w:t xml:space="preserve"> </w:t>
      </w:r>
      <w:r w:rsidRPr="00C4688A">
        <w:rPr>
          <w:rFonts w:ascii="Arial" w:hAnsi="Arial" w:cs="Arial"/>
          <w:sz w:val="20"/>
          <w:szCs w:val="20"/>
          <w:lang w:val="ru-RU"/>
        </w:rPr>
        <w:t>становања</w:t>
      </w:r>
      <w:r w:rsidRPr="003152FC">
        <w:rPr>
          <w:rFonts w:ascii="Arial" w:hAnsi="Arial" w:cs="Arial"/>
          <w:sz w:val="20"/>
          <w:szCs w:val="20"/>
          <w:lang w:val="sr-Latn-CS"/>
        </w:rPr>
        <w:t xml:space="preserve"> </w:t>
      </w:r>
      <w:r w:rsidRPr="00C4688A">
        <w:rPr>
          <w:rFonts w:ascii="Arial" w:hAnsi="Arial" w:cs="Arial"/>
          <w:sz w:val="20"/>
          <w:szCs w:val="20"/>
          <w:lang w:val="ru-RU"/>
        </w:rPr>
        <w:t>јесте</w:t>
      </w:r>
      <w:r w:rsidRPr="003152FC">
        <w:rPr>
          <w:rFonts w:ascii="Arial" w:hAnsi="Arial" w:cs="Arial"/>
          <w:sz w:val="20"/>
          <w:szCs w:val="20"/>
          <w:lang w:val="sr-Latn-CS"/>
        </w:rPr>
        <w:t xml:space="preserve"> “User cost method for estimating dwelling services” </w:t>
      </w:r>
      <w:r w:rsidRPr="00C4688A">
        <w:rPr>
          <w:rFonts w:ascii="Arial" w:hAnsi="Arial" w:cs="Arial"/>
          <w:sz w:val="20"/>
          <w:szCs w:val="20"/>
          <w:lang w:val="ru-RU"/>
        </w:rPr>
        <w:t>који</w:t>
      </w:r>
      <w:r w:rsidRPr="003152FC">
        <w:rPr>
          <w:rFonts w:ascii="Arial" w:hAnsi="Arial" w:cs="Arial"/>
          <w:sz w:val="20"/>
          <w:szCs w:val="20"/>
          <w:lang w:val="sr-Latn-CS"/>
        </w:rPr>
        <w:t xml:space="preserve"> </w:t>
      </w:r>
      <w:r w:rsidRPr="00C4688A">
        <w:rPr>
          <w:rFonts w:ascii="Arial" w:hAnsi="Arial" w:cs="Arial"/>
          <w:sz w:val="20"/>
          <w:szCs w:val="20"/>
          <w:lang w:val="ru-RU"/>
        </w:rPr>
        <w:t>је</w:t>
      </w:r>
      <w:r w:rsidRPr="003152FC">
        <w:rPr>
          <w:rFonts w:ascii="Arial" w:hAnsi="Arial" w:cs="Arial"/>
          <w:sz w:val="20"/>
          <w:szCs w:val="20"/>
          <w:lang w:val="sr-Latn-CS"/>
        </w:rPr>
        <w:t xml:space="preserve"> </w:t>
      </w:r>
      <w:r w:rsidRPr="00C4688A">
        <w:rPr>
          <w:rFonts w:ascii="Arial" w:hAnsi="Arial" w:cs="Arial"/>
          <w:sz w:val="20"/>
          <w:szCs w:val="20"/>
          <w:lang w:val="ru-RU"/>
        </w:rPr>
        <w:t>презентован</w:t>
      </w:r>
      <w:r w:rsidRPr="003152FC">
        <w:rPr>
          <w:rFonts w:ascii="Arial" w:hAnsi="Arial" w:cs="Arial"/>
          <w:sz w:val="20"/>
          <w:szCs w:val="20"/>
          <w:lang w:val="sr-Latn-CS"/>
        </w:rPr>
        <w:t xml:space="preserve"> </w:t>
      </w:r>
      <w:r w:rsidRPr="00C4688A">
        <w:rPr>
          <w:rFonts w:ascii="Arial" w:hAnsi="Arial" w:cs="Arial"/>
          <w:sz w:val="20"/>
          <w:szCs w:val="20"/>
          <w:lang w:val="ru-RU"/>
        </w:rPr>
        <w:t>на</w:t>
      </w:r>
      <w:r w:rsidRPr="003152FC">
        <w:rPr>
          <w:rFonts w:ascii="Arial" w:hAnsi="Arial" w:cs="Arial"/>
          <w:sz w:val="20"/>
          <w:szCs w:val="20"/>
          <w:lang w:val="sr-Latn-CS"/>
        </w:rPr>
        <w:t xml:space="preserve"> </w:t>
      </w:r>
      <w:r w:rsidRPr="00C4688A">
        <w:rPr>
          <w:rFonts w:ascii="Arial" w:hAnsi="Arial" w:cs="Arial"/>
          <w:sz w:val="20"/>
          <w:szCs w:val="20"/>
          <w:lang w:val="ru-RU"/>
        </w:rPr>
        <w:t>састанку</w:t>
      </w:r>
      <w:r w:rsidRPr="003152FC">
        <w:rPr>
          <w:rFonts w:ascii="Arial" w:hAnsi="Arial" w:cs="Arial"/>
          <w:sz w:val="20"/>
          <w:szCs w:val="20"/>
          <w:lang w:val="sr-Latn-CS"/>
        </w:rPr>
        <w:t xml:space="preserve"> </w:t>
      </w:r>
      <w:r w:rsidRPr="00C4688A">
        <w:rPr>
          <w:rFonts w:ascii="Arial" w:hAnsi="Arial" w:cs="Arial"/>
          <w:sz w:val="20"/>
          <w:szCs w:val="20"/>
          <w:lang w:val="ru-RU"/>
        </w:rPr>
        <w:t>групе</w:t>
      </w:r>
      <w:r w:rsidRPr="003152FC">
        <w:rPr>
          <w:rFonts w:ascii="Arial" w:hAnsi="Arial" w:cs="Arial"/>
          <w:sz w:val="20"/>
          <w:szCs w:val="20"/>
          <w:lang w:val="sr-Latn-CS"/>
        </w:rPr>
        <w:t xml:space="preserve"> OECD-EUROSTAT The International Comparison Program 2003-2005, </w:t>
      </w:r>
      <w:r w:rsidRPr="00C4688A">
        <w:rPr>
          <w:rFonts w:ascii="Arial" w:hAnsi="Arial" w:cs="Arial"/>
          <w:sz w:val="20"/>
          <w:szCs w:val="20"/>
          <w:lang w:val="ru-RU"/>
        </w:rPr>
        <w:t>одржаном</w:t>
      </w:r>
      <w:r w:rsidRPr="003152FC">
        <w:rPr>
          <w:rFonts w:ascii="Arial" w:hAnsi="Arial" w:cs="Arial"/>
          <w:sz w:val="20"/>
          <w:szCs w:val="20"/>
          <w:lang w:val="sr-Latn-CS"/>
        </w:rPr>
        <w:t xml:space="preserve"> </w:t>
      </w:r>
      <w:r w:rsidRPr="00C4688A">
        <w:rPr>
          <w:rFonts w:ascii="Arial" w:hAnsi="Arial" w:cs="Arial"/>
          <w:sz w:val="20"/>
          <w:szCs w:val="20"/>
          <w:lang w:val="ru-RU"/>
        </w:rPr>
        <w:t>у</w:t>
      </w:r>
      <w:r w:rsidRPr="003152FC">
        <w:rPr>
          <w:rFonts w:ascii="Arial" w:hAnsi="Arial" w:cs="Arial"/>
          <w:sz w:val="20"/>
          <w:szCs w:val="20"/>
          <w:lang w:val="sr-Latn-CS"/>
        </w:rPr>
        <w:t xml:space="preserve"> </w:t>
      </w:r>
      <w:r w:rsidRPr="00C4688A">
        <w:rPr>
          <w:rFonts w:ascii="Arial" w:hAnsi="Arial" w:cs="Arial"/>
          <w:sz w:val="20"/>
          <w:szCs w:val="20"/>
          <w:lang w:val="ru-RU"/>
        </w:rPr>
        <w:t>Луксембургу</w:t>
      </w:r>
      <w:r w:rsidRPr="003152FC">
        <w:rPr>
          <w:rFonts w:ascii="Arial" w:hAnsi="Arial" w:cs="Arial"/>
          <w:sz w:val="20"/>
          <w:szCs w:val="20"/>
          <w:lang w:val="sr-Latn-CS"/>
        </w:rPr>
        <w:t xml:space="preserve"> </w:t>
      </w:r>
      <w:r w:rsidRPr="00C4688A">
        <w:rPr>
          <w:rFonts w:ascii="Arial" w:hAnsi="Arial" w:cs="Arial"/>
          <w:sz w:val="20"/>
          <w:szCs w:val="20"/>
          <w:lang w:val="ru-RU"/>
        </w:rPr>
        <w:t>марта</w:t>
      </w:r>
      <w:r w:rsidRPr="003152FC">
        <w:rPr>
          <w:rFonts w:ascii="Arial" w:hAnsi="Arial" w:cs="Arial"/>
          <w:sz w:val="20"/>
          <w:szCs w:val="20"/>
          <w:lang w:val="sr-Latn-CS"/>
        </w:rPr>
        <w:t xml:space="preserve"> 2003. </w:t>
      </w:r>
      <w:r w:rsidRPr="00C4688A">
        <w:rPr>
          <w:rFonts w:ascii="Arial" w:hAnsi="Arial" w:cs="Arial"/>
          <w:sz w:val="20"/>
          <w:szCs w:val="20"/>
          <w:lang w:val="ru-RU"/>
        </w:rPr>
        <w:t>године</w:t>
      </w:r>
      <w:r w:rsidRPr="003152FC">
        <w:rPr>
          <w:rFonts w:ascii="Arial" w:hAnsi="Arial" w:cs="Arial"/>
          <w:sz w:val="20"/>
          <w:szCs w:val="20"/>
          <w:lang w:val="sr-Latn-CS"/>
        </w:rPr>
        <w:t xml:space="preserve">. </w:t>
      </w:r>
      <w:r w:rsidRPr="00C4688A">
        <w:rPr>
          <w:rFonts w:ascii="Arial" w:hAnsi="Arial" w:cs="Arial"/>
          <w:sz w:val="20"/>
          <w:szCs w:val="20"/>
          <w:lang w:val="ru-RU"/>
        </w:rPr>
        <w:t>Поред овога коришћене су и касније допуњене верзије овог упутства као и искуства других земаља у примени овог метода.</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t>Главни извор података за обрачун нето стамбеног фонда била је статистика</w:t>
      </w:r>
      <w:r w:rsidRPr="00C4688A">
        <w:rPr>
          <w:rFonts w:ascii="Arial" w:hAnsi="Arial" w:cs="Arial"/>
          <w:sz w:val="20"/>
          <w:szCs w:val="20"/>
          <w:lang w:val="sr-Latn-CS"/>
        </w:rPr>
        <w:t xml:space="preserve"> </w:t>
      </w:r>
      <w:r w:rsidRPr="00C4688A">
        <w:rPr>
          <w:rFonts w:ascii="Arial" w:hAnsi="Arial" w:cs="Arial"/>
          <w:sz w:val="20"/>
          <w:szCs w:val="20"/>
          <w:lang w:val="ru-RU"/>
        </w:rPr>
        <w:t xml:space="preserve">грађевинарства, ослоњена на попис становништва, домаћинстава и станова у Републици Србији из 2002. године и на каснија уобичајена и стандардизована годишња прилагођавања из редовних извора. Коришћени су подаци о ценама станова из редовног истраживања статистике грађевинарства, из база података агенција које се баве прометом некретнина, из посебног, </w:t>
      </w:r>
      <w:r w:rsidRPr="00C4688A">
        <w:rPr>
          <w:rFonts w:ascii="Arial" w:hAnsi="Arial" w:cs="Arial"/>
          <w:sz w:val="20"/>
          <w:szCs w:val="20"/>
        </w:rPr>
        <w:t>ad</w:t>
      </w:r>
      <w:r w:rsidRPr="00C4688A">
        <w:rPr>
          <w:rFonts w:ascii="Arial" w:hAnsi="Arial" w:cs="Arial"/>
          <w:sz w:val="20"/>
          <w:szCs w:val="20"/>
          <w:lang w:val="ru-RU"/>
        </w:rPr>
        <w:t xml:space="preserve"> </w:t>
      </w:r>
      <w:r w:rsidRPr="00C4688A">
        <w:rPr>
          <w:rFonts w:ascii="Arial" w:hAnsi="Arial" w:cs="Arial"/>
          <w:sz w:val="20"/>
          <w:szCs w:val="20"/>
        </w:rPr>
        <w:t>hoc</w:t>
      </w:r>
      <w:r w:rsidRPr="00C4688A">
        <w:rPr>
          <w:rFonts w:ascii="Arial" w:hAnsi="Arial" w:cs="Arial"/>
          <w:sz w:val="20"/>
          <w:szCs w:val="20"/>
          <w:lang w:val="ru-RU"/>
        </w:rPr>
        <w:t xml:space="preserve"> истраживања спроведеног у подручним одељењима РЗС Србије као и из других извора. Износ трошкова за одржавање станова процењен је на основу података из редовног истраживања статистике грађевинарства и из података из АПД РЗС Србије. Подаци о трошковима осигурања процењени су на основу података Народне банке Србије, података осигуравајућих друштава и података АПД РЗС Србије. Подаци о плаћеном порезу добијени су од Министарства финансија. Подаци о амортизцији процењени су на основу података статистике грађевинарства и препоручених међународних стандарда. Зарада власника је процењена на основу препоручених међународних стандарда и података о кретању каматних стопа на стамбене кредите пословних банака.</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 xml:space="preserve">У категорији Транспорт (07), у делу који се односи на набавку возила, додатно су коришћени и извори Министарства унутрашњих послова Србије, Управе царина, стручних часописа, као и посебни подаци одељења Саобраћај, складиштење и везе РЗС Србије. </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lang w:val="ru-RU"/>
        </w:rPr>
      </w:pPr>
      <w:r w:rsidRPr="00C4688A">
        <w:rPr>
          <w:rFonts w:ascii="Arial" w:hAnsi="Arial" w:cs="Arial"/>
          <w:sz w:val="20"/>
          <w:szCs w:val="20"/>
          <w:lang w:val="ru-RU"/>
        </w:rPr>
        <w:lastRenderedPageBreak/>
        <w:t>Процена</w:t>
      </w:r>
      <w:r w:rsidRPr="00C4688A">
        <w:rPr>
          <w:rFonts w:ascii="Arial" w:hAnsi="Arial" w:cs="Arial"/>
          <w:sz w:val="20"/>
          <w:szCs w:val="20"/>
          <w:lang w:val="sr-Latn-CS"/>
        </w:rPr>
        <w:t xml:space="preserve"> </w:t>
      </w:r>
      <w:r w:rsidRPr="00C4688A">
        <w:rPr>
          <w:rFonts w:ascii="Arial" w:hAnsi="Arial" w:cs="Arial"/>
          <w:sz w:val="20"/>
          <w:szCs w:val="20"/>
          <w:lang w:val="ru-RU"/>
        </w:rPr>
        <w:t>салда</w:t>
      </w:r>
      <w:r w:rsidRPr="00C4688A">
        <w:rPr>
          <w:rFonts w:ascii="Arial" w:hAnsi="Arial" w:cs="Arial"/>
          <w:sz w:val="20"/>
          <w:szCs w:val="20"/>
          <w:lang w:val="sr-Latn-CS"/>
        </w:rPr>
        <w:t xml:space="preserve"> </w:t>
      </w:r>
      <w:r w:rsidRPr="00C4688A">
        <w:rPr>
          <w:rFonts w:ascii="Arial" w:hAnsi="Arial" w:cs="Arial"/>
          <w:sz w:val="20"/>
          <w:szCs w:val="20"/>
          <w:lang w:val="ru-RU"/>
        </w:rPr>
        <w:t>личне</w:t>
      </w:r>
      <w:r w:rsidRPr="00C4688A">
        <w:rPr>
          <w:rFonts w:ascii="Arial" w:hAnsi="Arial" w:cs="Arial"/>
          <w:sz w:val="20"/>
          <w:szCs w:val="20"/>
          <w:lang w:val="sr-Latn-CS"/>
        </w:rPr>
        <w:t xml:space="preserve"> </w:t>
      </w:r>
      <w:r w:rsidRPr="00C4688A">
        <w:rPr>
          <w:rFonts w:ascii="Arial" w:hAnsi="Arial" w:cs="Arial"/>
          <w:sz w:val="20"/>
          <w:szCs w:val="20"/>
          <w:lang w:val="ru-RU"/>
        </w:rPr>
        <w:t>потрошње</w:t>
      </w:r>
      <w:r w:rsidRPr="00C4688A">
        <w:rPr>
          <w:rFonts w:ascii="Arial" w:hAnsi="Arial" w:cs="Arial"/>
          <w:sz w:val="20"/>
          <w:szCs w:val="20"/>
          <w:lang w:val="sr-Latn-CS"/>
        </w:rPr>
        <w:t xml:space="preserve"> </w:t>
      </w:r>
      <w:r w:rsidRPr="00C4688A">
        <w:rPr>
          <w:rFonts w:ascii="Arial" w:hAnsi="Arial" w:cs="Arial"/>
          <w:sz w:val="20"/>
          <w:szCs w:val="20"/>
          <w:lang w:val="ru-RU"/>
        </w:rPr>
        <w:t>резидената</w:t>
      </w:r>
      <w:r w:rsidRPr="00C4688A">
        <w:rPr>
          <w:rFonts w:ascii="Arial" w:hAnsi="Arial" w:cs="Arial"/>
          <w:sz w:val="20"/>
          <w:szCs w:val="20"/>
          <w:lang w:val="sr-Latn-CS"/>
        </w:rPr>
        <w:t xml:space="preserve"> </w:t>
      </w:r>
      <w:r w:rsidRPr="00C4688A">
        <w:rPr>
          <w:rFonts w:ascii="Arial" w:hAnsi="Arial" w:cs="Arial"/>
          <w:sz w:val="20"/>
          <w:szCs w:val="20"/>
          <w:lang w:val="ru-RU"/>
        </w:rPr>
        <w:t>Републике</w:t>
      </w:r>
      <w:r w:rsidRPr="00C4688A">
        <w:rPr>
          <w:rFonts w:ascii="Arial" w:hAnsi="Arial" w:cs="Arial"/>
          <w:sz w:val="20"/>
          <w:szCs w:val="20"/>
          <w:lang w:val="sr-Latn-CS"/>
        </w:rPr>
        <w:t xml:space="preserve"> </w:t>
      </w:r>
      <w:r w:rsidRPr="00C4688A">
        <w:rPr>
          <w:rFonts w:ascii="Arial" w:hAnsi="Arial" w:cs="Arial"/>
          <w:sz w:val="20"/>
          <w:szCs w:val="20"/>
          <w:lang w:val="ru-RU"/>
        </w:rPr>
        <w:t>Србије</w:t>
      </w:r>
      <w:r w:rsidRPr="00C4688A">
        <w:rPr>
          <w:rFonts w:ascii="Arial" w:hAnsi="Arial" w:cs="Arial"/>
          <w:sz w:val="20"/>
          <w:szCs w:val="20"/>
          <w:lang w:val="sr-Latn-CS"/>
        </w:rPr>
        <w:t xml:space="preserve"> </w:t>
      </w:r>
      <w:r w:rsidRPr="00C4688A">
        <w:rPr>
          <w:rFonts w:ascii="Arial" w:hAnsi="Arial" w:cs="Arial"/>
          <w:sz w:val="20"/>
          <w:szCs w:val="20"/>
          <w:lang w:val="ru-RU"/>
        </w:rPr>
        <w:t>у</w:t>
      </w:r>
      <w:r w:rsidRPr="00C4688A">
        <w:rPr>
          <w:rFonts w:ascii="Arial" w:hAnsi="Arial" w:cs="Arial"/>
          <w:sz w:val="20"/>
          <w:szCs w:val="20"/>
          <w:lang w:val="sr-Latn-CS"/>
        </w:rPr>
        <w:t xml:space="preserve"> </w:t>
      </w:r>
      <w:r w:rsidRPr="00C4688A">
        <w:rPr>
          <w:rFonts w:ascii="Arial" w:hAnsi="Arial" w:cs="Arial"/>
          <w:sz w:val="20"/>
          <w:szCs w:val="20"/>
          <w:lang w:val="ru-RU"/>
        </w:rPr>
        <w:t>иностранству</w:t>
      </w:r>
      <w:r w:rsidRPr="00C4688A">
        <w:rPr>
          <w:rFonts w:ascii="Arial" w:hAnsi="Arial" w:cs="Arial"/>
          <w:sz w:val="20"/>
          <w:szCs w:val="20"/>
          <w:lang w:val="sr-Latn-CS"/>
        </w:rPr>
        <w:t xml:space="preserve"> </w:t>
      </w:r>
      <w:r w:rsidRPr="00C4688A">
        <w:rPr>
          <w:rFonts w:ascii="Arial" w:hAnsi="Arial" w:cs="Arial"/>
          <w:sz w:val="20"/>
          <w:szCs w:val="20"/>
          <w:lang w:val="ru-RU"/>
        </w:rPr>
        <w:t>и</w:t>
      </w:r>
      <w:r w:rsidRPr="00C4688A">
        <w:rPr>
          <w:rFonts w:ascii="Arial" w:hAnsi="Arial" w:cs="Arial"/>
          <w:sz w:val="20"/>
          <w:szCs w:val="20"/>
          <w:lang w:val="sr-Latn-CS"/>
        </w:rPr>
        <w:t xml:space="preserve"> </w:t>
      </w:r>
      <w:r w:rsidRPr="00C4688A">
        <w:rPr>
          <w:rFonts w:ascii="Arial" w:hAnsi="Arial" w:cs="Arial"/>
          <w:sz w:val="20"/>
          <w:szCs w:val="20"/>
          <w:lang w:val="ru-RU"/>
        </w:rPr>
        <w:t>нерезидената</w:t>
      </w:r>
      <w:r w:rsidRPr="00C4688A">
        <w:rPr>
          <w:rFonts w:ascii="Arial" w:hAnsi="Arial" w:cs="Arial"/>
          <w:sz w:val="20"/>
          <w:szCs w:val="20"/>
          <w:lang w:val="sr-Latn-CS"/>
        </w:rPr>
        <w:t xml:space="preserve"> </w:t>
      </w:r>
      <w:r w:rsidRPr="00C4688A">
        <w:rPr>
          <w:rFonts w:ascii="Arial" w:hAnsi="Arial" w:cs="Arial"/>
          <w:sz w:val="20"/>
          <w:szCs w:val="20"/>
          <w:lang w:val="ru-RU"/>
        </w:rPr>
        <w:t>у</w:t>
      </w:r>
      <w:r w:rsidRPr="00C4688A">
        <w:rPr>
          <w:rFonts w:ascii="Arial" w:hAnsi="Arial" w:cs="Arial"/>
          <w:sz w:val="20"/>
          <w:szCs w:val="20"/>
          <w:lang w:val="sr-Latn-CS"/>
        </w:rPr>
        <w:t xml:space="preserve"> </w:t>
      </w:r>
      <w:r w:rsidRPr="00C4688A">
        <w:rPr>
          <w:rFonts w:ascii="Arial" w:hAnsi="Arial" w:cs="Arial"/>
          <w:sz w:val="20"/>
          <w:szCs w:val="20"/>
          <w:lang w:val="ru-RU"/>
        </w:rPr>
        <w:t>Србији</w:t>
      </w:r>
      <w:r w:rsidRPr="00C4688A">
        <w:rPr>
          <w:rFonts w:ascii="Arial" w:hAnsi="Arial" w:cs="Arial"/>
          <w:sz w:val="20"/>
          <w:szCs w:val="20"/>
          <w:lang w:val="sr-Latn-CS"/>
        </w:rPr>
        <w:t xml:space="preserve"> </w:t>
      </w:r>
      <w:r w:rsidRPr="00C4688A">
        <w:rPr>
          <w:rFonts w:ascii="Arial" w:hAnsi="Arial" w:cs="Arial"/>
          <w:sz w:val="20"/>
          <w:szCs w:val="20"/>
          <w:lang w:val="ru-RU"/>
        </w:rPr>
        <w:t>урађена</w:t>
      </w:r>
      <w:r w:rsidRPr="00C4688A">
        <w:rPr>
          <w:rFonts w:ascii="Arial" w:hAnsi="Arial" w:cs="Arial"/>
          <w:sz w:val="20"/>
          <w:szCs w:val="20"/>
          <w:lang w:val="sr-Latn-CS"/>
        </w:rPr>
        <w:t xml:space="preserve"> </w:t>
      </w:r>
      <w:r w:rsidRPr="00C4688A">
        <w:rPr>
          <w:rFonts w:ascii="Arial" w:hAnsi="Arial" w:cs="Arial"/>
          <w:sz w:val="20"/>
          <w:szCs w:val="20"/>
          <w:lang w:val="ru-RU"/>
        </w:rPr>
        <w:t>је</w:t>
      </w:r>
      <w:r w:rsidRPr="00C4688A">
        <w:rPr>
          <w:rFonts w:ascii="Arial" w:hAnsi="Arial" w:cs="Arial"/>
          <w:sz w:val="20"/>
          <w:szCs w:val="20"/>
          <w:lang w:val="sr-Latn-CS"/>
        </w:rPr>
        <w:t xml:space="preserve"> </w:t>
      </w:r>
      <w:r w:rsidRPr="00C4688A">
        <w:rPr>
          <w:rFonts w:ascii="Arial" w:hAnsi="Arial" w:cs="Arial"/>
          <w:sz w:val="20"/>
          <w:szCs w:val="20"/>
          <w:lang w:val="ru-RU"/>
        </w:rPr>
        <w:t>у</w:t>
      </w:r>
      <w:r w:rsidRPr="00C4688A">
        <w:rPr>
          <w:rFonts w:ascii="Arial" w:hAnsi="Arial" w:cs="Arial"/>
          <w:sz w:val="20"/>
          <w:szCs w:val="20"/>
          <w:lang w:val="sr-Latn-CS"/>
        </w:rPr>
        <w:t xml:space="preserve"> </w:t>
      </w:r>
      <w:r w:rsidRPr="00C4688A">
        <w:rPr>
          <w:rFonts w:ascii="Arial" w:hAnsi="Arial" w:cs="Arial"/>
          <w:sz w:val="20"/>
          <w:szCs w:val="20"/>
          <w:lang w:val="ru-RU"/>
        </w:rPr>
        <w:t>складу</w:t>
      </w:r>
      <w:r w:rsidRPr="00C4688A">
        <w:rPr>
          <w:rFonts w:ascii="Arial" w:hAnsi="Arial" w:cs="Arial"/>
          <w:sz w:val="20"/>
          <w:szCs w:val="20"/>
          <w:lang w:val="sr-Latn-CS"/>
        </w:rPr>
        <w:t xml:space="preserve"> </w:t>
      </w:r>
      <w:r w:rsidRPr="00C4688A">
        <w:rPr>
          <w:rFonts w:ascii="Arial" w:hAnsi="Arial" w:cs="Arial"/>
          <w:sz w:val="20"/>
          <w:szCs w:val="20"/>
          <w:lang w:val="ru-RU"/>
        </w:rPr>
        <w:t>са</w:t>
      </w:r>
      <w:r w:rsidRPr="00C4688A">
        <w:rPr>
          <w:rFonts w:ascii="Arial" w:hAnsi="Arial" w:cs="Arial"/>
          <w:sz w:val="20"/>
          <w:szCs w:val="20"/>
          <w:lang w:val="sr-Latn-CS"/>
        </w:rPr>
        <w:t xml:space="preserve"> </w:t>
      </w:r>
      <w:r w:rsidRPr="00C4688A">
        <w:rPr>
          <w:rFonts w:ascii="Arial" w:hAnsi="Arial" w:cs="Arial"/>
          <w:sz w:val="20"/>
          <w:szCs w:val="20"/>
          <w:lang w:val="ru-RU"/>
        </w:rPr>
        <w:t>методолошким</w:t>
      </w:r>
      <w:r w:rsidRPr="00C4688A">
        <w:rPr>
          <w:rFonts w:ascii="Arial" w:hAnsi="Arial" w:cs="Arial"/>
          <w:sz w:val="20"/>
          <w:szCs w:val="20"/>
          <w:lang w:val="sr-Latn-CS"/>
        </w:rPr>
        <w:t xml:space="preserve"> </w:t>
      </w:r>
      <w:r w:rsidRPr="00C4688A">
        <w:rPr>
          <w:rFonts w:ascii="Arial" w:hAnsi="Arial" w:cs="Arial"/>
          <w:sz w:val="20"/>
          <w:szCs w:val="20"/>
          <w:lang w:val="ru-RU"/>
        </w:rPr>
        <w:t>препорукама</w:t>
      </w:r>
      <w:r w:rsidRPr="00C4688A">
        <w:rPr>
          <w:rFonts w:ascii="Arial" w:hAnsi="Arial" w:cs="Arial"/>
          <w:sz w:val="20"/>
          <w:szCs w:val="20"/>
          <w:lang w:val="sr-Latn-CS"/>
        </w:rPr>
        <w:t xml:space="preserve"> </w:t>
      </w:r>
      <w:r w:rsidRPr="00C4688A">
        <w:rPr>
          <w:rFonts w:ascii="Arial" w:hAnsi="Arial" w:cs="Arial"/>
          <w:sz w:val="20"/>
          <w:szCs w:val="20"/>
          <w:lang w:val="ru-RU"/>
        </w:rPr>
        <w:t>датим</w:t>
      </w:r>
      <w:r w:rsidRPr="00C4688A">
        <w:rPr>
          <w:rFonts w:ascii="Arial" w:hAnsi="Arial" w:cs="Arial"/>
          <w:sz w:val="20"/>
          <w:szCs w:val="20"/>
          <w:lang w:val="sr-Latn-CS"/>
        </w:rPr>
        <w:t xml:space="preserve"> </w:t>
      </w:r>
      <w:r w:rsidRPr="00C4688A">
        <w:rPr>
          <w:rFonts w:ascii="Arial" w:hAnsi="Arial" w:cs="Arial"/>
          <w:sz w:val="20"/>
          <w:szCs w:val="20"/>
          <w:lang w:val="ru-RU"/>
        </w:rPr>
        <w:t>у</w:t>
      </w:r>
      <w:r w:rsidRPr="00C4688A">
        <w:rPr>
          <w:rFonts w:ascii="Arial" w:hAnsi="Arial" w:cs="Arial"/>
          <w:sz w:val="20"/>
          <w:szCs w:val="20"/>
          <w:lang w:val="sr-Latn-CS"/>
        </w:rPr>
        <w:t xml:space="preserve"> </w:t>
      </w:r>
      <w:r w:rsidRPr="00C4688A">
        <w:rPr>
          <w:rFonts w:ascii="Arial" w:hAnsi="Arial" w:cs="Arial"/>
          <w:sz w:val="20"/>
          <w:szCs w:val="20"/>
          <w:lang w:val="ru-RU"/>
        </w:rPr>
        <w:t>приручнику</w:t>
      </w:r>
      <w:r w:rsidRPr="00C4688A">
        <w:rPr>
          <w:rFonts w:ascii="Arial" w:hAnsi="Arial" w:cs="Arial"/>
          <w:sz w:val="20"/>
          <w:szCs w:val="20"/>
          <w:lang w:val="sr-Latn-CS"/>
        </w:rPr>
        <w:t xml:space="preserve"> OECD-EUROSTAT CLASSIFICATION OF EXPENDITURE ON GDP, 2002.</w:t>
      </w:r>
      <w:r w:rsidRPr="00C4688A">
        <w:rPr>
          <w:rFonts w:ascii="Arial" w:hAnsi="Arial" w:cs="Arial"/>
          <w:sz w:val="20"/>
          <w:szCs w:val="20"/>
          <w:lang w:val="sr-Latn-CS"/>
        </w:rPr>
        <w:br/>
      </w:r>
      <w:r w:rsidRPr="00C4688A">
        <w:rPr>
          <w:rFonts w:ascii="Arial" w:hAnsi="Arial" w:cs="Arial"/>
          <w:sz w:val="20"/>
          <w:szCs w:val="20"/>
          <w:lang w:val="ru-RU"/>
        </w:rPr>
        <w:t>Коришћени су подаци Народне банке Србије – Платни биланс Републике Србије (приходи и расходи од туризма) и подаци о пословању платним картицама и мењачким пословима. Коришћени су подаци Министарства трговине, туризма и услуга – Информација о туристичком промету у Републици Србији. Коришћени су подаци Министарства финансија – Расподела буџета. И на крају, коришћени су различити подаци Републичког завода за статистику Србије који се односе на укупан број страних туриста и број остварених ноћења, укупан број домаћих туриста (резидената), као и број остварених ноћења у Црној Гори, подаци из Анкете о радној снази, Анкете о потрошњи у домаћинствима, подаци из Пописа становништва Републике Србије из 2002. и др.</w:t>
      </w:r>
    </w:p>
    <w:p w:rsidR="009D65E4" w:rsidRPr="00C4688A" w:rsidRDefault="009D65E4" w:rsidP="009D65E4">
      <w:pPr>
        <w:pStyle w:val="NormalWeb"/>
        <w:spacing w:before="0" w:beforeAutospacing="0" w:after="0" w:afterAutospacing="0"/>
        <w:jc w:val="both"/>
        <w:rPr>
          <w:rFonts w:ascii="Arial" w:hAnsi="Arial" w:cs="Arial"/>
          <w:lang w:val="ru-RU"/>
        </w:rPr>
      </w:pPr>
    </w:p>
    <w:p w:rsidR="009D65E4" w:rsidRPr="003152FC" w:rsidRDefault="009D65E4" w:rsidP="009D65E4">
      <w:pPr>
        <w:pStyle w:val="NormalWeb"/>
        <w:spacing w:before="0" w:beforeAutospacing="0" w:after="0" w:afterAutospacing="0"/>
        <w:jc w:val="both"/>
        <w:rPr>
          <w:rFonts w:ascii="Arial" w:hAnsi="Arial" w:cs="Arial"/>
          <w:sz w:val="20"/>
          <w:szCs w:val="20"/>
          <w:lang w:val="ru-RU"/>
        </w:rPr>
      </w:pPr>
      <w:bookmarkStart w:id="11" w:name="12"/>
      <w:r w:rsidRPr="00C4688A">
        <w:rPr>
          <w:rStyle w:val="Strong"/>
          <w:rFonts w:ascii="Arial" w:hAnsi="Arial" w:cs="Arial"/>
          <w:sz w:val="20"/>
          <w:szCs w:val="20"/>
          <w:lang w:val="ru-RU"/>
        </w:rPr>
        <w:t>Посебне напомене</w:t>
      </w:r>
      <w:bookmarkEnd w:id="11"/>
      <w:r w:rsidRPr="00C4688A">
        <w:rPr>
          <w:rFonts w:ascii="Arial" w:hAnsi="Arial" w:cs="Arial"/>
          <w:sz w:val="20"/>
          <w:szCs w:val="20"/>
          <w:lang w:val="ru-RU"/>
        </w:rPr>
        <w:t xml:space="preserve"> </w:t>
      </w: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br/>
        <w:t>Због природе приступа и поступака којима се производе процене (обрачун) издатака домаћинстава за финалну потрошњу, приликом коришћења великог броја различитих извора и због понекад неуједначеног квалитета података који се из њих користе, у Систему националних рачуна радије се користи израз процењивање него обрачун, да би се посебно нагласила потреба, не само за</w:t>
      </w:r>
      <w:r w:rsidRPr="00C4688A">
        <w:rPr>
          <w:rFonts w:ascii="Arial" w:hAnsi="Arial" w:cs="Arial"/>
          <w:sz w:val="20"/>
          <w:szCs w:val="20"/>
          <w:lang w:val="sr-Latn-CS"/>
        </w:rPr>
        <w:t xml:space="preserve"> </w:t>
      </w:r>
      <w:r w:rsidRPr="00C4688A">
        <w:rPr>
          <w:rFonts w:ascii="Arial" w:hAnsi="Arial" w:cs="Arial"/>
          <w:sz w:val="20"/>
          <w:szCs w:val="20"/>
          <w:lang w:val="ru-RU"/>
        </w:rPr>
        <w:t>рачунањем, рачунском и логичком контролом, већ и за темељним анализирањем и усклађивањем, као и функционалном провером података добијених у оквиру основних статистичких и других истраживања.</w:t>
      </w:r>
    </w:p>
    <w:p w:rsidR="009D65E4" w:rsidRPr="00C4688A" w:rsidRDefault="009D65E4" w:rsidP="009D65E4">
      <w:pPr>
        <w:pStyle w:val="NormalWeb"/>
        <w:spacing w:before="0" w:beforeAutospacing="0" w:after="0" w:afterAutospacing="0"/>
        <w:jc w:val="both"/>
        <w:rPr>
          <w:rStyle w:val="Strong"/>
          <w:rFonts w:ascii="Arial" w:hAnsi="Arial" w:cs="Arial"/>
          <w:sz w:val="20"/>
          <w:szCs w:val="20"/>
          <w:lang w:val="sr-Latn-CS"/>
        </w:rPr>
      </w:pPr>
      <w:r w:rsidRPr="00C4688A">
        <w:rPr>
          <w:rFonts w:ascii="Arial" w:hAnsi="Arial" w:cs="Arial"/>
          <w:sz w:val="20"/>
          <w:szCs w:val="20"/>
          <w:lang w:val="ru-RU"/>
        </w:rPr>
        <w:br/>
      </w:r>
      <w:r w:rsidRPr="00C4688A">
        <w:rPr>
          <w:rStyle w:val="Strong"/>
          <w:rFonts w:ascii="Arial" w:hAnsi="Arial" w:cs="Arial"/>
          <w:sz w:val="20"/>
          <w:szCs w:val="20"/>
          <w:lang w:val="ru-RU"/>
        </w:rPr>
        <w:t>Сталне цене</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pStyle w:val="NormalWeb"/>
        <w:spacing w:before="0" w:beforeAutospacing="0" w:after="0" w:afterAutospacing="0"/>
        <w:jc w:val="both"/>
        <w:rPr>
          <w:rFonts w:ascii="Arial" w:hAnsi="Arial" w:cs="Arial"/>
          <w:lang w:val="ru-RU"/>
        </w:rPr>
      </w:pPr>
      <w:r w:rsidRPr="00C4688A">
        <w:rPr>
          <w:rFonts w:ascii="Arial" w:hAnsi="Arial" w:cs="Arial"/>
          <w:sz w:val="20"/>
          <w:szCs w:val="20"/>
          <w:lang w:val="ru-RU"/>
        </w:rPr>
        <w:t xml:space="preserve">Финална потрошња домаћинстава – у сталним ценама, у односу на претходну годину обрачуната је коришћењем индекса раста трошкова живота </w:t>
      </w:r>
      <w:r w:rsidRPr="003152FC">
        <w:rPr>
          <w:rFonts w:ascii="Arial" w:hAnsi="Arial" w:cs="Arial"/>
          <w:sz w:val="20"/>
          <w:szCs w:val="20"/>
          <w:lang w:val="ru-RU"/>
        </w:rPr>
        <w:t>и, за поједине ставке, као допунски индекс</w:t>
      </w:r>
      <w:r w:rsidRPr="00C4688A">
        <w:rPr>
          <w:rFonts w:ascii="Arial" w:hAnsi="Arial" w:cs="Arial"/>
          <w:sz w:val="20"/>
          <w:szCs w:val="20"/>
          <w:lang w:val="ru-RU"/>
        </w:rPr>
        <w:t xml:space="preserve"> раста физичког обима појединачних ставки личне потрошње на нивоу класа.</w:t>
      </w:r>
    </w:p>
    <w:p w:rsidR="009D65E4" w:rsidRPr="00C4688A" w:rsidRDefault="009D65E4" w:rsidP="009D65E4">
      <w:pPr>
        <w:pStyle w:val="NormalWeb"/>
        <w:spacing w:before="0" w:beforeAutospacing="0" w:after="0" w:afterAutospacing="0"/>
        <w:jc w:val="both"/>
        <w:rPr>
          <w:rFonts w:ascii="Arial" w:hAnsi="Arial" w:cs="Arial"/>
          <w:lang w:val="ru-RU"/>
        </w:rPr>
      </w:pPr>
      <w:r w:rsidRPr="009D65E4">
        <w:rPr>
          <w:rFonts w:ascii="Arial" w:hAnsi="Arial" w:cs="Arial"/>
          <w:lang w:val="sr-Latn-CS"/>
        </w:rPr>
        <w:t> </w:t>
      </w:r>
    </w:p>
    <w:p w:rsidR="009D65E4" w:rsidRPr="003152FC" w:rsidRDefault="009D65E4" w:rsidP="009D65E4">
      <w:pPr>
        <w:pStyle w:val="NormalWeb"/>
        <w:spacing w:before="0" w:beforeAutospacing="0" w:after="0" w:afterAutospacing="0"/>
        <w:jc w:val="both"/>
        <w:rPr>
          <w:rFonts w:ascii="Arial" w:hAnsi="Arial" w:cs="Arial"/>
          <w:sz w:val="20"/>
          <w:szCs w:val="20"/>
          <w:lang w:val="ru-RU"/>
        </w:rPr>
      </w:pPr>
      <w:bookmarkStart w:id="12" w:name="13"/>
      <w:r w:rsidRPr="00C4688A">
        <w:rPr>
          <w:rStyle w:val="Strong"/>
          <w:rFonts w:ascii="Arial" w:hAnsi="Arial" w:cs="Arial"/>
          <w:sz w:val="20"/>
          <w:szCs w:val="20"/>
          <w:lang w:val="ru-RU"/>
        </w:rPr>
        <w:t xml:space="preserve">Ревизија података </w:t>
      </w:r>
      <w:bookmarkEnd w:id="12"/>
    </w:p>
    <w:p w:rsidR="009D65E4" w:rsidRPr="00C4688A" w:rsidRDefault="009D65E4" w:rsidP="009D65E4">
      <w:pPr>
        <w:pStyle w:val="NormalWeb"/>
        <w:spacing w:before="0" w:beforeAutospacing="0" w:after="0" w:afterAutospacing="0"/>
        <w:jc w:val="both"/>
        <w:rPr>
          <w:rFonts w:ascii="Arial" w:hAnsi="Arial" w:cs="Arial"/>
          <w:lang w:val="ru-RU"/>
        </w:rPr>
      </w:pPr>
    </w:p>
    <w:p w:rsidR="009D65E4" w:rsidRPr="00C4688A" w:rsidRDefault="009D65E4" w:rsidP="009D65E4">
      <w:pPr>
        <w:pStyle w:val="NormalWeb"/>
        <w:spacing w:before="0" w:beforeAutospacing="0" w:after="0" w:afterAutospacing="0"/>
        <w:jc w:val="both"/>
        <w:rPr>
          <w:rFonts w:ascii="Arial" w:hAnsi="Arial" w:cs="Arial"/>
          <w:sz w:val="20"/>
          <w:szCs w:val="20"/>
          <w:lang w:val="sr-Latn-CS"/>
        </w:rPr>
      </w:pPr>
      <w:r w:rsidRPr="00C4688A">
        <w:rPr>
          <w:rFonts w:ascii="Arial" w:hAnsi="Arial" w:cs="Arial"/>
          <w:sz w:val="20"/>
          <w:szCs w:val="20"/>
          <w:lang w:val="ru-RU"/>
        </w:rPr>
        <w:t>Подаци о финалној потрошњи домаћинстава за период 2002-2006. ревидирани су у складу са резултатима истраживања тзв. необухваћене економије које су спровел</w:t>
      </w:r>
      <w:r w:rsidRPr="00C4688A">
        <w:rPr>
          <w:rFonts w:ascii="Arial" w:hAnsi="Arial" w:cs="Arial"/>
          <w:sz w:val="20"/>
          <w:szCs w:val="20"/>
        </w:rPr>
        <w:t>e</w:t>
      </w:r>
      <w:r w:rsidRPr="00C4688A">
        <w:rPr>
          <w:rFonts w:ascii="Arial" w:hAnsi="Arial" w:cs="Arial"/>
          <w:sz w:val="20"/>
          <w:szCs w:val="20"/>
          <w:lang w:val="ru-RU"/>
        </w:rPr>
        <w:t xml:space="preserve"> националне статистике земаља западног Балкана током 2007. године у сарадњи са експертима из </w:t>
      </w:r>
      <w:r w:rsidRPr="00C4688A">
        <w:rPr>
          <w:rFonts w:ascii="Arial" w:hAnsi="Arial" w:cs="Arial"/>
          <w:sz w:val="20"/>
          <w:szCs w:val="20"/>
        </w:rPr>
        <w:t>OECD</w:t>
      </w:r>
      <w:r w:rsidRPr="00C4688A">
        <w:rPr>
          <w:rFonts w:ascii="Arial" w:hAnsi="Arial" w:cs="Arial"/>
          <w:sz w:val="20"/>
          <w:szCs w:val="20"/>
          <w:lang w:val="ru-RU"/>
        </w:rPr>
        <w:t xml:space="preserve">-а и </w:t>
      </w:r>
      <w:r w:rsidRPr="00C4688A">
        <w:rPr>
          <w:rFonts w:ascii="Arial" w:hAnsi="Arial" w:cs="Arial"/>
          <w:sz w:val="20"/>
          <w:szCs w:val="20"/>
        </w:rPr>
        <w:t>Eurostat</w:t>
      </w:r>
      <w:r w:rsidRPr="00C4688A">
        <w:rPr>
          <w:rFonts w:ascii="Arial" w:hAnsi="Arial" w:cs="Arial"/>
          <w:sz w:val="20"/>
          <w:szCs w:val="20"/>
          <w:lang w:val="ru-RU"/>
        </w:rPr>
        <w:t>-</w:t>
      </w:r>
      <w:r w:rsidRPr="00C4688A">
        <w:rPr>
          <w:rFonts w:ascii="Arial" w:hAnsi="Arial" w:cs="Arial"/>
          <w:sz w:val="20"/>
          <w:szCs w:val="20"/>
        </w:rPr>
        <w:t>a</w:t>
      </w:r>
      <w:r w:rsidRPr="00C4688A">
        <w:rPr>
          <w:rFonts w:ascii="Arial" w:hAnsi="Arial" w:cs="Arial"/>
          <w:sz w:val="20"/>
          <w:szCs w:val="20"/>
          <w:lang w:val="ru-RU"/>
        </w:rPr>
        <w:t xml:space="preserve">. Најзначајније промене претрпеле су </w:t>
      </w:r>
      <w:r w:rsidRPr="00C4688A">
        <w:rPr>
          <w:rFonts w:ascii="Arial" w:hAnsi="Arial" w:cs="Arial"/>
          <w:sz w:val="20"/>
          <w:szCs w:val="20"/>
        </w:rPr>
        <w:t>COICOP</w:t>
      </w:r>
      <w:r w:rsidRPr="00C4688A">
        <w:rPr>
          <w:rFonts w:ascii="Arial" w:hAnsi="Arial" w:cs="Arial"/>
          <w:sz w:val="20"/>
          <w:szCs w:val="20"/>
          <w:lang w:val="ru-RU"/>
        </w:rPr>
        <w:t xml:space="preserve"> групе ЗДРАВЉЕ и ТРАНСПОРТ.</w:t>
      </w:r>
    </w:p>
    <w:p w:rsidR="009D65E4" w:rsidRPr="00C4688A" w:rsidRDefault="009D65E4" w:rsidP="009D65E4">
      <w:pPr>
        <w:pStyle w:val="NormalWeb"/>
        <w:spacing w:before="0" w:beforeAutospacing="0" w:after="0" w:afterAutospacing="0"/>
        <w:jc w:val="both"/>
        <w:rPr>
          <w:rFonts w:ascii="Arial" w:hAnsi="Arial" w:cs="Arial"/>
          <w:lang w:val="sr-Latn-CS"/>
        </w:rPr>
      </w:pPr>
    </w:p>
    <w:p w:rsidR="009D65E4" w:rsidRPr="00C4688A" w:rsidRDefault="009D65E4" w:rsidP="009D65E4">
      <w:pPr>
        <w:jc w:val="both"/>
        <w:rPr>
          <w:rFonts w:ascii="Arial" w:hAnsi="Arial" w:cs="Arial"/>
          <w:sz w:val="15"/>
          <w:szCs w:val="15"/>
          <w:lang w:val="sr-Latn-CS"/>
        </w:rPr>
      </w:pPr>
      <w:r w:rsidRPr="00C4688A">
        <w:rPr>
          <w:rFonts w:ascii="Arial" w:hAnsi="Arial" w:cs="Arial"/>
          <w:sz w:val="15"/>
          <w:szCs w:val="15"/>
          <w:vertAlign w:val="superscript"/>
          <w:lang w:val="ru-RU"/>
        </w:rPr>
        <w:t>1</w:t>
      </w:r>
      <w:r w:rsidRPr="00C4688A">
        <w:rPr>
          <w:rFonts w:ascii="Arial" w:hAnsi="Arial" w:cs="Arial"/>
          <w:sz w:val="15"/>
          <w:szCs w:val="15"/>
          <w:lang w:val="ru-RU"/>
        </w:rPr>
        <w:t xml:space="preserve"> Систем националних рачуна 1993, издат од стране Европске комисије – </w:t>
      </w:r>
      <w:r w:rsidRPr="00C4688A">
        <w:rPr>
          <w:rFonts w:ascii="Arial" w:hAnsi="Arial" w:cs="Arial"/>
          <w:sz w:val="15"/>
          <w:szCs w:val="15"/>
        </w:rPr>
        <w:t>EUROSTAT</w:t>
      </w:r>
      <w:r w:rsidRPr="00C4688A">
        <w:rPr>
          <w:rFonts w:ascii="Arial" w:hAnsi="Arial" w:cs="Arial"/>
          <w:sz w:val="15"/>
          <w:szCs w:val="15"/>
          <w:lang w:val="ru-RU"/>
        </w:rPr>
        <w:t>, Међународног монетарног фонда, Организације за економску сарадњу и развој, Уједињених нација и Светске банке.</w:t>
      </w:r>
    </w:p>
    <w:p w:rsidR="009D65E4" w:rsidRPr="00C4688A" w:rsidRDefault="009D65E4" w:rsidP="009D65E4">
      <w:pPr>
        <w:jc w:val="both"/>
        <w:rPr>
          <w:rFonts w:ascii="Arial" w:hAnsi="Arial" w:cs="Arial"/>
          <w:sz w:val="15"/>
          <w:szCs w:val="15"/>
          <w:lang w:val="sr-Latn-CS"/>
        </w:rPr>
      </w:pPr>
      <w:r w:rsidRPr="00C4688A">
        <w:rPr>
          <w:rFonts w:ascii="Arial" w:hAnsi="Arial" w:cs="Arial"/>
          <w:sz w:val="15"/>
          <w:szCs w:val="15"/>
          <w:lang w:val="ru-RU"/>
        </w:rPr>
        <w:br/>
      </w:r>
      <w:r w:rsidRPr="00C4688A">
        <w:rPr>
          <w:rFonts w:ascii="Arial" w:hAnsi="Arial" w:cs="Arial"/>
          <w:sz w:val="15"/>
          <w:szCs w:val="15"/>
          <w:vertAlign w:val="superscript"/>
          <w:lang w:val="ru-RU"/>
        </w:rPr>
        <w:t xml:space="preserve">2 </w:t>
      </w:r>
      <w:r w:rsidRPr="00C4688A">
        <w:rPr>
          <w:rFonts w:ascii="Arial" w:hAnsi="Arial" w:cs="Arial"/>
          <w:sz w:val="15"/>
          <w:szCs w:val="15"/>
          <w:lang w:val="ru-RU"/>
        </w:rPr>
        <w:t xml:space="preserve">Европски систем националних и регионалних рачуна 1995, припремљен од стране Европске комисије – </w:t>
      </w:r>
      <w:r w:rsidRPr="009D65E4">
        <w:rPr>
          <w:rFonts w:ascii="Arial" w:hAnsi="Arial" w:cs="Arial"/>
          <w:sz w:val="15"/>
          <w:szCs w:val="15"/>
          <w:lang w:val="sr-Latn-CS"/>
        </w:rPr>
        <w:t>EUROSTAT</w:t>
      </w:r>
      <w:r w:rsidRPr="00C4688A">
        <w:rPr>
          <w:rFonts w:ascii="Arial" w:hAnsi="Arial" w:cs="Arial"/>
          <w:sz w:val="15"/>
          <w:szCs w:val="15"/>
          <w:lang w:val="ru-RU"/>
        </w:rPr>
        <w:t>, и званично издат као један од основних службених докумената Европске заједнице.</w:t>
      </w:r>
    </w:p>
    <w:p w:rsidR="009D65E4" w:rsidRPr="00C4688A" w:rsidRDefault="009D65E4" w:rsidP="009D65E4">
      <w:pPr>
        <w:jc w:val="both"/>
        <w:rPr>
          <w:rFonts w:ascii="Arial" w:hAnsi="Arial" w:cs="Arial"/>
          <w:sz w:val="15"/>
          <w:szCs w:val="15"/>
          <w:lang w:val="sr-Latn-CS"/>
        </w:rPr>
      </w:pPr>
      <w:r w:rsidRPr="00C4688A">
        <w:rPr>
          <w:rFonts w:ascii="Arial" w:hAnsi="Arial" w:cs="Arial"/>
          <w:sz w:val="15"/>
          <w:szCs w:val="15"/>
          <w:lang w:val="ru-RU"/>
        </w:rPr>
        <w:br/>
      </w:r>
      <w:r w:rsidRPr="00C4688A">
        <w:rPr>
          <w:rFonts w:ascii="Arial" w:hAnsi="Arial" w:cs="Arial"/>
          <w:sz w:val="15"/>
          <w:szCs w:val="15"/>
          <w:vertAlign w:val="superscript"/>
          <w:lang w:val="ru-RU"/>
        </w:rPr>
        <w:t>3</w:t>
      </w:r>
      <w:r w:rsidRPr="00C4688A">
        <w:rPr>
          <w:rFonts w:ascii="Arial" w:hAnsi="Arial" w:cs="Arial"/>
          <w:sz w:val="15"/>
          <w:szCs w:val="15"/>
          <w:lang w:val="ru-RU"/>
        </w:rPr>
        <w:t xml:space="preserve"> Институционалне јединице (</w:t>
      </w:r>
      <w:r w:rsidRPr="009D65E4">
        <w:rPr>
          <w:rFonts w:ascii="Arial" w:hAnsi="Arial" w:cs="Arial"/>
          <w:sz w:val="15"/>
          <w:szCs w:val="15"/>
          <w:lang w:val="sr-Latn-CS"/>
        </w:rPr>
        <w:t>SNA</w:t>
      </w:r>
      <w:r w:rsidRPr="00C4688A">
        <w:rPr>
          <w:rFonts w:ascii="Arial" w:hAnsi="Arial" w:cs="Arial"/>
          <w:sz w:val="15"/>
          <w:szCs w:val="15"/>
          <w:lang w:val="ru-RU"/>
        </w:rPr>
        <w:t xml:space="preserve">93 1.13) дефинишу се као јединице које могу поседовати добра и фондове, преузимати обавезе и ангажовати се у економским активностима и трансакцијама с другим јединицама -- самостално и за свој рачун. У </w:t>
      </w:r>
      <w:r w:rsidRPr="00C4688A">
        <w:rPr>
          <w:rFonts w:ascii="Arial" w:hAnsi="Arial" w:cs="Arial"/>
          <w:sz w:val="15"/>
          <w:szCs w:val="15"/>
        </w:rPr>
        <w:t>SNA</w:t>
      </w:r>
      <w:r w:rsidRPr="00C4688A">
        <w:rPr>
          <w:rFonts w:ascii="Arial" w:hAnsi="Arial" w:cs="Arial"/>
          <w:sz w:val="15"/>
          <w:szCs w:val="15"/>
          <w:lang w:val="ru-RU"/>
        </w:rPr>
        <w:t>93 дефинисано је пет основних институционалних сектора који чине целину једне економије, и то су: Нефинансијска предузећа, Финансијске институције, Држава, Домаћинства и Непрофитне институције које пружају услуге домаћинствима.</w:t>
      </w:r>
    </w:p>
    <w:p w:rsidR="009D65E4" w:rsidRPr="00C4688A" w:rsidRDefault="009D65E4" w:rsidP="009D65E4">
      <w:pPr>
        <w:jc w:val="both"/>
        <w:rPr>
          <w:rFonts w:ascii="Arial" w:hAnsi="Arial" w:cs="Arial"/>
          <w:sz w:val="15"/>
          <w:szCs w:val="15"/>
          <w:lang w:val="sr-Latn-CS"/>
        </w:rPr>
      </w:pPr>
      <w:r w:rsidRPr="00C4688A">
        <w:rPr>
          <w:rFonts w:ascii="Arial" w:hAnsi="Arial" w:cs="Arial"/>
          <w:sz w:val="15"/>
          <w:szCs w:val="15"/>
          <w:lang w:val="ru-RU"/>
        </w:rPr>
        <w:br/>
      </w:r>
      <w:r w:rsidRPr="00C4688A">
        <w:rPr>
          <w:rFonts w:ascii="Arial" w:hAnsi="Arial" w:cs="Arial"/>
          <w:sz w:val="15"/>
          <w:szCs w:val="15"/>
          <w:vertAlign w:val="superscript"/>
          <w:lang w:val="ru-RU"/>
        </w:rPr>
        <w:t>4</w:t>
      </w:r>
      <w:r w:rsidRPr="00C4688A">
        <w:rPr>
          <w:rFonts w:ascii="Arial" w:hAnsi="Arial" w:cs="Arial"/>
          <w:sz w:val="15"/>
          <w:szCs w:val="15"/>
          <w:vertAlign w:val="superscript"/>
          <w:lang w:val="sr-Latn-CS"/>
        </w:rPr>
        <w:t xml:space="preserve"> </w:t>
      </w:r>
      <w:r w:rsidRPr="00C4688A">
        <w:rPr>
          <w:rFonts w:ascii="Arial" w:hAnsi="Arial" w:cs="Arial"/>
          <w:sz w:val="15"/>
          <w:szCs w:val="15"/>
          <w:lang w:val="ru-RU"/>
        </w:rPr>
        <w:t>У складу са одређењем статистике као реалног сектора и у складу с међународним стандардима, импутира се рента домаћинствима која станују у сопственим становима. То значи да се станарина приписује осталим издацима домаћинстава, односно као да власници станова (домаћинства) сами себи плаћају неку објективну вредност станарине. Због равнотеже у Систему, на другом рачуну тај исти износ приказан је као приход тих власника станова.</w:t>
      </w:r>
    </w:p>
    <w:p w:rsidR="009D65E4" w:rsidRPr="00C4688A" w:rsidRDefault="009D65E4" w:rsidP="009D65E4">
      <w:pPr>
        <w:jc w:val="both"/>
        <w:rPr>
          <w:rFonts w:ascii="Arial" w:hAnsi="Arial" w:cs="Arial"/>
          <w:sz w:val="20"/>
          <w:szCs w:val="20"/>
          <w:lang w:val="ru-RU"/>
        </w:rPr>
      </w:pPr>
      <w:r w:rsidRPr="00C4688A">
        <w:rPr>
          <w:rFonts w:ascii="Arial" w:hAnsi="Arial" w:cs="Arial"/>
          <w:sz w:val="15"/>
          <w:szCs w:val="15"/>
          <w:lang w:val="ru-RU"/>
        </w:rPr>
        <w:br/>
      </w:r>
      <w:r w:rsidRPr="00C4688A">
        <w:rPr>
          <w:rFonts w:ascii="Arial" w:hAnsi="Arial" w:cs="Arial"/>
          <w:sz w:val="15"/>
          <w:szCs w:val="15"/>
          <w:vertAlign w:val="superscript"/>
          <w:lang w:val="ru-RU"/>
        </w:rPr>
        <w:t xml:space="preserve">5 </w:t>
      </w:r>
      <w:r w:rsidRPr="00C4688A">
        <w:rPr>
          <w:rFonts w:ascii="Arial" w:hAnsi="Arial" w:cs="Arial"/>
          <w:sz w:val="15"/>
          <w:szCs w:val="15"/>
          <w:lang w:val="ru-RU"/>
        </w:rPr>
        <w:t>Метод билансирања хране државне заједнице, као широко прихваћени облик метода робних токова.</w:t>
      </w:r>
    </w:p>
    <w:p w:rsidR="00A97486" w:rsidRPr="009D65E4" w:rsidRDefault="00A97486">
      <w:pPr>
        <w:rPr>
          <w:lang w:val="ru-RU"/>
        </w:rPr>
      </w:pPr>
    </w:p>
    <w:sectPr w:rsidR="00A97486" w:rsidRPr="009D6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E4"/>
    <w:rsid w:val="00000577"/>
    <w:rsid w:val="00000F2B"/>
    <w:rsid w:val="00002EB3"/>
    <w:rsid w:val="00003A04"/>
    <w:rsid w:val="000103A1"/>
    <w:rsid w:val="00011B3A"/>
    <w:rsid w:val="000134D6"/>
    <w:rsid w:val="000168BA"/>
    <w:rsid w:val="000237D5"/>
    <w:rsid w:val="00025981"/>
    <w:rsid w:val="00032155"/>
    <w:rsid w:val="00037683"/>
    <w:rsid w:val="00050D79"/>
    <w:rsid w:val="000540F7"/>
    <w:rsid w:val="00057767"/>
    <w:rsid w:val="000614AB"/>
    <w:rsid w:val="000614BD"/>
    <w:rsid w:val="00066540"/>
    <w:rsid w:val="0007241B"/>
    <w:rsid w:val="00074671"/>
    <w:rsid w:val="00075966"/>
    <w:rsid w:val="000810BA"/>
    <w:rsid w:val="00082C20"/>
    <w:rsid w:val="000852DF"/>
    <w:rsid w:val="00092AA6"/>
    <w:rsid w:val="00096424"/>
    <w:rsid w:val="000A1D38"/>
    <w:rsid w:val="000A2F6A"/>
    <w:rsid w:val="000A39A8"/>
    <w:rsid w:val="000B123D"/>
    <w:rsid w:val="000B651B"/>
    <w:rsid w:val="000C5B9B"/>
    <w:rsid w:val="000C63A2"/>
    <w:rsid w:val="000C65ED"/>
    <w:rsid w:val="000C744D"/>
    <w:rsid w:val="000D25E1"/>
    <w:rsid w:val="000E787D"/>
    <w:rsid w:val="00104F70"/>
    <w:rsid w:val="00105D28"/>
    <w:rsid w:val="0011273F"/>
    <w:rsid w:val="00121148"/>
    <w:rsid w:val="001315BA"/>
    <w:rsid w:val="00132FB6"/>
    <w:rsid w:val="00133B4B"/>
    <w:rsid w:val="00135198"/>
    <w:rsid w:val="00142A59"/>
    <w:rsid w:val="00152005"/>
    <w:rsid w:val="001545F9"/>
    <w:rsid w:val="001562F6"/>
    <w:rsid w:val="001573F9"/>
    <w:rsid w:val="00164324"/>
    <w:rsid w:val="00173277"/>
    <w:rsid w:val="00185857"/>
    <w:rsid w:val="00191349"/>
    <w:rsid w:val="00195664"/>
    <w:rsid w:val="001A10F2"/>
    <w:rsid w:val="001A7030"/>
    <w:rsid w:val="001B4A46"/>
    <w:rsid w:val="001B5927"/>
    <w:rsid w:val="001B59A0"/>
    <w:rsid w:val="001B66A6"/>
    <w:rsid w:val="001C128D"/>
    <w:rsid w:val="001C6C78"/>
    <w:rsid w:val="001C7692"/>
    <w:rsid w:val="001D40FC"/>
    <w:rsid w:val="001E1714"/>
    <w:rsid w:val="001E5FCB"/>
    <w:rsid w:val="001E69A9"/>
    <w:rsid w:val="001F5AA8"/>
    <w:rsid w:val="0020213F"/>
    <w:rsid w:val="00211252"/>
    <w:rsid w:val="00211C71"/>
    <w:rsid w:val="002139DB"/>
    <w:rsid w:val="002157F6"/>
    <w:rsid w:val="00226378"/>
    <w:rsid w:val="00226A54"/>
    <w:rsid w:val="00230EE0"/>
    <w:rsid w:val="00231634"/>
    <w:rsid w:val="002350B1"/>
    <w:rsid w:val="002375C2"/>
    <w:rsid w:val="002410C7"/>
    <w:rsid w:val="002414EA"/>
    <w:rsid w:val="002561A7"/>
    <w:rsid w:val="00261119"/>
    <w:rsid w:val="00261E21"/>
    <w:rsid w:val="00267B97"/>
    <w:rsid w:val="00267EE6"/>
    <w:rsid w:val="002824A7"/>
    <w:rsid w:val="0029262F"/>
    <w:rsid w:val="00294BCA"/>
    <w:rsid w:val="00295CDD"/>
    <w:rsid w:val="002A4D4E"/>
    <w:rsid w:val="002B6044"/>
    <w:rsid w:val="002C1C6C"/>
    <w:rsid w:val="002D2886"/>
    <w:rsid w:val="002D3746"/>
    <w:rsid w:val="002D3B1D"/>
    <w:rsid w:val="002D6084"/>
    <w:rsid w:val="002E15D0"/>
    <w:rsid w:val="002E1EEA"/>
    <w:rsid w:val="002E494A"/>
    <w:rsid w:val="002E63D9"/>
    <w:rsid w:val="002E7078"/>
    <w:rsid w:val="00306B89"/>
    <w:rsid w:val="00320FF2"/>
    <w:rsid w:val="00327038"/>
    <w:rsid w:val="003315E9"/>
    <w:rsid w:val="00334634"/>
    <w:rsid w:val="00335977"/>
    <w:rsid w:val="00380628"/>
    <w:rsid w:val="00381703"/>
    <w:rsid w:val="00382F2B"/>
    <w:rsid w:val="00383EFA"/>
    <w:rsid w:val="00386EB4"/>
    <w:rsid w:val="0039615F"/>
    <w:rsid w:val="003A0A8C"/>
    <w:rsid w:val="003A1090"/>
    <w:rsid w:val="003A2C17"/>
    <w:rsid w:val="003B33CB"/>
    <w:rsid w:val="003C656E"/>
    <w:rsid w:val="003D428A"/>
    <w:rsid w:val="003D749C"/>
    <w:rsid w:val="003E218A"/>
    <w:rsid w:val="003E30AD"/>
    <w:rsid w:val="003E6921"/>
    <w:rsid w:val="00412A00"/>
    <w:rsid w:val="00424DDD"/>
    <w:rsid w:val="00424F10"/>
    <w:rsid w:val="00447475"/>
    <w:rsid w:val="00450F4A"/>
    <w:rsid w:val="00453A74"/>
    <w:rsid w:val="00463505"/>
    <w:rsid w:val="00463D60"/>
    <w:rsid w:val="0047120C"/>
    <w:rsid w:val="004717F6"/>
    <w:rsid w:val="00472171"/>
    <w:rsid w:val="00472B5F"/>
    <w:rsid w:val="00491723"/>
    <w:rsid w:val="00492725"/>
    <w:rsid w:val="004A0A72"/>
    <w:rsid w:val="004A0EC0"/>
    <w:rsid w:val="004A4D62"/>
    <w:rsid w:val="004B0F25"/>
    <w:rsid w:val="004B3F4F"/>
    <w:rsid w:val="004B5722"/>
    <w:rsid w:val="004B5BE2"/>
    <w:rsid w:val="004C281B"/>
    <w:rsid w:val="004D1CB1"/>
    <w:rsid w:val="004D2437"/>
    <w:rsid w:val="004D4AB7"/>
    <w:rsid w:val="004D63A7"/>
    <w:rsid w:val="004D6BBE"/>
    <w:rsid w:val="004E51AF"/>
    <w:rsid w:val="004F7120"/>
    <w:rsid w:val="00502738"/>
    <w:rsid w:val="0050318E"/>
    <w:rsid w:val="005148C9"/>
    <w:rsid w:val="00514DF8"/>
    <w:rsid w:val="00524368"/>
    <w:rsid w:val="00524C99"/>
    <w:rsid w:val="00525C4D"/>
    <w:rsid w:val="00532CDC"/>
    <w:rsid w:val="00537953"/>
    <w:rsid w:val="005518CE"/>
    <w:rsid w:val="00551C85"/>
    <w:rsid w:val="00554A6E"/>
    <w:rsid w:val="00562478"/>
    <w:rsid w:val="00572441"/>
    <w:rsid w:val="00575C37"/>
    <w:rsid w:val="005A03BB"/>
    <w:rsid w:val="005A08AC"/>
    <w:rsid w:val="005A6C77"/>
    <w:rsid w:val="005B6830"/>
    <w:rsid w:val="005B7E23"/>
    <w:rsid w:val="005D0D91"/>
    <w:rsid w:val="005D2C1F"/>
    <w:rsid w:val="005D53BC"/>
    <w:rsid w:val="005E21AD"/>
    <w:rsid w:val="0060125E"/>
    <w:rsid w:val="00601E5B"/>
    <w:rsid w:val="00604023"/>
    <w:rsid w:val="00604F15"/>
    <w:rsid w:val="0060521F"/>
    <w:rsid w:val="00611D72"/>
    <w:rsid w:val="006213E7"/>
    <w:rsid w:val="00622C67"/>
    <w:rsid w:val="00624C4C"/>
    <w:rsid w:val="00633959"/>
    <w:rsid w:val="00635F22"/>
    <w:rsid w:val="00642859"/>
    <w:rsid w:val="00647892"/>
    <w:rsid w:val="0065500D"/>
    <w:rsid w:val="0066530B"/>
    <w:rsid w:val="00670578"/>
    <w:rsid w:val="00673043"/>
    <w:rsid w:val="00675550"/>
    <w:rsid w:val="00684847"/>
    <w:rsid w:val="006873C5"/>
    <w:rsid w:val="00690708"/>
    <w:rsid w:val="00691C28"/>
    <w:rsid w:val="006A49AE"/>
    <w:rsid w:val="006C2C48"/>
    <w:rsid w:val="006C3EC2"/>
    <w:rsid w:val="006C4615"/>
    <w:rsid w:val="006C787F"/>
    <w:rsid w:val="006D7BC2"/>
    <w:rsid w:val="006E7785"/>
    <w:rsid w:val="00704057"/>
    <w:rsid w:val="00706307"/>
    <w:rsid w:val="0070705F"/>
    <w:rsid w:val="007104D7"/>
    <w:rsid w:val="007121AD"/>
    <w:rsid w:val="00725BCD"/>
    <w:rsid w:val="00732A4D"/>
    <w:rsid w:val="0073558F"/>
    <w:rsid w:val="007412C4"/>
    <w:rsid w:val="00742CCB"/>
    <w:rsid w:val="0074552C"/>
    <w:rsid w:val="00754EA5"/>
    <w:rsid w:val="00755022"/>
    <w:rsid w:val="007601C0"/>
    <w:rsid w:val="00760C3B"/>
    <w:rsid w:val="00761016"/>
    <w:rsid w:val="0076526E"/>
    <w:rsid w:val="00766967"/>
    <w:rsid w:val="00767394"/>
    <w:rsid w:val="0077228B"/>
    <w:rsid w:val="00780F8E"/>
    <w:rsid w:val="00786A16"/>
    <w:rsid w:val="0079136F"/>
    <w:rsid w:val="007A056B"/>
    <w:rsid w:val="007A40EF"/>
    <w:rsid w:val="007A7866"/>
    <w:rsid w:val="007B1C59"/>
    <w:rsid w:val="007B2948"/>
    <w:rsid w:val="007C4A22"/>
    <w:rsid w:val="007D07C4"/>
    <w:rsid w:val="007E7121"/>
    <w:rsid w:val="007F1088"/>
    <w:rsid w:val="008014D7"/>
    <w:rsid w:val="00804158"/>
    <w:rsid w:val="008070F8"/>
    <w:rsid w:val="00807BFB"/>
    <w:rsid w:val="00811E43"/>
    <w:rsid w:val="0082303F"/>
    <w:rsid w:val="008243D7"/>
    <w:rsid w:val="00826487"/>
    <w:rsid w:val="008305A0"/>
    <w:rsid w:val="00835428"/>
    <w:rsid w:val="0084029B"/>
    <w:rsid w:val="00847A64"/>
    <w:rsid w:val="00850E57"/>
    <w:rsid w:val="00851A97"/>
    <w:rsid w:val="00864934"/>
    <w:rsid w:val="00867A32"/>
    <w:rsid w:val="00872345"/>
    <w:rsid w:val="00872825"/>
    <w:rsid w:val="008762B7"/>
    <w:rsid w:val="00877C67"/>
    <w:rsid w:val="0089494D"/>
    <w:rsid w:val="00894F25"/>
    <w:rsid w:val="00897BC1"/>
    <w:rsid w:val="008A0309"/>
    <w:rsid w:val="008A183B"/>
    <w:rsid w:val="008B03AF"/>
    <w:rsid w:val="008B3FB5"/>
    <w:rsid w:val="008B46C1"/>
    <w:rsid w:val="008C02CF"/>
    <w:rsid w:val="008C6857"/>
    <w:rsid w:val="008C77C1"/>
    <w:rsid w:val="008C7EF3"/>
    <w:rsid w:val="008D4269"/>
    <w:rsid w:val="008D47EF"/>
    <w:rsid w:val="008E2756"/>
    <w:rsid w:val="0090022A"/>
    <w:rsid w:val="00900D59"/>
    <w:rsid w:val="009026C8"/>
    <w:rsid w:val="00903D7F"/>
    <w:rsid w:val="00904F19"/>
    <w:rsid w:val="00905356"/>
    <w:rsid w:val="0090660E"/>
    <w:rsid w:val="009248F7"/>
    <w:rsid w:val="00930B88"/>
    <w:rsid w:val="0093136B"/>
    <w:rsid w:val="00931A5D"/>
    <w:rsid w:val="00933137"/>
    <w:rsid w:val="0094041E"/>
    <w:rsid w:val="0094128C"/>
    <w:rsid w:val="00941326"/>
    <w:rsid w:val="0094217C"/>
    <w:rsid w:val="009552FE"/>
    <w:rsid w:val="00956A9A"/>
    <w:rsid w:val="0096556E"/>
    <w:rsid w:val="00966EC2"/>
    <w:rsid w:val="00974D73"/>
    <w:rsid w:val="00976719"/>
    <w:rsid w:val="00983708"/>
    <w:rsid w:val="00993B1A"/>
    <w:rsid w:val="009A3FF1"/>
    <w:rsid w:val="009B37DD"/>
    <w:rsid w:val="009C30D2"/>
    <w:rsid w:val="009C386E"/>
    <w:rsid w:val="009C3B5D"/>
    <w:rsid w:val="009C538E"/>
    <w:rsid w:val="009D62A8"/>
    <w:rsid w:val="009D65E4"/>
    <w:rsid w:val="009E007E"/>
    <w:rsid w:val="009E5959"/>
    <w:rsid w:val="009E7799"/>
    <w:rsid w:val="009F0438"/>
    <w:rsid w:val="009F3525"/>
    <w:rsid w:val="009F6716"/>
    <w:rsid w:val="00A007D0"/>
    <w:rsid w:val="00A03112"/>
    <w:rsid w:val="00A0739E"/>
    <w:rsid w:val="00A07418"/>
    <w:rsid w:val="00A075E5"/>
    <w:rsid w:val="00A11A90"/>
    <w:rsid w:val="00A24834"/>
    <w:rsid w:val="00A3049A"/>
    <w:rsid w:val="00A310B4"/>
    <w:rsid w:val="00A350BE"/>
    <w:rsid w:val="00A420DA"/>
    <w:rsid w:val="00A56CA8"/>
    <w:rsid w:val="00A57DC9"/>
    <w:rsid w:val="00A63304"/>
    <w:rsid w:val="00A63CD4"/>
    <w:rsid w:val="00A70CC2"/>
    <w:rsid w:val="00A73532"/>
    <w:rsid w:val="00A74EDA"/>
    <w:rsid w:val="00A768D5"/>
    <w:rsid w:val="00A81F44"/>
    <w:rsid w:val="00A83835"/>
    <w:rsid w:val="00A85DC6"/>
    <w:rsid w:val="00A91F23"/>
    <w:rsid w:val="00A95740"/>
    <w:rsid w:val="00A95FA5"/>
    <w:rsid w:val="00A97486"/>
    <w:rsid w:val="00AA4343"/>
    <w:rsid w:val="00AA4741"/>
    <w:rsid w:val="00AA6389"/>
    <w:rsid w:val="00AC4FA2"/>
    <w:rsid w:val="00AE179D"/>
    <w:rsid w:val="00AE481E"/>
    <w:rsid w:val="00AE7E04"/>
    <w:rsid w:val="00AF4364"/>
    <w:rsid w:val="00AF4725"/>
    <w:rsid w:val="00AF4FBA"/>
    <w:rsid w:val="00B023B9"/>
    <w:rsid w:val="00B02A59"/>
    <w:rsid w:val="00B02B8F"/>
    <w:rsid w:val="00B10CE9"/>
    <w:rsid w:val="00B12066"/>
    <w:rsid w:val="00B15D1B"/>
    <w:rsid w:val="00B20FDB"/>
    <w:rsid w:val="00B226D6"/>
    <w:rsid w:val="00B260B8"/>
    <w:rsid w:val="00B27434"/>
    <w:rsid w:val="00B3167C"/>
    <w:rsid w:val="00B318EB"/>
    <w:rsid w:val="00B31974"/>
    <w:rsid w:val="00B35790"/>
    <w:rsid w:val="00B37E97"/>
    <w:rsid w:val="00B55C6D"/>
    <w:rsid w:val="00B66173"/>
    <w:rsid w:val="00B66644"/>
    <w:rsid w:val="00B735D0"/>
    <w:rsid w:val="00B76492"/>
    <w:rsid w:val="00B83925"/>
    <w:rsid w:val="00B9344D"/>
    <w:rsid w:val="00B9448B"/>
    <w:rsid w:val="00B95858"/>
    <w:rsid w:val="00BA0099"/>
    <w:rsid w:val="00BB5104"/>
    <w:rsid w:val="00BC447F"/>
    <w:rsid w:val="00BC45E1"/>
    <w:rsid w:val="00BD0C93"/>
    <w:rsid w:val="00BE17B5"/>
    <w:rsid w:val="00BE332E"/>
    <w:rsid w:val="00BF1579"/>
    <w:rsid w:val="00BF2224"/>
    <w:rsid w:val="00BF2994"/>
    <w:rsid w:val="00BF2C04"/>
    <w:rsid w:val="00BF7C96"/>
    <w:rsid w:val="00C04C71"/>
    <w:rsid w:val="00C04E78"/>
    <w:rsid w:val="00C1286D"/>
    <w:rsid w:val="00C148DC"/>
    <w:rsid w:val="00C156CD"/>
    <w:rsid w:val="00C1723C"/>
    <w:rsid w:val="00C20271"/>
    <w:rsid w:val="00C20361"/>
    <w:rsid w:val="00C25AD3"/>
    <w:rsid w:val="00C32221"/>
    <w:rsid w:val="00C356E1"/>
    <w:rsid w:val="00C36211"/>
    <w:rsid w:val="00C36663"/>
    <w:rsid w:val="00C47340"/>
    <w:rsid w:val="00C52B4A"/>
    <w:rsid w:val="00C5524B"/>
    <w:rsid w:val="00C555C3"/>
    <w:rsid w:val="00C60F38"/>
    <w:rsid w:val="00C6588A"/>
    <w:rsid w:val="00C74F43"/>
    <w:rsid w:val="00C750E4"/>
    <w:rsid w:val="00C76B56"/>
    <w:rsid w:val="00C816DD"/>
    <w:rsid w:val="00C82238"/>
    <w:rsid w:val="00CA1B77"/>
    <w:rsid w:val="00CA4F36"/>
    <w:rsid w:val="00CA5AE9"/>
    <w:rsid w:val="00CA7056"/>
    <w:rsid w:val="00CC3366"/>
    <w:rsid w:val="00CD0CB6"/>
    <w:rsid w:val="00CD65A0"/>
    <w:rsid w:val="00CE2C54"/>
    <w:rsid w:val="00CE4AF4"/>
    <w:rsid w:val="00CF25AB"/>
    <w:rsid w:val="00CF2CF1"/>
    <w:rsid w:val="00D03D31"/>
    <w:rsid w:val="00D054BA"/>
    <w:rsid w:val="00D13677"/>
    <w:rsid w:val="00D1666F"/>
    <w:rsid w:val="00D40A0A"/>
    <w:rsid w:val="00D41B7A"/>
    <w:rsid w:val="00D431A7"/>
    <w:rsid w:val="00D44700"/>
    <w:rsid w:val="00D44748"/>
    <w:rsid w:val="00D45031"/>
    <w:rsid w:val="00D462A5"/>
    <w:rsid w:val="00D50E18"/>
    <w:rsid w:val="00D538BD"/>
    <w:rsid w:val="00D645FF"/>
    <w:rsid w:val="00D76455"/>
    <w:rsid w:val="00D8637E"/>
    <w:rsid w:val="00D95521"/>
    <w:rsid w:val="00DA60EE"/>
    <w:rsid w:val="00DA710E"/>
    <w:rsid w:val="00DB25B8"/>
    <w:rsid w:val="00DC59B9"/>
    <w:rsid w:val="00DC7672"/>
    <w:rsid w:val="00DD0521"/>
    <w:rsid w:val="00DD1C09"/>
    <w:rsid w:val="00DD26FC"/>
    <w:rsid w:val="00DD271D"/>
    <w:rsid w:val="00DD335B"/>
    <w:rsid w:val="00DE3B0D"/>
    <w:rsid w:val="00DE78D5"/>
    <w:rsid w:val="00DF309C"/>
    <w:rsid w:val="00DF4983"/>
    <w:rsid w:val="00DF72FE"/>
    <w:rsid w:val="00E00206"/>
    <w:rsid w:val="00E02DF3"/>
    <w:rsid w:val="00E03BA4"/>
    <w:rsid w:val="00E106CB"/>
    <w:rsid w:val="00E12B6F"/>
    <w:rsid w:val="00E146C2"/>
    <w:rsid w:val="00E17BDD"/>
    <w:rsid w:val="00E326EB"/>
    <w:rsid w:val="00E32D05"/>
    <w:rsid w:val="00E337EA"/>
    <w:rsid w:val="00E4334E"/>
    <w:rsid w:val="00E43DA2"/>
    <w:rsid w:val="00E54F36"/>
    <w:rsid w:val="00E56BF1"/>
    <w:rsid w:val="00E60BAA"/>
    <w:rsid w:val="00E61F0A"/>
    <w:rsid w:val="00E62007"/>
    <w:rsid w:val="00E63A66"/>
    <w:rsid w:val="00E671E7"/>
    <w:rsid w:val="00E71A7D"/>
    <w:rsid w:val="00E73299"/>
    <w:rsid w:val="00E764D0"/>
    <w:rsid w:val="00E83ED5"/>
    <w:rsid w:val="00E86CD6"/>
    <w:rsid w:val="00EA2E7E"/>
    <w:rsid w:val="00EA65AD"/>
    <w:rsid w:val="00EA6D54"/>
    <w:rsid w:val="00EB5928"/>
    <w:rsid w:val="00EC14FA"/>
    <w:rsid w:val="00EC2DB3"/>
    <w:rsid w:val="00EC4081"/>
    <w:rsid w:val="00ED073C"/>
    <w:rsid w:val="00ED50D9"/>
    <w:rsid w:val="00EE007B"/>
    <w:rsid w:val="00EE3A16"/>
    <w:rsid w:val="00EF116E"/>
    <w:rsid w:val="00EF4E64"/>
    <w:rsid w:val="00EF733E"/>
    <w:rsid w:val="00F05DD1"/>
    <w:rsid w:val="00F116E1"/>
    <w:rsid w:val="00F21FFB"/>
    <w:rsid w:val="00F2215F"/>
    <w:rsid w:val="00F230F9"/>
    <w:rsid w:val="00F24C5E"/>
    <w:rsid w:val="00F261C6"/>
    <w:rsid w:val="00F4753A"/>
    <w:rsid w:val="00F47DE8"/>
    <w:rsid w:val="00F5444D"/>
    <w:rsid w:val="00F642C0"/>
    <w:rsid w:val="00F66F24"/>
    <w:rsid w:val="00F82FE4"/>
    <w:rsid w:val="00F84822"/>
    <w:rsid w:val="00F9407F"/>
    <w:rsid w:val="00F949D3"/>
    <w:rsid w:val="00F96067"/>
    <w:rsid w:val="00FA1159"/>
    <w:rsid w:val="00FB0225"/>
    <w:rsid w:val="00FB4860"/>
    <w:rsid w:val="00FB6D12"/>
    <w:rsid w:val="00FD2733"/>
    <w:rsid w:val="00FD49AB"/>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50B27C-29B4-4EA4-87E2-A3B0FB53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E4"/>
    <w:rPr>
      <w:sz w:val="24"/>
      <w:szCs w:val="24"/>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D65E4"/>
    <w:pPr>
      <w:spacing w:before="100" w:beforeAutospacing="1" w:after="100" w:afterAutospacing="1"/>
    </w:pPr>
  </w:style>
  <w:style w:type="character" w:styleId="Strong">
    <w:name w:val="Strong"/>
    <w:basedOn w:val="DefaultParagraphFont"/>
    <w:qFormat/>
    <w:rsid w:val="009D65E4"/>
    <w:rPr>
      <w:b/>
      <w:bCs/>
    </w:rPr>
  </w:style>
  <w:style w:type="paragraph" w:customStyle="1" w:styleId="CarCar">
    <w:name w:val="Car Car"/>
    <w:basedOn w:val="Normal"/>
    <w:link w:val="DefaultParagraphFont"/>
    <w:rsid w:val="009D65E4"/>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ИЗДАЦИ ДОМАЋИНСТАВА ЗА ФИНАЛНУ ПОТРОШЊУ У РЕПУБЛИЦИ СРБИЈИ</vt:lpstr>
    </vt:vector>
  </TitlesOfParts>
  <Company>.</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ИЗДАЦИ ДОМАЋИНСТАВА ЗА ФИНАЛНУ ПОТРОШЊУ У РЕПУБЛИЦИ СРБИЈИ</dc:title>
  <dc:subject/>
  <dc:creator>f65mi06</dc:creator>
  <cp:keywords/>
  <dc:description/>
  <cp:lastModifiedBy>Irena Dimic</cp:lastModifiedBy>
  <cp:revision>2</cp:revision>
  <dcterms:created xsi:type="dcterms:W3CDTF">2018-06-15T05:48:00Z</dcterms:created>
  <dcterms:modified xsi:type="dcterms:W3CDTF">2018-06-15T05:48:00Z</dcterms:modified>
</cp:coreProperties>
</file>