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23A48FE" Type="http://schemas.openxmlformats.org/officeDocument/2006/relationships/officeDocument" Target="/word/document.xml" /><Relationship Id="coreR523A48F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5"/>
      </w:pPr>
      <w:r>
        <w:t>ГОДИШЊИ ЕНЕРГЕТСКИ БИЛАНС ЗА ТОПЛОТНУ ЕНЕРГИЈУ</w:t>
      </w:r>
    </w:p>
    <w:p>
      <w:pPr>
        <w:pStyle w:val="P16"/>
      </w:pPr>
      <w:r>
        <w:t xml:space="preserve">ПРАВНИ ОСНОВ </w:t>
      </w:r>
    </w:p>
    <w:p>
      <w:pPr>
        <w:pStyle w:val="P7"/>
      </w:pPr>
      <w:r>
        <w:t xml:space="preserve">Истраживање се спроводи  на основу Закона о званичној статистици („Службени гласник РС“, бр. 104/2009, и Одлуке о Програму званичне статистике у периоду од 2016</w:t>
      </w:r>
      <w:r>
        <w:rPr>
          <w:color w:val="FF0000"/>
        </w:rPr>
        <w:t>.</w:t>
      </w:r>
      <w:r>
        <w:t xml:space="preserve"> до 2020. године („Службени гласник РС“, бр.55/15).</w:t>
      </w:r>
    </w:p>
    <w:p>
      <w:pPr>
        <w:pStyle w:val="P7"/>
      </w:pPr>
      <w:r>
        <w:fldChar w:fldCharType="begin"/>
      </w:r>
      <w:r>
        <w:instrText xml:space="preserve"> HYPERLINK "http://www.stat.gov.rs/media/2271/zakon_o_statistici.pdf" </w:instrText>
      </w:r>
      <w:r>
        <w:fldChar w:fldCharType="separate"/>
      </w:r>
      <w:r>
        <w:rPr>
          <w:rStyle w:val="C2"/>
        </w:rPr>
        <w:t>http://www.stat.gov.rs/media/2271/zakon_o_statistici.pdf</w:t>
      </w:r>
      <w:r>
        <w:rPr>
          <w:rStyle w:val="C2"/>
        </w:rPr>
        <w:fldChar w:fldCharType="end"/>
      </w:r>
      <w:r>
        <w:t xml:space="preserve"> </w:t>
      </w:r>
    </w:p>
    <w:p>
      <w:pPr>
        <w:pStyle w:val="P7"/>
        <w:rPr>
          <w:rStyle w:val="C2"/>
        </w:rPr>
      </w:pPr>
      <w:r>
        <w:fldChar w:fldCharType="begin"/>
      </w:r>
      <w:r>
        <w:instrText xml:space="preserve"> HYPERLINK "http://www.stat.gov.rs/media/2282/program_2016-2020.pdf" </w:instrText>
      </w:r>
      <w:r>
        <w:fldChar w:fldCharType="separate"/>
      </w:r>
      <w:r>
        <w:rPr>
          <w:rStyle w:val="C2"/>
        </w:rPr>
        <w:t>http://www.stat.gov.rs/media/2282/program_2016-2020.pdf</w:t>
      </w:r>
      <w:r>
        <w:rPr>
          <w:rStyle w:val="C2"/>
        </w:rPr>
        <w:fldChar w:fldCharType="end"/>
      </w:r>
    </w:p>
    <w:p>
      <w:pPr>
        <w:pStyle w:val="P16"/>
      </w:pPr>
      <w:r>
        <w:t xml:space="preserve">МЕТОДОЛОШКЕ ОСНОВЕ </w:t>
      </w:r>
    </w:p>
    <w:p>
      <w:pPr>
        <w:pStyle w:val="P17"/>
        <w:spacing w:before="200"/>
      </w:pPr>
      <w:r>
        <w:t>Циљ статистичког истраживања</w:t>
      </w:r>
    </w:p>
    <w:p>
      <w:pPr>
        <w:pStyle w:val="P7"/>
      </w:pPr>
      <w:r>
        <w:t>Израда годишњег енергетског биланса топлотне енергије.</w:t>
      </w:r>
    </w:p>
    <w:p>
      <w:pPr>
        <w:pStyle w:val="P17"/>
        <w:spacing w:before="200"/>
      </w:pPr>
      <w:r>
        <w:t>Садржај статистичког истраживања</w:t>
      </w:r>
    </w:p>
    <w:p>
      <w:pPr>
        <w:pStyle w:val="P7"/>
      </w:pPr>
      <w:r>
        <w:rPr>
          <w:b w:val="1"/>
        </w:rPr>
        <w:t>Упитником ЕН-4.2</w:t>
      </w:r>
      <w:r>
        <w:t xml:space="preserve">  прикупљају се подаци o: укупној </w:t>
      </w:r>
      <w:r>
        <w:rPr>
          <w:rFonts w:ascii="Arial IS" w:hAnsi="Arial IS"/>
          <w:i w:val="1"/>
        </w:rPr>
        <w:t>потрошњи</w:t>
      </w:r>
      <w:r>
        <w:t xml:space="preserve"> горива за производњу електричне енергије и топлоте по врстама горива, залихама на крају године и њиховој просечној калоричној вредности; </w:t>
      </w:r>
      <w:r>
        <w:rPr>
          <w:rFonts w:ascii="Arial IS" w:hAnsi="Arial IS"/>
          <w:i w:val="1"/>
        </w:rPr>
        <w:t>производњи</w:t>
      </w:r>
      <w:r>
        <w:t xml:space="preserve"> топлотне енергије и набавци од других произвођача (производња топлоте, сопствена потрошња, енергија предата дистрибутерима или другим произвођачима топлоте, енергија примљена од других произвођача топлоте, губици у транспорту и топлотна енергија предата на мерном месту потрошача, по носиоцима топлоте);  </w:t>
      </w:r>
      <w:r>
        <w:rPr>
          <w:rFonts w:ascii="Arial IS" w:hAnsi="Arial IS"/>
          <w:i w:val="1"/>
        </w:rPr>
        <w:t>реализацији</w:t>
      </w:r>
      <w:r>
        <w:t xml:space="preserve"> топлоте (укупна реализација и реализација топлоте по носиоцима топлоте и по врсти потрошача – енергетски сектор, прерађивачка индустрија, грађевинарство, домаћинства, пољопривреда и остали сектори).</w:t>
      </w:r>
    </w:p>
    <w:p>
      <w:pPr>
        <w:pStyle w:val="P7"/>
      </w:pPr>
      <w:r>
        <w:rPr>
          <w:b w:val="1"/>
        </w:rPr>
        <w:t xml:space="preserve">Упитником </w:t>
      </w:r>
      <w:r>
        <w:rPr>
          <w:b w:val="1"/>
        </w:rPr>
        <w:t>ЕН</w:t>
      </w:r>
      <w:r>
        <w:rPr>
          <w:b w:val="1"/>
        </w:rPr>
        <w:t>-4.6</w:t>
      </w:r>
      <w:r>
        <w:t xml:space="preserve"> прикупљају се подаци о: </w:t>
      </w:r>
      <w:r>
        <w:rPr>
          <w:rFonts w:ascii="Arial IS" w:hAnsi="Arial IS"/>
          <w:i w:val="1"/>
        </w:rPr>
        <w:t>укупној</w:t>
      </w:r>
      <w:r>
        <w:t xml:space="preserve"> </w:t>
      </w:r>
      <w:r>
        <w:rPr>
          <w:rFonts w:ascii="Arial IS" w:hAnsi="Arial IS"/>
          <w:i w:val="1"/>
        </w:rPr>
        <w:t xml:space="preserve">потрошњи </w:t>
      </w:r>
      <w:r>
        <w:t xml:space="preserve">горива за производњу топлоте по врстама горива, залихама на крају године и њиховој просечној калоричној вредности; </w:t>
      </w:r>
      <w:r>
        <w:rPr>
          <w:rFonts w:ascii="Arial IS" w:hAnsi="Arial IS"/>
          <w:i w:val="1"/>
        </w:rPr>
        <w:t>производњи</w:t>
      </w:r>
      <w:r>
        <w:t xml:space="preserve"> топлотне енергије и набавци од других произвођача (производња топлоте, сопствена потрошња, енергија предата дистрибутерима или другим произвођачима топлоте, енергија примљена од других произвођача топлоте, губици у транспорту и топлотна енергија </w:t>
      </w:r>
      <w:r>
        <w:rPr>
          <w:rFonts w:ascii="Arial IS" w:hAnsi="Arial IS"/>
          <w:i w:val="1"/>
        </w:rPr>
        <w:t>предата</w:t>
      </w:r>
      <w:r>
        <w:t xml:space="preserve"> на мерном месту потрошача, по носиоцима топлоте) и  топлотној енергији предатој на мерном месту потрошача (укупно предато потрошачима и предато потрошачима по носиоцима топлоте и по врсти потрошача – енергетски сектор, прерађивачка индустрија, грађевинарство, домаћинства, пољопривреда и остали сектори).</w:t>
      </w:r>
    </w:p>
    <w:p>
      <w:pPr>
        <w:pStyle w:val="P7"/>
      </w:pPr>
      <w:r>
        <w:rPr>
          <w:b w:val="1"/>
        </w:rPr>
        <w:t xml:space="preserve">Упитником </w:t>
      </w:r>
      <w:r>
        <w:rPr>
          <w:b w:val="1"/>
        </w:rPr>
        <w:t>ЕН</w:t>
      </w:r>
      <w:r>
        <w:rPr>
          <w:b w:val="1"/>
        </w:rPr>
        <w:t>-4.7</w:t>
      </w:r>
      <w:r>
        <w:t xml:space="preserve"> прикупљају се подаци о: </w:t>
      </w:r>
      <w:r>
        <w:rPr>
          <w:rFonts w:ascii="Arial IS" w:hAnsi="Arial IS"/>
          <w:i w:val="1"/>
        </w:rPr>
        <w:t>набавци</w:t>
      </w:r>
      <w:r>
        <w:t xml:space="preserve"> топлотне енергије од произвођача топлотне енергије (набављена топлотна енергија по носиоцима топлоте, губици у транспорту и топлотна енергија предата на мерном месту потрошача по врсти потрошача и по носиоцима топлоте) и </w:t>
      </w:r>
      <w:r>
        <w:rPr>
          <w:rFonts w:ascii="Arial IS" w:hAnsi="Arial IS"/>
          <w:i w:val="1"/>
        </w:rPr>
        <w:t>предатој</w:t>
      </w:r>
      <w:r>
        <w:t xml:space="preserve"> топлотној енергији на мерном месту потрошача (укупно предато потрошачима и предато потрошачима по носиоцима топлоте и по врсти потрошача – енергетски сектор, прерађивачка индустрија, грађевинарство, домаћинства, пољопривреда и остали сектори).</w:t>
      </w:r>
    </w:p>
    <w:p>
      <w:pPr>
        <w:pStyle w:val="P7"/>
      </w:pPr>
      <w:r>
        <w:rPr>
          <w:b w:val="1"/>
        </w:rPr>
        <w:t xml:space="preserve"> Упитником ЕН-4.15Е</w:t>
      </w:r>
      <w:r>
        <w:t xml:space="preserve"> прикупљају се подаци о утрошку топлотне енергије у индустрији.</w:t>
      </w:r>
    </w:p>
    <w:p>
      <w:pPr>
        <w:pStyle w:val="P17"/>
        <w:spacing w:before="200"/>
      </w:pPr>
      <w:r>
        <w:t xml:space="preserve">Извештајне јединице и статистичке јединице </w:t>
      </w:r>
      <w:r>
        <w:rPr>
          <w:rFonts w:ascii="Arial IS" w:hAnsi="Arial IS"/>
          <w:i w:val="1"/>
          <w:sz w:val="20"/>
        </w:rPr>
        <w:t>(обухват)</w:t>
      </w:r>
    </w:p>
    <w:p>
      <w:pPr>
        <w:pStyle w:val="P7"/>
      </w:pPr>
      <w:r>
        <w:t>Извештајне јединице за енергетски биланс топлотне енергије су jавна предузећа, привредна друштва и предузетници из области производње и дистрибуције топлотне енергије. Јединице посматрања су предузећа као и јединице врсте делатности индустријских и неиндустријских предузећа која имају производњу топлотне енергије.</w:t>
      </w:r>
    </w:p>
    <w:p>
      <w:pPr>
        <w:pStyle w:val="P17"/>
        <w:spacing w:before="200"/>
      </w:pPr>
      <w:r>
        <w:t>Метод, време и извори за прикупљање података</w:t>
      </w:r>
    </w:p>
    <w:p>
      <w:pPr>
        <w:pStyle w:val="P7"/>
      </w:pPr>
      <w:r>
        <w:t>Подаци се</w:t>
      </w:r>
      <w:r>
        <w:rPr>
          <w:b w:val="1"/>
        </w:rPr>
        <w:t xml:space="preserve"> </w:t>
      </w:r>
      <w:r>
        <w:t>прикупљају у годишњој периодици, применом извештајног метода.</w:t>
      </w:r>
    </w:p>
    <w:p>
      <w:pPr>
        <w:pStyle w:val="P7"/>
      </w:pPr>
      <w:r>
        <w:t xml:space="preserve">Извори прикупљања података су: </w:t>
      </w:r>
    </w:p>
    <w:p>
      <w:pPr>
        <w:pStyle w:val="P18"/>
      </w:pPr>
      <w:r>
        <w:t>Годишњи упитници:</w:t>
      </w:r>
    </w:p>
    <w:p>
      <w:pPr>
        <w:pStyle w:val="P10"/>
        <w:jc w:val="left"/>
      </w:pPr>
      <w:r>
        <w:t xml:space="preserve">Годишњи енергетски биланс производње и потрошње термоелектричне енергије – упитник за  извештајне јединице  које се баве производњом термоелектричне енергије и топлоте (ЕН-4.2),</w:t>
      </w:r>
    </w:p>
    <w:p>
      <w:pPr>
        <w:pStyle w:val="P10"/>
        <w:jc w:val="left"/>
      </w:pPr>
      <w:r>
        <w:t xml:space="preserve">Годишњи енергетски биланс производње и потрошње топлотне енергије </w:t>
        <w:br w:type="textWrapping"/>
        <w:t xml:space="preserve">– упитник за  извештајне јединице које се баве производњом  топлотне енергије (ЕН-4.6),</w:t>
      </w:r>
    </w:p>
    <w:p>
      <w:pPr>
        <w:pStyle w:val="P10"/>
        <w:jc w:val="left"/>
      </w:pPr>
      <w:r>
        <w:t xml:space="preserve">Годишњи енергетски биланс производње и потрошње топлотне енергије (ЕН-4.7) </w:t>
        <w:br w:type="textWrapping"/>
        <w:t xml:space="preserve">– упитник за  извештајне јединице које се баве дистрибуцијом топлотне енергије.          </w:t>
      </w:r>
    </w:p>
    <w:p>
      <w:pPr>
        <w:pStyle w:val="P7"/>
      </w:pPr>
      <w:r>
        <w:t>2. Редовна статистичка истраживања Групе за статистику грађевинарства, Одељења за статистику спољне трговине (подаци Управе Царине Републике Србије) и саобраћаја.</w:t>
      </w:r>
    </w:p>
    <w:p>
      <w:pPr>
        <w:pStyle w:val="P7"/>
      </w:pPr>
      <w:r>
        <w:t xml:space="preserve">(Упитници су доступни на сајту Републичког завода за статистику </w:t>
      </w:r>
      <w:r>
        <w:fldChar w:fldCharType="begin"/>
      </w:r>
      <w:r>
        <w:instrText xml:space="preserve"> HYPERLINK "http://www.stat.gov.rs/sr-cyrl/istrazivanja/methodology-and-documents/?a=04&amp;s=0" </w:instrText>
      </w:r>
      <w:r>
        <w:fldChar w:fldCharType="separate"/>
      </w:r>
      <w:r>
        <w:rPr>
          <w:rStyle w:val="C2"/>
        </w:rPr>
        <w:t>http://www.stat.gov.rs/sr-cyrl/istrazivanja/methodology-and-documents/?a=04&amp;s=0</w:t>
      </w:r>
      <w:r>
        <w:rPr>
          <w:rStyle w:val="C2"/>
        </w:rPr>
        <w:fldChar w:fldCharType="end"/>
      </w:r>
      <w:r>
        <w:t xml:space="preserve"> )</w:t>
      </w:r>
    </w:p>
    <w:p>
      <w:pPr>
        <w:pStyle w:val="P17"/>
      </w:pPr>
      <w:r>
        <w:t>Обавеза заштите индивидуалних података</w:t>
      </w:r>
    </w:p>
    <w:p>
      <w:pPr>
        <w:pStyle w:val="P7"/>
      </w:pPr>
      <w:r>
        <w:t xml:space="preserve">Обавеза заштите индивидуалних података темељи се на члану 3. одредбе за заштиту давалаца података, члановима 44, 45, 46, 47, 48. и 49. одредбе о поверљивости Закона о званичној статистици („Сл. гласник РС“, бр. 104/2009). </w:t>
      </w:r>
    </w:p>
    <w:p>
      <w:pPr>
        <w:pStyle w:val="P17"/>
      </w:pPr>
      <w:r>
        <w:t>Списак и дефиниције основних обележја – индикатора</w:t>
      </w:r>
    </w:p>
    <w:p>
      <w:pPr>
        <w:pStyle w:val="P7"/>
      </w:pPr>
      <w:r>
        <w:rPr>
          <w:rFonts w:ascii="Arial IS" w:hAnsi="Arial IS"/>
          <w:b w:val="1"/>
          <w:i w:val="1"/>
        </w:rPr>
        <w:t>Примарна производња</w:t>
      </w:r>
      <w:r>
        <w:t xml:space="preserve"> је облик енергије који није био подвргнут процесу конверзије или трансформације (угаљ, нафта, природни гас, биомаса, хидроелектрична енергија, геотермална енергија, енергија ветра и соларна енергија).</w:t>
      </w:r>
    </w:p>
    <w:p>
      <w:pPr>
        <w:pStyle w:val="P7"/>
      </w:pPr>
      <w:r>
        <w:rPr>
          <w:rFonts w:ascii="Arial IS" w:hAnsi="Arial IS"/>
          <w:b w:val="1"/>
          <w:i w:val="1"/>
        </w:rPr>
        <w:t>Увоз</w:t>
      </w:r>
      <w:r>
        <w:rPr>
          <w:rFonts w:ascii="Arial IS" w:hAnsi="Arial IS"/>
          <w:i w:val="1"/>
        </w:rPr>
        <w:t xml:space="preserve"> </w:t>
      </w:r>
      <w:r>
        <w:t>и</w:t>
      </w:r>
      <w:r>
        <w:rPr>
          <w:rFonts w:ascii="Arial IS" w:hAnsi="Arial IS"/>
          <w:i w:val="1"/>
        </w:rPr>
        <w:t xml:space="preserve"> </w:t>
      </w:r>
      <w:r>
        <w:rPr>
          <w:rFonts w:ascii="Arial IS" w:hAnsi="Arial IS"/>
          <w:b w:val="1"/>
          <w:i w:val="1"/>
        </w:rPr>
        <w:t>извоз</w:t>
      </w:r>
      <w:r>
        <w:rPr>
          <w:rFonts w:ascii="Arial IS" w:hAnsi="Arial IS"/>
          <w:i w:val="1"/>
        </w:rPr>
        <w:t xml:space="preserve"> </w:t>
      </w:r>
      <w:r>
        <w:t xml:space="preserve">обухватају количине које су прешле преко националне границе. </w:t>
      </w:r>
    </w:p>
    <w:p>
      <w:pPr>
        <w:pStyle w:val="P7"/>
      </w:pPr>
      <w:r>
        <w:rPr>
          <w:rFonts w:ascii="Arial IS" w:hAnsi="Arial IS"/>
          <w:b w:val="1"/>
          <w:i w:val="1"/>
        </w:rPr>
        <w:t>Салдо залиха</w:t>
      </w:r>
      <w:r>
        <w:t xml:space="preserve"> представља разлику између залиха у првом дану у години (почетне залихе) и залиха у последњем дану у години (крајње залихе). </w:t>
      </w:r>
    </w:p>
    <w:p>
      <w:pPr>
        <w:pStyle w:val="P7"/>
      </w:pPr>
      <w:r>
        <w:rPr>
          <w:rFonts w:ascii="Arial IS" w:hAnsi="Arial IS"/>
          <w:b w:val="1"/>
          <w:i w:val="1"/>
        </w:rPr>
        <w:t>Међународна складишта</w:t>
      </w:r>
      <w:r>
        <w:t xml:space="preserve"> обухватају количине испоручене за потребе међународне бродске пловидбе.</w:t>
      </w:r>
    </w:p>
    <w:p>
      <w:pPr>
        <w:pStyle w:val="P7"/>
      </w:pPr>
      <w:r>
        <w:rPr>
          <w:rFonts w:ascii="Arial IS" w:hAnsi="Arial IS"/>
          <w:b w:val="1"/>
          <w:i w:val="1"/>
        </w:rPr>
        <w:t>Укупно расположива енергија</w:t>
      </w:r>
      <w:r>
        <w:rPr>
          <w:rFonts w:ascii="Arial IS" w:hAnsi="Arial IS"/>
          <w:i w:val="1"/>
        </w:rPr>
        <w:t xml:space="preserve"> </w:t>
      </w:r>
      <w:r>
        <w:t>израчунава се на следећи начин:</w:t>
      </w:r>
    </w:p>
    <w:p>
      <w:pPr>
        <w:pStyle w:val="P7"/>
      </w:pPr>
      <w:r>
        <w:t xml:space="preserve">Производња примарне енергије </w:t>
      </w:r>
    </w:p>
    <w:p>
      <w:pPr>
        <w:pStyle w:val="P7"/>
      </w:pPr>
      <w:r>
        <w:t xml:space="preserve">+ Увоз  </w:t>
      </w:r>
    </w:p>
    <w:p>
      <w:pPr>
        <w:pStyle w:val="P7"/>
      </w:pPr>
      <w:r>
        <w:t xml:space="preserve">– Извоз </w:t>
      </w:r>
    </w:p>
    <w:p>
      <w:pPr>
        <w:pStyle w:val="P7"/>
      </w:pPr>
      <w:r>
        <w:t xml:space="preserve">+ Салдо залиха  </w:t>
      </w:r>
    </w:p>
    <w:p>
      <w:pPr>
        <w:pStyle w:val="P7"/>
      </w:pPr>
      <w:r>
        <w:t xml:space="preserve">– Међународна складишта </w:t>
      </w:r>
    </w:p>
    <w:p>
      <w:pPr>
        <w:pStyle w:val="P7"/>
      </w:pPr>
      <w:r>
        <w:rPr>
          <w:rFonts w:ascii="Arial IS" w:hAnsi="Arial IS"/>
          <w:b w:val="1"/>
          <w:i w:val="1"/>
        </w:rPr>
        <w:t>Статистичка разлика</w:t>
      </w:r>
      <w:r>
        <w:t xml:space="preserve"> је категорија која укључује збир необјашњених статистичких разлика између производње и потрошње за поједине енергенте</w:t>
      </w:r>
    </w:p>
    <w:p>
      <w:pPr>
        <w:pStyle w:val="P7"/>
      </w:pPr>
      <w:r>
        <w:rPr>
          <w:rFonts w:ascii="Arial IS" w:hAnsi="Arial IS"/>
          <w:b w:val="1"/>
          <w:i w:val="1"/>
        </w:rPr>
        <w:t>Утрошак за производњу енергије</w:t>
      </w:r>
      <w:r>
        <w:rPr>
          <w:b w:val="1"/>
        </w:rPr>
        <w:t xml:space="preserve"> </w:t>
      </w:r>
      <w:r>
        <w:t>јесте утрошак горива као сировине за производњу енергије у</w:t>
      </w:r>
      <w:r>
        <w:rPr>
          <w:b w:val="1"/>
        </w:rPr>
        <w:t xml:space="preserve"> </w:t>
      </w:r>
      <w:r>
        <w:t>термоелектранама, ТЕ-ТО, енерганама, топланама, рафинеријама, високим пећима и преради угља.</w:t>
      </w:r>
    </w:p>
    <w:p>
      <w:pPr>
        <w:pStyle w:val="P7"/>
      </w:pPr>
      <w:r>
        <w:rPr>
          <w:rFonts w:ascii="Arial IS" w:hAnsi="Arial IS"/>
          <w:b w:val="1"/>
          <w:i w:val="1"/>
        </w:rPr>
        <w:t xml:space="preserve">Производња енергије трансформацијом </w:t>
      </w:r>
      <w:r>
        <w:t>обухвата производњу трансформисаних облика енергије (термоелектрична енергија, топлотна енергија, деривати нафте, високопећни гас, дрвени пелети и брикети и дрвени угаљ).</w:t>
      </w:r>
    </w:p>
    <w:p>
      <w:pPr>
        <w:pStyle w:val="P7"/>
      </w:pPr>
      <w:r>
        <w:rPr>
          <w:rFonts w:ascii="Arial IS" w:hAnsi="Arial IS"/>
          <w:b w:val="1"/>
          <w:i w:val="1"/>
        </w:rPr>
        <w:t>Размена</w:t>
      </w:r>
      <w:r>
        <w:rPr>
          <w:b w:val="1"/>
        </w:rPr>
        <w:t xml:space="preserve"> </w:t>
      </w:r>
      <w:r>
        <w:t>обухвата</w:t>
      </w:r>
      <w:r>
        <w:rPr>
          <w:b w:val="1"/>
        </w:rPr>
        <w:t xml:space="preserve"> </w:t>
      </w:r>
      <w:r>
        <w:t>размену међуфазних производа (фракције, дестилати), готових производа (хидроелектрична енергија) и производа који се поново прерађују (примарни бензин, мазут, мазива).</w:t>
      </w:r>
    </w:p>
    <w:p>
      <w:pPr>
        <w:pStyle w:val="P7"/>
      </w:pPr>
      <w:r>
        <w:rPr>
          <w:rFonts w:ascii="Arial IS" w:hAnsi="Arial IS"/>
          <w:b w:val="1"/>
          <w:i w:val="1"/>
        </w:rPr>
        <w:t>Размењени производи</w:t>
      </w:r>
      <w:r>
        <w:t xml:space="preserve"> – производи рафинерије који су прекласификовани као рафинисана основна сировина за наредне процесе производње у рафинерији и не испоручују се финалној потрошњи.</w:t>
      </w:r>
    </w:p>
    <w:p>
      <w:pPr>
        <w:pStyle w:val="P7"/>
      </w:pPr>
      <w:r>
        <w:rPr>
          <w:rFonts w:ascii="Arial IS" w:hAnsi="Arial IS"/>
          <w:b w:val="1"/>
          <w:i w:val="1"/>
        </w:rPr>
        <w:t>Интерна размена производа</w:t>
      </w:r>
      <w:r>
        <w:t xml:space="preserve"> – прекласификација производа због промена у квалитету и спецификацији.</w:t>
      </w:r>
    </w:p>
    <w:p>
      <w:pPr>
        <w:pStyle w:val="P7"/>
      </w:pPr>
      <w:r>
        <w:rPr>
          <w:rFonts w:ascii="Arial IS" w:hAnsi="Arial IS"/>
          <w:b w:val="1"/>
          <w:i w:val="1"/>
        </w:rPr>
        <w:t>Враћено из петрохемије</w:t>
      </w:r>
      <w:r>
        <w:rPr>
          <w:b w:val="1"/>
        </w:rPr>
        <w:t xml:space="preserve"> </w:t>
      </w:r>
      <w:r>
        <w:t>– производи или полупроизводи враћени рафинерији из процеса петрохемијске индустрије.</w:t>
      </w:r>
    </w:p>
    <w:p>
      <w:pPr>
        <w:pStyle w:val="P7"/>
      </w:pPr>
      <w:r>
        <w:rPr>
          <w:rFonts w:ascii="Arial IS" w:hAnsi="Arial IS"/>
          <w:b w:val="1"/>
          <w:i w:val="1"/>
        </w:rPr>
        <w:t>Сопствена потрошња у енергетском</w:t>
      </w:r>
      <w:r>
        <w:rPr>
          <w:rFonts w:ascii="Arial IS" w:hAnsi="Arial IS"/>
          <w:i w:val="1"/>
        </w:rPr>
        <w:t xml:space="preserve"> </w:t>
      </w:r>
      <w:r>
        <w:rPr>
          <w:rFonts w:ascii="Arial IS" w:hAnsi="Arial IS"/>
          <w:b w:val="1"/>
          <w:i w:val="1"/>
        </w:rPr>
        <w:t>сектору</w:t>
      </w:r>
      <w:r>
        <w:t xml:space="preserve"> обухвата енергију утрошену за рад у енергетском сектору.  </w:t>
      </w:r>
    </w:p>
    <w:p>
      <w:pPr>
        <w:pStyle w:val="P7"/>
      </w:pPr>
      <w:r>
        <w:rPr>
          <w:rFonts w:ascii="Arial IS" w:hAnsi="Arial IS"/>
          <w:b w:val="1"/>
          <w:i w:val="1"/>
        </w:rPr>
        <w:t xml:space="preserve">Губици </w:t>
      </w:r>
      <w:r>
        <w:t>обухватају губитке настале:</w:t>
      </w:r>
    </w:p>
    <w:p>
      <w:pPr>
        <w:pStyle w:val="P10"/>
      </w:pPr>
      <w:r>
        <w:t>за електричну енергију: при преносу и дистрибуцији;</w:t>
      </w:r>
    </w:p>
    <w:p>
      <w:pPr>
        <w:pStyle w:val="P10"/>
      </w:pPr>
      <w:r>
        <w:t>за топлотну енергију: при преносу и дистрибуцији;</w:t>
      </w:r>
    </w:p>
    <w:p>
      <w:pPr>
        <w:pStyle w:val="P10"/>
      </w:pPr>
      <w:r>
        <w:t>за чврста горива: при транспорту;</w:t>
      </w:r>
    </w:p>
    <w:p>
      <w:pPr>
        <w:pStyle w:val="P10"/>
      </w:pPr>
      <w:r>
        <w:t>за течна горива: при транспорту и дистрибуцији;</w:t>
      </w:r>
    </w:p>
    <w:p>
      <w:pPr>
        <w:pStyle w:val="P10"/>
      </w:pPr>
      <w:r>
        <w:t xml:space="preserve">за природни гас: при транспорту и дистрибуцији; </w:t>
      </w:r>
    </w:p>
    <w:p>
      <w:pPr>
        <w:pStyle w:val="P10"/>
      </w:pPr>
      <w:r>
        <w:t>за геотермалну енергију: у дистрибутивном систему, и</w:t>
      </w:r>
    </w:p>
    <w:p>
      <w:pPr>
        <w:pStyle w:val="P10"/>
      </w:pPr>
      <w:r>
        <w:t xml:space="preserve">за дрвна горива: при транспорту. </w:t>
      </w:r>
    </w:p>
    <w:p>
      <w:pPr>
        <w:pStyle w:val="P7"/>
      </w:pPr>
      <w:r>
        <w:rPr>
          <w:rFonts w:ascii="Arial IS" w:hAnsi="Arial IS"/>
          <w:b w:val="1"/>
          <w:i w:val="1"/>
        </w:rPr>
        <w:t>Енергија расположива за финалну потрошњу</w:t>
      </w:r>
      <w:r>
        <w:t xml:space="preserve"> представља енергију намењену крајњим потрошачима. </w:t>
      </w:r>
    </w:p>
    <w:p>
      <w:pPr>
        <w:pStyle w:val="P7"/>
      </w:pPr>
      <w:r>
        <w:rPr>
          <w:rFonts w:ascii="Arial IS" w:hAnsi="Arial IS"/>
          <w:b w:val="1"/>
          <w:i w:val="1"/>
        </w:rPr>
        <w:t xml:space="preserve">Финална потрошња </w:t>
      </w:r>
      <w:r>
        <w:t>обухвата потрошњу енергије расположиве за финалну потрошњу у енергетске и неенергетске сврхе.</w:t>
      </w:r>
    </w:p>
    <w:p>
      <w:pPr>
        <w:pStyle w:val="P7"/>
      </w:pPr>
      <w:r>
        <w:rPr>
          <w:rFonts w:ascii="Arial IS" w:hAnsi="Arial IS"/>
          <w:b w:val="1"/>
          <w:i w:val="1"/>
        </w:rPr>
        <w:t>Финална потрошња за неенергетске сврхе</w:t>
      </w:r>
      <w:r>
        <w:t xml:space="preserve"> обухвата финалну потрошњу расположиве енергије као сировине у технолошком процесу за производњу неенергетских производа, при чему се од укупног утрошка посебно приказује утрошак у хемијској индустрији.</w:t>
      </w:r>
    </w:p>
    <w:p>
      <w:pPr>
        <w:pStyle w:val="P7"/>
        <w:ind w:firstLine="0" w:left="0"/>
      </w:pPr>
      <w:r>
        <w:rPr>
          <w:rFonts w:ascii="Arial IS" w:hAnsi="Arial IS"/>
          <w:b w:val="1"/>
          <w:i w:val="1"/>
        </w:rPr>
        <w:t xml:space="preserve">               </w:t>
      </w:r>
      <w:r>
        <w:rPr>
          <w:rFonts w:ascii="Arial IS" w:hAnsi="Arial IS"/>
          <w:b w:val="1"/>
          <w:i w:val="1"/>
        </w:rPr>
        <w:t>Финална потрошња за енергетске сврхе</w:t>
      </w:r>
      <w:r>
        <w:t xml:space="preserve"> oбухвата финалну потрошњу расположиве енергије за енергетске сврхе у:</w:t>
      </w:r>
    </w:p>
    <w:p>
      <w:pPr>
        <w:pStyle w:val="P10"/>
        <w:tabs>
          <w:tab w:val="clear" w:pos="1134" w:leader="none"/>
          <w:tab w:val="left" w:pos="1361" w:leader="none"/>
        </w:tabs>
        <w:ind w:left="1361"/>
      </w:pPr>
      <w:r>
        <w:rPr>
          <w:rFonts w:ascii="Arial IS" w:hAnsi="Arial IS"/>
          <w:b w:val="1"/>
          <w:i w:val="1"/>
        </w:rPr>
        <w:t>индустрији</w:t>
      </w:r>
      <w:r>
        <w:t xml:space="preserve">, </w:t>
      </w:r>
    </w:p>
    <w:p>
      <w:pPr>
        <w:pStyle w:val="P10"/>
        <w:tabs>
          <w:tab w:val="clear" w:pos="1134" w:leader="none"/>
          <w:tab w:val="left" w:pos="1361" w:leader="none"/>
        </w:tabs>
        <w:ind w:left="1361"/>
      </w:pPr>
      <w:r>
        <w:rPr>
          <w:rFonts w:ascii="Arial IS" w:hAnsi="Arial IS"/>
          <w:b w:val="1"/>
          <w:i w:val="1"/>
        </w:rPr>
        <w:t>грађевинарству</w:t>
      </w:r>
      <w:r>
        <w:t xml:space="preserve">, </w:t>
      </w:r>
    </w:p>
    <w:p>
      <w:pPr>
        <w:pStyle w:val="P10"/>
        <w:tabs>
          <w:tab w:val="clear" w:pos="1134" w:leader="none"/>
          <w:tab w:val="left" w:pos="1361" w:leader="none"/>
        </w:tabs>
        <w:ind w:left="1361"/>
      </w:pPr>
      <w:r>
        <w:rPr>
          <w:rFonts w:ascii="Arial IS" w:hAnsi="Arial IS"/>
          <w:b w:val="1"/>
          <w:i w:val="1"/>
        </w:rPr>
        <w:t>саобраћају</w:t>
      </w:r>
      <w:r>
        <w:t xml:space="preserve">, </w:t>
      </w:r>
    </w:p>
    <w:p>
      <w:pPr>
        <w:pStyle w:val="P10"/>
        <w:tabs>
          <w:tab w:val="clear" w:pos="1134" w:leader="none"/>
          <w:tab w:val="left" w:pos="1361" w:leader="none"/>
        </w:tabs>
        <w:ind w:left="1361"/>
        <w:jc w:val="left"/>
      </w:pPr>
      <w:r>
        <w:rPr>
          <w:rFonts w:ascii="Arial IS" w:hAnsi="Arial IS"/>
          <w:b w:val="1"/>
          <w:i w:val="1"/>
        </w:rPr>
        <w:t>домаћинствима</w:t>
      </w:r>
      <w:r>
        <w:rPr>
          <w:b w:val="1"/>
        </w:rPr>
        <w:t xml:space="preserve"> </w:t>
      </w:r>
      <w:r>
        <w:t xml:space="preserve">(сва домаћинства, укључујући и „домаћинства са запосленим лицима“), </w:t>
      </w:r>
    </w:p>
    <w:p>
      <w:pPr>
        <w:pStyle w:val="P10"/>
        <w:tabs>
          <w:tab w:val="clear" w:pos="1134" w:leader="none"/>
          <w:tab w:val="left" w:pos="1361" w:leader="none"/>
        </w:tabs>
        <w:ind w:left="1361"/>
        <w:jc w:val="left"/>
      </w:pPr>
      <w:r>
        <w:rPr>
          <w:rFonts w:ascii="Arial IS" w:hAnsi="Arial IS"/>
          <w:b w:val="1"/>
          <w:i w:val="1"/>
        </w:rPr>
        <w:t>пољопривреди</w:t>
      </w:r>
      <w:r>
        <w:t xml:space="preserve"> и код </w:t>
      </w:r>
    </w:p>
    <w:p>
      <w:pPr>
        <w:pStyle w:val="P10"/>
        <w:tabs>
          <w:tab w:val="clear" w:pos="1134" w:leader="none"/>
          <w:tab w:val="left" w:pos="1361" w:leader="none"/>
        </w:tabs>
        <w:ind w:left="1361"/>
        <w:jc w:val="left"/>
        <w:rPr>
          <w:rFonts w:ascii="Arial Narrow" w:hAnsi="Arial Narrow"/>
        </w:rPr>
      </w:pPr>
      <w:r>
        <w:rPr>
          <w:rFonts w:ascii="Arial IS" w:hAnsi="Arial IS"/>
          <w:b w:val="1"/>
          <w:i w:val="1"/>
        </w:rPr>
        <w:t xml:space="preserve">осталих потрошача </w:t>
      </w:r>
      <w:r>
        <w:t>(сви остали потрошачи, нпр. школство, здравство, администрација итд.).</w:t>
      </w:r>
    </w:p>
    <w:p>
      <w:pPr>
        <w:pStyle w:val="P7"/>
        <w:rPr>
          <w:b w:val="1"/>
        </w:rPr>
      </w:pPr>
      <w:r>
        <w:rPr>
          <w:b w:val="1"/>
        </w:rPr>
        <w:t xml:space="preserve">Специфичности енергетског биланса топлотне енергије:                     </w:t>
      </w:r>
    </w:p>
    <w:p>
      <w:pPr>
        <w:pStyle w:val="P7"/>
      </w:pPr>
      <w:r>
        <w:t>Већина произвођача топлотне енергије, услед тога што не поседују уређаје за мерење произведене и предате топлотне енергије, уложили су напор и извршили стручну процену тражених података у нашим упитницима.</w:t>
      </w:r>
    </w:p>
    <w:p>
      <w:pPr>
        <w:pStyle w:val="P7"/>
      </w:pPr>
      <w:r>
        <w:t>Обухваћене су оне енергане које произведену топлоту не троше само за себе, већ и део те произведене количине дају другима.</w:t>
        <w:tab/>
      </w:r>
    </w:p>
    <w:p>
      <w:pPr>
        <w:pStyle w:val="P17"/>
      </w:pPr>
      <w:r>
        <w:t xml:space="preserve">Ниво репрезентативности података </w:t>
        <w:br w:type="textWrapping"/>
      </w:r>
      <w:r>
        <w:rPr>
          <w:sz w:val="20"/>
        </w:rPr>
        <w:t>(</w:t>
      </w:r>
      <w:r>
        <w:rPr>
          <w:rFonts w:ascii="Arial IS" w:hAnsi="Arial IS"/>
          <w:i w:val="1"/>
          <w:sz w:val="20"/>
        </w:rPr>
        <w:t>територијални и Класификација делатности КД (2010)</w:t>
      </w:r>
      <w:r>
        <w:rPr>
          <w:sz w:val="20"/>
        </w:rPr>
        <w:t>)</w:t>
      </w:r>
    </w:p>
    <w:p>
      <w:pPr>
        <w:pStyle w:val="P7"/>
      </w:pPr>
      <w:r>
        <w:t>Подаци су репрезентативни за територију Републике Србије. 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 (укупно).</w:t>
      </w:r>
    </w:p>
    <w:p>
      <w:pPr>
        <w:pStyle w:val="P17"/>
      </w:pPr>
      <w:r>
        <w:t>Усаглашеност са међународним препорукама, стандардима и праксом</w:t>
      </w:r>
    </w:p>
    <w:p>
      <w:pPr>
        <w:pStyle w:val="P7"/>
      </w:pPr>
      <w:r>
        <w:t>Годишњи енергетски биланс за топлотну енергију је у потпуној сагласности са препорукама Евростата и Међународне агенције за енергију.</w:t>
      </w:r>
    </w:p>
    <w:p>
      <w:pPr>
        <w:pStyle w:val="P16"/>
      </w:pPr>
      <w:r>
        <w:t>ОПИС ОРГАНИЗАЦИЈЕ ИСТРАЖИВАЊА</w:t>
      </w:r>
    </w:p>
    <w:p>
      <w:pPr>
        <w:pStyle w:val="P17"/>
      </w:pPr>
      <w:r>
        <w:t xml:space="preserve">Органи за спровођење истраживања </w:t>
      </w:r>
      <w:r>
        <w:rPr>
          <w:rFonts w:ascii="Arial IS" w:hAnsi="Arial IS"/>
          <w:i w:val="1"/>
          <w:sz w:val="20"/>
        </w:rPr>
        <w:t>(одговорни произвођач званичне статистике)</w:t>
      </w:r>
    </w:p>
    <w:p>
      <w:pPr>
        <w:pStyle w:val="P10"/>
        <w:jc w:val="left"/>
      </w:pPr>
      <w:r>
        <w:t>Републички завод за статистику: Група за енергетику у Београду, Одељење за статистичке послове у Сектору за статистику АП Војводине и подручна одељења у: Суботици, Зрењанину, Новом Саду, Сремској Митровици, Панчеву, Смедереву, Шапцу, Ваљеву, Краљеву, Крагујевцу, Зајечару, Нишу, Лесковцу и Ужицу</w:t>
      </w:r>
    </w:p>
    <w:p>
      <w:pPr>
        <w:pStyle w:val="P10"/>
        <w:jc w:val="left"/>
      </w:pPr>
      <w:r>
        <w:t>Градска управа града Београда, Секретаријат за управу, Сектор за статистику</w:t>
      </w:r>
    </w:p>
    <w:p>
      <w:pPr>
        <w:pStyle w:val="P17"/>
      </w:pPr>
      <w:r>
        <w:t xml:space="preserve">Обавезност давања података  </w:t>
      </w:r>
    </w:p>
    <w:p>
      <w:pPr>
        <w:pStyle w:val="P7"/>
      </w:pPr>
      <w:r>
        <w:t xml:space="preserve">Обавеза давања података темељи се на члану 26, а казнене одредбе за одбијање давања података или давање непотпуних и нетачних података на члану 52. Закона о званичној статистици („Сл. гласник РС“, бр. 104/2009). </w:t>
      </w:r>
    </w:p>
    <w:p>
      <w:pPr>
        <w:pStyle w:val="P17"/>
        <w:rPr>
          <w:sz w:val="20"/>
        </w:rPr>
      </w:pPr>
      <w:r>
        <w:t xml:space="preserve">Роковник основних фаза спровођења истраживања </w:t>
        <w:br w:type="textWrapping"/>
      </w:r>
      <w:r>
        <w:rPr>
          <w:sz w:val="20"/>
        </w:rPr>
        <w:t>(</w:t>
      </w:r>
      <w:r>
        <w:rPr>
          <w:rFonts w:ascii="Arial IS" w:hAnsi="Arial IS"/>
          <w:i w:val="1"/>
          <w:sz w:val="20"/>
        </w:rPr>
        <w:t>укључујући публиковање података</w:t>
      </w:r>
      <w:r>
        <w:rPr>
          <w:sz w:val="20"/>
        </w:rPr>
        <w:t>)</w:t>
      </w:r>
    </w:p>
    <w:p>
      <w:pPr>
        <w:pStyle w:val="P10"/>
      </w:pPr>
      <w:r>
        <w:t>Рок да извештајна јединица достави попуњен упитник надлежном статистичком органу је 15.03.</w:t>
      </w:r>
    </w:p>
    <w:p>
      <w:pPr>
        <w:pStyle w:val="P10"/>
      </w:pPr>
      <w:r>
        <w:t>Рок да Републички завод за статистику објави податке за претходну годину дефинисан је Уредбом о утврђивању Плана званичне статистике.</w:t>
      </w:r>
    </w:p>
    <w:p>
      <w:pPr>
        <w:pStyle w:val="P16"/>
      </w:pPr>
      <w:r>
        <w:br w:type="page"/>
        <w:t xml:space="preserve">ИНСТРУМЕНТИ ИСТРАЖИВАЊА </w:t>
      </w:r>
    </w:p>
    <w:p>
      <w:pPr>
        <w:pStyle w:val="P17"/>
        <w:rPr>
          <w:sz w:val="20"/>
        </w:rPr>
      </w:pPr>
      <w:r>
        <w:t>Списак номенклатура и класификација које се користе у истраживању</w:t>
        <w:br w:type="textWrapping"/>
      </w:r>
      <w:r>
        <w:rPr>
          <w:sz w:val="20"/>
        </w:rPr>
        <w:t>(</w:t>
      </w:r>
      <w:r>
        <w:rPr>
          <w:rFonts w:ascii="Arial IS" w:hAnsi="Arial IS"/>
          <w:i w:val="1"/>
          <w:sz w:val="20"/>
        </w:rPr>
        <w:t>са обавештењем где се могу пронаћи</w:t>
      </w:r>
      <w:r>
        <w:rPr>
          <w:sz w:val="20"/>
        </w:rPr>
        <w:t>)</w:t>
      </w:r>
    </w:p>
    <w:p>
      <w:pPr>
        <w:pStyle w:val="P10"/>
        <w:jc w:val="left"/>
      </w:pPr>
      <w:r>
        <w:t xml:space="preserve">Класификација делатности КД (2010) прописана Уредбом Владе Републике Србије од 29. јула 2010. године („Службени гласник РС“, бр.54/10) на основу Закона о класификацији делатности  „Службени гласник РС“, бр. 104/09). Доступно и на сајту Републичког завода за статистику </w:t>
      </w:r>
    </w:p>
    <w:p>
      <w:pPr>
        <w:pStyle w:val="P10"/>
        <w:numPr>
          <w:ilvl w:val="0"/>
          <w:numId w:val="0"/>
        </w:numPr>
        <w:ind w:left="1134"/>
        <w:jc w:val="left"/>
      </w:pPr>
      <w:r>
        <w:fldChar w:fldCharType="begin"/>
      </w:r>
      <w:r>
        <w:instrText xml:space="preserve"> HYPERLINK "http://www.stat.gov.rs/media/2269/zakon_o_klasifikaciji_delatnosti.pdf" </w:instrText>
      </w:r>
      <w:r>
        <w:fldChar w:fldCharType="separate"/>
      </w:r>
      <w:r>
        <w:rPr>
          <w:rStyle w:val="C2"/>
        </w:rPr>
        <w:t>http://www.stat.gov.rs/media/2269/zakon_o_klasifikaciji_delatnosti.pdf</w:t>
      </w:r>
      <w:r>
        <w:rPr>
          <w:rStyle w:val="C2"/>
        </w:rPr>
        <w:fldChar w:fldCharType="end"/>
      </w:r>
      <w:r>
        <w:t xml:space="preserve"> .)</w:t>
      </w:r>
    </w:p>
    <w:p>
      <w:pPr>
        <w:pStyle w:val="P10"/>
        <w:numPr>
          <w:ilvl w:val="0"/>
          <w:numId w:val="48"/>
        </w:numPr>
      </w:pPr>
      <w:r>
        <w:t>Commission Regulation (EC) No 1099/2008 и сви њени амандмани (доступно у Групи за статистику енергетике Републичког заводa за статистику);</w:t>
      </w:r>
    </w:p>
    <w:p>
      <w:pPr>
        <w:pStyle w:val="P10"/>
        <w:numPr>
          <w:ilvl w:val="0"/>
          <w:numId w:val="48"/>
        </w:numPr>
      </w:pPr>
      <w:r>
        <w:t>Energy Statistics Manual, публикација Међународне агенције за енергију (доступно у Групи за енергетику Републичког заводa за статистику)</w:t>
      </w:r>
    </w:p>
    <w:p>
      <w:pPr>
        <w:pStyle w:val="P17"/>
        <w:rPr>
          <w:sz w:val="22"/>
        </w:rPr>
      </w:pPr>
      <w:r>
        <w:t xml:space="preserve">Списак публикација у којима се објављују методологија и резултати истраживања </w:t>
      </w:r>
      <w:r>
        <w:rPr>
          <w:rFonts w:ascii="Arial IS" w:hAnsi="Arial IS"/>
          <w:i w:val="1"/>
          <w:sz w:val="20"/>
        </w:rPr>
        <w:t>(у штампаном облику и/или у оквиру интернет презентације)</w:t>
      </w:r>
    </w:p>
    <w:p>
      <w:pPr>
        <w:pStyle w:val="P7"/>
      </w:pPr>
      <w:r>
        <w:t xml:space="preserve">Билтен  „Енергетски биланси“</w:t>
      </w:r>
    </w:p>
    <w:p>
      <w:pPr>
        <w:pStyle w:val="P7"/>
      </w:pPr>
      <w:r>
        <w:t xml:space="preserve">(Публикација је доступна на сајту Републичког завода за статистику </w:t>
      </w:r>
      <w:r>
        <w:fldChar w:fldCharType="begin"/>
      </w:r>
      <w:r>
        <w:instrText xml:space="preserve"> HYPERLINK "http://www.stat.gov.rs/sr-cyrl/oblasti/energetika/" </w:instrText>
      </w:r>
      <w:r>
        <w:fldChar w:fldCharType="separate"/>
      </w:r>
      <w:r>
        <w:rPr>
          <w:rStyle w:val="C2"/>
        </w:rPr>
        <w:t>http://www.stat.gov.rs/sr-cyrl/oblasti/energetika/</w:t>
      </w:r>
      <w:r>
        <w:rPr>
          <w:rStyle w:val="C2"/>
        </w:rPr>
        <w:fldChar w:fldCharType="end"/>
      </w:r>
      <w:r>
        <w:t xml:space="preserve"> </w:t>
      </w:r>
    </w:p>
    <w:p>
      <w:pPr>
        <w:pStyle w:val="P7"/>
      </w:pPr>
    </w:p>
    <w:p>
      <w:pPr>
        <w:pStyle w:val="P7"/>
      </w:pPr>
    </w:p>
    <w:p>
      <w:pPr>
        <w:pStyle w:val="P7"/>
      </w:pPr>
    </w:p>
    <w:p>
      <w:pPr>
        <w:pStyle w:val="P7"/>
      </w:pPr>
    </w:p>
    <w:p>
      <w:pPr>
        <w:pStyle w:val="P7"/>
      </w:pPr>
      <w:r>
        <w:t>Контакт особe – Весна Ђурић, локал 324</w:t>
      </w:r>
    </w:p>
    <w:p>
      <w:pPr>
        <w:pStyle w:val="P7"/>
      </w:pPr>
      <w:r>
        <w:tab/>
        <w:tab/>
        <w:t xml:space="preserve">    Сања Радоњић, локал 238</w:t>
      </w:r>
    </w:p>
    <w:p>
      <w:pPr>
        <w:pStyle w:val="P18"/>
        <w:numPr>
          <w:ilvl w:val="0"/>
          <w:numId w:val="0"/>
        </w:numPr>
        <w:ind w:left="907"/>
      </w:pPr>
    </w:p>
    <w:p/>
    <w:p/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1909" w:h="16834" w:code="0"/>
      <w:pgMar w:left="1134" w:right="1134" w:top="1134" w:bottom="1134" w:header="720" w:footer="720" w:gutter="0"/>
      <w:pgNumType w:start="1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6"/>
      <w:pBdr>
        <w:top w:val="single" w:sz="4" w:space="0" w:shadow="0" w:frame="0"/>
      </w:pBdr>
      <w:tabs>
        <w:tab w:val="clear" w:pos="8640" w:leader="none"/>
        <w:tab w:val="right" w:pos="9633" w:leader="none"/>
      </w:tabs>
      <w:rPr>
        <w:sz w:val="16"/>
      </w:rPr>
    </w:pPr>
    <w:r>
      <w:fldChar w:fldCharType="begin"/>
    </w:r>
    <w:r>
      <w:rPr>
        <w:sz w:val="16"/>
      </w:rPr>
      <w:instrText xml:space="preserve"> styleref "Naslov1" </w:instrText>
    </w:r>
    <w:r>
      <w:rPr>
        <w:sz w:val="16"/>
      </w:rPr>
      <w:fldChar w:fldCharType="separate"/>
    </w:r>
    <w:r>
      <w:rPr>
        <w:sz w:val="16"/>
      </w:rPr>
      <w:t>ГОДИШЊИ ЕНЕРГЕТСКИ БИЛАНС ЗА ТОПЛОТНУ ЕНЕРГИЈУ</w:t>
    </w:r>
    <w:r>
      <w:rPr>
        <w:sz w:val="16"/>
      </w:rPr>
      <w:fldChar w:fldCharType="end"/>
    </w: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>
      <w:rPr>
        <w:sz w:val="16"/>
      </w:rPr>
      <w:t>#</w:t>
    </w:r>
    <w:r>
      <w:rPr>
        <w:sz w:val="16"/>
      </w:rPr>
      <w:fldChar w:fldCharType="end"/>
    </w:r>
  </w:p>
  <w:p>
    <w:pPr>
      <w:pStyle w:val="P6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6"/>
      <w:framePr w:wrap="around" w:vAnchor="text" w:hAnchor="margin" w:x="-4" w:y="1"/>
    </w:pPr>
    <w:r>
      <w:fldChar w:fldCharType="begin"/>
    </w:r>
    <w:r>
      <w:instrText xml:space="preserve">PAGE  </w:instrText>
    </w:r>
    <w:r>
      <w:fldChar w:fldCharType="separate"/>
    </w:r>
    <w:r>
      <w:t>#</w:t>
    </w:r>
    <w:r>
      <w:fldChar w:fldCharType="end"/>
    </w:r>
  </w:p>
  <w:p>
    <w:pPr>
      <w:pStyle w:val="P6"/>
    </w:pPr>
  </w:p>
</w:ftr>
</file>

<file path=word/numbering.xml><?xml version="1.0" encoding="utf-8"?>
<w:numbering xmlns:w="http://schemas.openxmlformats.org/wordprocessingml/2006/main">
  <w:abstractNum w:abstractNumId="0">
    <w:nsid w:val="01426F6D"/>
    <w:multiLevelType w:val="hybridMultilevel"/>
    <w:lvl w:ilvl="0" w:tplc="09FB3749">
      <w:start w:val="1"/>
      <w:numFmt w:val="bullet"/>
      <w:suff w:val="tab"/>
      <w:lvlText w:val=""/>
      <w:lvlJc w:val="left"/>
      <w:pPr>
        <w:ind w:hanging="227" w:left="1134"/>
        <w:tabs>
          <w:tab w:val="left" w:pos="1134" w:leader="none"/>
        </w:tabs>
      </w:pPr>
      <w:rPr>
        <w:rFonts w:ascii="Symbol" w:hAnsi="Symbol"/>
      </w:rPr>
    </w:lvl>
    <w:lvl w:ilvl="1" w:tplc="3F72F6BE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DA927F4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0C5EFF1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ABA4D36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F7C5043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2DC6422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B480777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2C1947D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nsid w:val="044B5D65"/>
    <w:multiLevelType w:val="multilevel"/>
    <w:lvl w:ilvl="0">
      <w:start w:val="1"/>
      <w:numFmt w:val="decimal"/>
      <w:suff w:val="tab"/>
      <w:lvlText w:val="%1."/>
      <w:lvlJc w:val="left"/>
      <w:pPr>
        <w:ind w:hanging="340" w:left="1134"/>
        <w:tabs>
          <w:tab w:val="left" w:pos="794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2">
    <w:nsid w:val="047242A3"/>
    <w:multiLevelType w:val="multilevel"/>
    <w:lvl w:ilvl="0">
      <w:start w:val="1"/>
      <w:numFmt w:val="decimal"/>
      <w:suff w:val="tab"/>
      <w:lvlText w:val="%1."/>
      <w:lvlJc w:val="left"/>
      <w:pPr>
        <w:ind w:firstLine="0" w:left="567"/>
        <w:tabs>
          <w:tab w:val="left" w:pos="567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3">
    <w:nsid w:val="066D3FAB"/>
    <w:multiLevelType w:val="multilevel"/>
    <w:lvl w:ilvl="0">
      <w:start w:val="1"/>
      <w:numFmt w:val="decimal"/>
      <w:suff w:val="tab"/>
      <w:lvlText w:val="%1."/>
      <w:lvlJc w:val="left"/>
      <w:pPr>
        <w:ind w:hanging="341" w:left="1021"/>
        <w:tabs>
          <w:tab w:val="left" w:pos="567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4">
    <w:nsid w:val="089B4CFB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color w:val="auto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5">
    <w:nsid w:val="08DB78F4"/>
    <w:multiLevelType w:val="hybridMultilevel"/>
    <w:lvl w:ilvl="0" w:tplc="123BC9B2">
      <w:start w:val="1"/>
      <w:numFmt w:val="bullet"/>
      <w:suff w:val="tab"/>
      <w:lvlText w:val=""/>
      <w:lvlJc w:val="left"/>
      <w:pPr>
        <w:ind w:hanging="227" w:left="1134"/>
        <w:tabs>
          <w:tab w:val="left" w:pos="1134" w:leader="none"/>
        </w:tabs>
      </w:pPr>
      <w:rPr>
        <w:rFonts w:ascii="Symbol" w:hAnsi="Symbol"/>
      </w:rPr>
    </w:lvl>
    <w:lvl w:ilvl="1" w:tplc="70A84F49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5411E008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FAA9516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C9647DF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768264C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E649D3D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19600CC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82CDB30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6">
    <w:nsid w:val="096A47D6"/>
    <w:multiLevelType w:val="hybridMultilevel"/>
    <w:lvl w:ilvl="0" w:tplc="45A48053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21E908AE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7B167AA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F9D583E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378E449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27A0073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D897519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F203613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D116CB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7">
    <w:nsid w:val="0B892DA7"/>
    <w:multiLevelType w:val="hybridMultilevel"/>
    <w:lvl w:ilvl="0" w:tplc="432BE2EE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71E7427F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DAEC1E0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35B0755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4411414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454FAC4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F1CD9CD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76F2572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E30BBB3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8">
    <w:nsid w:val="0C6647D2"/>
    <w:multiLevelType w:val="multilevel"/>
    <w:lvl w:ilvl="0">
      <w:start w:val="1"/>
      <w:numFmt w:val="decimal"/>
      <w:suff w:val="tab"/>
      <w:lvlText w:val="%1."/>
      <w:lvlJc w:val="left"/>
      <w:pPr>
        <w:ind w:hanging="284" w:left="1191"/>
        <w:tabs>
          <w:tab w:val="left" w:pos="851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9">
    <w:nsid w:val="165D2089"/>
    <w:multiLevelType w:val="hybridMultilevel"/>
    <w:lvl w:ilvl="0" w:tplc="4AD560EA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521EA878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A55058C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485B532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AFF2343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78790BEA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70A8B39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65726FC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A9A2331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0">
    <w:nsid w:val="1B18312C"/>
    <w:multiLevelType w:val="hybridMultilevel"/>
    <w:lvl w:ilvl="0" w:tplc="5CB7A5CB">
      <w:start w:val="1"/>
      <w:numFmt w:val="bullet"/>
      <w:suff w:val="tab"/>
      <w:lvlText w:val=""/>
      <w:lvlJc w:val="left"/>
      <w:pPr>
        <w:ind w:hanging="360" w:left="1224"/>
        <w:tabs>
          <w:tab w:val="left" w:pos="1224" w:leader="none"/>
        </w:tabs>
      </w:pPr>
      <w:rPr>
        <w:rFonts w:ascii="Symbol" w:hAnsi="Symbol"/>
      </w:rPr>
    </w:lvl>
    <w:lvl w:ilvl="1" w:tplc="0522B489">
      <w:start w:val="1"/>
      <w:numFmt w:val="bullet"/>
      <w:suff w:val="tab"/>
      <w:lvlText w:val="o"/>
      <w:lvlJc w:val="left"/>
      <w:pPr>
        <w:ind w:hanging="360" w:left="1980"/>
        <w:tabs>
          <w:tab w:val="left" w:pos="1980" w:leader="none"/>
        </w:tabs>
      </w:pPr>
      <w:rPr>
        <w:rFonts w:ascii="Courier New" w:hAnsi="Courier New"/>
      </w:rPr>
    </w:lvl>
    <w:lvl w:ilvl="2" w:tplc="4268BF4C">
      <w:start w:val="1"/>
      <w:numFmt w:val="bullet"/>
      <w:suff w:val="tab"/>
      <w:lvlText w:val=""/>
      <w:lvlJc w:val="left"/>
      <w:pPr>
        <w:ind w:hanging="360" w:left="2700"/>
        <w:tabs>
          <w:tab w:val="left" w:pos="2700" w:leader="none"/>
        </w:tabs>
      </w:pPr>
      <w:rPr>
        <w:rFonts w:ascii="Wingdings" w:hAnsi="Wingdings"/>
      </w:rPr>
    </w:lvl>
    <w:lvl w:ilvl="3" w:tplc="01A46057">
      <w:start w:val="1"/>
      <w:numFmt w:val="bullet"/>
      <w:suff w:val="tab"/>
      <w:lvlText w:val=""/>
      <w:lvlJc w:val="left"/>
      <w:pPr>
        <w:ind w:hanging="360" w:left="3420"/>
        <w:tabs>
          <w:tab w:val="left" w:pos="3420" w:leader="none"/>
        </w:tabs>
      </w:pPr>
      <w:rPr>
        <w:rFonts w:ascii="Symbol" w:hAnsi="Symbol"/>
      </w:rPr>
    </w:lvl>
    <w:lvl w:ilvl="4" w:tplc="398F0AE9">
      <w:start w:val="1"/>
      <w:numFmt w:val="bullet"/>
      <w:suff w:val="tab"/>
      <w:lvlText w:val="o"/>
      <w:lvlJc w:val="left"/>
      <w:pPr>
        <w:ind w:hanging="360" w:left="4140"/>
        <w:tabs>
          <w:tab w:val="left" w:pos="4140" w:leader="none"/>
        </w:tabs>
      </w:pPr>
      <w:rPr>
        <w:rFonts w:ascii="Courier New" w:hAnsi="Courier New"/>
      </w:rPr>
    </w:lvl>
    <w:lvl w:ilvl="5" w:tplc="0523B085">
      <w:start w:val="1"/>
      <w:numFmt w:val="bullet"/>
      <w:suff w:val="tab"/>
      <w:lvlText w:val=""/>
      <w:lvlJc w:val="left"/>
      <w:pPr>
        <w:ind w:hanging="360" w:left="4860"/>
        <w:tabs>
          <w:tab w:val="left" w:pos="4860" w:leader="none"/>
        </w:tabs>
      </w:pPr>
      <w:rPr>
        <w:rFonts w:ascii="Wingdings" w:hAnsi="Wingdings"/>
      </w:rPr>
    </w:lvl>
    <w:lvl w:ilvl="6" w:tplc="5CFEC6B1">
      <w:start w:val="1"/>
      <w:numFmt w:val="bullet"/>
      <w:suff w:val="tab"/>
      <w:lvlText w:val=""/>
      <w:lvlJc w:val="left"/>
      <w:pPr>
        <w:ind w:hanging="360" w:left="5580"/>
        <w:tabs>
          <w:tab w:val="left" w:pos="5580" w:leader="none"/>
        </w:tabs>
      </w:pPr>
      <w:rPr>
        <w:rFonts w:ascii="Symbol" w:hAnsi="Symbol"/>
      </w:rPr>
    </w:lvl>
    <w:lvl w:ilvl="7" w:tplc="1172BEFE">
      <w:start w:val="1"/>
      <w:numFmt w:val="bullet"/>
      <w:suff w:val="tab"/>
      <w:lvlText w:val="o"/>
      <w:lvlJc w:val="left"/>
      <w:pPr>
        <w:ind w:hanging="360" w:left="6300"/>
        <w:tabs>
          <w:tab w:val="left" w:pos="6300" w:leader="none"/>
        </w:tabs>
      </w:pPr>
      <w:rPr>
        <w:rFonts w:ascii="Courier New" w:hAnsi="Courier New"/>
      </w:rPr>
    </w:lvl>
    <w:lvl w:ilvl="8" w:tplc="056CC979">
      <w:start w:val="1"/>
      <w:numFmt w:val="bullet"/>
      <w:suff w:val="tab"/>
      <w:lvlText w:val=""/>
      <w:lvlJc w:val="left"/>
      <w:pPr>
        <w:ind w:hanging="360" w:left="7020"/>
        <w:tabs>
          <w:tab w:val="left" w:pos="7020" w:leader="none"/>
        </w:tabs>
      </w:pPr>
      <w:rPr>
        <w:rFonts w:ascii="Wingdings" w:hAnsi="Wingdings"/>
      </w:rPr>
    </w:lvl>
  </w:abstractNum>
  <w:abstractNum w:abstractNumId="11">
    <w:nsid w:val="1CD37C8D"/>
    <w:multiLevelType w:val="multilevel"/>
    <w:lvl w:ilvl="0">
      <w:start w:val="1"/>
      <w:numFmt w:val="decimal"/>
      <w:suff w:val="tab"/>
      <w:lvlText w:val="%1."/>
      <w:lvlJc w:val="left"/>
      <w:pPr>
        <w:ind w:hanging="284" w:left="1191"/>
        <w:tabs>
          <w:tab w:val="left" w:pos="851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12">
    <w:nsid w:val="1FEE2E32"/>
    <w:multiLevelType w:val="multilevel"/>
    <w:lvl w:ilvl="0">
      <w:start w:val="1"/>
      <w:numFmt w:val="decimal"/>
      <w:suff w:val="tab"/>
      <w:lvlText w:val="%1."/>
      <w:lvlJc w:val="left"/>
      <w:pPr>
        <w:ind w:hanging="284" w:left="1191"/>
        <w:tabs>
          <w:tab w:val="left" w:pos="851" w:leader="none"/>
        </w:tabs>
      </w:pPr>
      <w:rPr>
        <w:strike w:val="0"/>
      </w:rPr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13">
    <w:nsid w:val="223C1B17"/>
    <w:multiLevelType w:val="hybridMultilevel"/>
    <w:lvl w:ilvl="0" w:tplc="47F4E832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2A5DDF09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BFA1375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B2F2780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33C7BD7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B9A1822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26AE48A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FB08132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960C4F7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4">
    <w:nsid w:val="2E756E70"/>
    <w:multiLevelType w:val="hybridMultilevel"/>
    <w:lvl w:ilvl="0" w:tplc="2512D39C">
      <w:start w:val="1"/>
      <w:numFmt w:val="bullet"/>
      <w:suff w:val="tab"/>
      <w:lvlText w:val=""/>
      <w:lvlJc w:val="left"/>
      <w:pPr>
        <w:ind w:hanging="360" w:left="780"/>
        <w:tabs>
          <w:tab w:val="left" w:pos="780" w:leader="none"/>
        </w:tabs>
      </w:pPr>
      <w:rPr>
        <w:rFonts w:ascii="Symbol" w:hAnsi="Symbol"/>
      </w:rPr>
    </w:lvl>
    <w:lvl w:ilvl="1" w:tplc="4EE0C25C">
      <w:start w:val="1"/>
      <w:numFmt w:val="bullet"/>
      <w:suff w:val="tab"/>
      <w:lvlText w:val="o"/>
      <w:lvlJc w:val="left"/>
      <w:pPr>
        <w:ind w:hanging="360" w:left="1500"/>
        <w:tabs>
          <w:tab w:val="left" w:pos="1500" w:leader="none"/>
        </w:tabs>
      </w:pPr>
      <w:rPr>
        <w:rFonts w:ascii="Courier New" w:hAnsi="Courier New"/>
      </w:rPr>
    </w:lvl>
    <w:lvl w:ilvl="2" w:tplc="5C673C35">
      <w:start w:val="1"/>
      <w:numFmt w:val="bullet"/>
      <w:suff w:val="tab"/>
      <w:lvlText w:val=""/>
      <w:lvlJc w:val="left"/>
      <w:pPr>
        <w:ind w:hanging="360" w:left="2220"/>
        <w:tabs>
          <w:tab w:val="left" w:pos="2220" w:leader="none"/>
        </w:tabs>
      </w:pPr>
      <w:rPr>
        <w:rFonts w:ascii="Wingdings" w:hAnsi="Wingdings"/>
      </w:rPr>
    </w:lvl>
    <w:lvl w:ilvl="3" w:tplc="3FBCE644">
      <w:start w:val="1"/>
      <w:numFmt w:val="bullet"/>
      <w:suff w:val="tab"/>
      <w:lvlText w:val=""/>
      <w:lvlJc w:val="left"/>
      <w:pPr>
        <w:ind w:hanging="360" w:left="2940"/>
        <w:tabs>
          <w:tab w:val="left" w:pos="2940" w:leader="none"/>
        </w:tabs>
      </w:pPr>
      <w:rPr>
        <w:rFonts w:ascii="Symbol" w:hAnsi="Symbol"/>
      </w:rPr>
    </w:lvl>
    <w:lvl w:ilvl="4" w:tplc="308DBC48">
      <w:start w:val="1"/>
      <w:numFmt w:val="bullet"/>
      <w:suff w:val="tab"/>
      <w:lvlText w:val="o"/>
      <w:lvlJc w:val="left"/>
      <w:pPr>
        <w:ind w:hanging="360" w:left="3660"/>
        <w:tabs>
          <w:tab w:val="left" w:pos="3660" w:leader="none"/>
        </w:tabs>
      </w:pPr>
      <w:rPr>
        <w:rFonts w:ascii="Courier New" w:hAnsi="Courier New"/>
      </w:rPr>
    </w:lvl>
    <w:lvl w:ilvl="5" w:tplc="4527236D">
      <w:start w:val="1"/>
      <w:numFmt w:val="bullet"/>
      <w:suff w:val="tab"/>
      <w:lvlText w:val=""/>
      <w:lvlJc w:val="left"/>
      <w:pPr>
        <w:ind w:hanging="360" w:left="4380"/>
        <w:tabs>
          <w:tab w:val="left" w:pos="4380" w:leader="none"/>
        </w:tabs>
      </w:pPr>
      <w:rPr>
        <w:rFonts w:ascii="Wingdings" w:hAnsi="Wingdings"/>
      </w:rPr>
    </w:lvl>
    <w:lvl w:ilvl="6" w:tplc="29376A97">
      <w:start w:val="1"/>
      <w:numFmt w:val="bullet"/>
      <w:suff w:val="tab"/>
      <w:lvlText w:val=""/>
      <w:lvlJc w:val="left"/>
      <w:pPr>
        <w:ind w:hanging="360" w:left="5100"/>
        <w:tabs>
          <w:tab w:val="left" w:pos="5100" w:leader="none"/>
        </w:tabs>
      </w:pPr>
      <w:rPr>
        <w:rFonts w:ascii="Symbol" w:hAnsi="Symbol"/>
      </w:rPr>
    </w:lvl>
    <w:lvl w:ilvl="7" w:tplc="538F3C51">
      <w:start w:val="1"/>
      <w:numFmt w:val="bullet"/>
      <w:suff w:val="tab"/>
      <w:lvlText w:val="o"/>
      <w:lvlJc w:val="left"/>
      <w:pPr>
        <w:ind w:hanging="360" w:left="5820"/>
        <w:tabs>
          <w:tab w:val="left" w:pos="5820" w:leader="none"/>
        </w:tabs>
      </w:pPr>
      <w:rPr>
        <w:rFonts w:ascii="Courier New" w:hAnsi="Courier New"/>
      </w:rPr>
    </w:lvl>
    <w:lvl w:ilvl="8" w:tplc="0F775954">
      <w:start w:val="1"/>
      <w:numFmt w:val="bullet"/>
      <w:suff w:val="tab"/>
      <w:lvlText w:val=""/>
      <w:lvlJc w:val="left"/>
      <w:pPr>
        <w:ind w:hanging="360" w:left="6540"/>
        <w:tabs>
          <w:tab w:val="left" w:pos="6540" w:leader="none"/>
        </w:tabs>
      </w:pPr>
      <w:rPr>
        <w:rFonts w:ascii="Wingdings" w:hAnsi="Wingdings"/>
      </w:rPr>
    </w:lvl>
  </w:abstractNum>
  <w:abstractNum w:abstractNumId="15">
    <w:nsid w:val="2FFB708A"/>
    <w:multiLevelType w:val="multilevel"/>
    <w:lvl w:ilvl="0">
      <w:start w:val="1"/>
      <w:numFmt w:val="decimal"/>
      <w:suff w:val="tab"/>
      <w:lvlText w:val="%1."/>
      <w:lvlJc w:val="left"/>
      <w:pPr>
        <w:ind w:firstLine="0" w:left="284"/>
        <w:tabs>
          <w:tab w:val="left" w:pos="284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16">
    <w:nsid w:val="32E83BED"/>
    <w:multiLevelType w:val="multilevel"/>
    <w:lvl w:ilvl="0">
      <w:start w:val="1"/>
      <w:numFmt w:val="decimal"/>
      <w:suff w:val="tab"/>
      <w:lvlText w:val="%1."/>
      <w:lvlJc w:val="left"/>
      <w:pPr>
        <w:ind w:hanging="453" w:left="737"/>
        <w:tabs>
          <w:tab w:val="left" w:pos="567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17">
    <w:nsid w:val="379D5398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8">
    <w:nsid w:val="391E62A0"/>
    <w:multiLevelType w:val="hybridMultilevel"/>
    <w:lvl w:ilvl="0" w:tplc="4DD7D5A3">
      <w:start w:val="1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Arial" w:hAnsi="Arial"/>
      </w:rPr>
    </w:lvl>
    <w:lvl w:ilvl="1" w:tplc="511ECB1F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6E9E56A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F385BBF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892CD03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D21BE4C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7DFDE41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0D1CF4D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9FD828A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9">
    <w:nsid w:val="3C262E54"/>
    <w:multiLevelType w:val="multilevel"/>
    <w:lvl w:ilvl="0">
      <w:start w:val="1"/>
      <w:numFmt w:val="decimal"/>
      <w:suff w:val="tab"/>
      <w:lvlText w:val="%1."/>
      <w:lvlJc w:val="left"/>
      <w:pPr>
        <w:ind w:hanging="360" w:left="474"/>
        <w:tabs>
          <w:tab w:val="left" w:pos="474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194"/>
        <w:tabs>
          <w:tab w:val="left" w:pos="1194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1914"/>
        <w:tabs>
          <w:tab w:val="left" w:pos="1914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634"/>
        <w:tabs>
          <w:tab w:val="left" w:pos="2634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354"/>
        <w:tabs>
          <w:tab w:val="left" w:pos="3354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074"/>
        <w:tabs>
          <w:tab w:val="left" w:pos="4074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4794"/>
        <w:tabs>
          <w:tab w:val="left" w:pos="4794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514"/>
        <w:tabs>
          <w:tab w:val="left" w:pos="5514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234"/>
        <w:tabs>
          <w:tab w:val="left" w:pos="6234" w:leader="none"/>
        </w:tabs>
      </w:pPr>
      <w:rPr/>
    </w:lvl>
  </w:abstractNum>
  <w:abstractNum w:abstractNumId="20">
    <w:nsid w:val="3F805962"/>
    <w:multiLevelType w:val="hybridMultilevel"/>
    <w:lvl w:ilvl="0" w:tplc="4AA8AD6B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41878396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3858389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388B125A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665C40A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2CE5616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EE8324B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5727F19A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7D114667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1">
    <w:nsid w:val="40704816"/>
    <w:multiLevelType w:val="multilevel"/>
    <w:lvl w:ilvl="0">
      <w:start w:val="1"/>
      <w:numFmt w:val="decimal"/>
      <w:suff w:val="tab"/>
      <w:lvlText w:val="%1."/>
      <w:lvlJc w:val="left"/>
      <w:pPr>
        <w:ind w:firstLine="0" w:left="567"/>
        <w:tabs>
          <w:tab w:val="left" w:pos="284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22">
    <w:nsid w:val="4080361D"/>
    <w:multiLevelType w:val="hybridMultilevel"/>
    <w:lvl w:ilvl="0" w:tplc="4236A93E">
      <w:start w:val="1"/>
      <w:numFmt w:val="bullet"/>
      <w:suff w:val="tab"/>
      <w:lvlText w:val=""/>
      <w:lvlJc w:val="left"/>
      <w:pPr>
        <w:ind w:hanging="360" w:left="744"/>
        <w:tabs>
          <w:tab w:val="left" w:pos="744" w:leader="none"/>
        </w:tabs>
      </w:pPr>
      <w:rPr>
        <w:rFonts w:ascii="Symbol" w:hAnsi="Symbol"/>
      </w:rPr>
    </w:lvl>
    <w:lvl w:ilvl="1" w:tplc="4FA63968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4EE22DA1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EBAEE69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221AD1A8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B4EA310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3F1847F2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1F7B89D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776649F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3">
    <w:nsid w:val="492842BC"/>
    <w:multiLevelType w:val="hybridMultilevel"/>
    <w:lvl w:ilvl="0" w:tplc="3E32E6FB">
      <w:start w:val="1"/>
      <w:numFmt w:val="bullet"/>
      <w:suff w:val="tab"/>
      <w:lvlText w:val=""/>
      <w:lvlJc w:val="left"/>
      <w:pPr>
        <w:ind w:hanging="227" w:left="340"/>
        <w:tabs>
          <w:tab w:val="left" w:pos="340" w:leader="none"/>
        </w:tabs>
      </w:pPr>
      <w:rPr>
        <w:rFonts w:ascii="Symbol" w:hAnsi="Symbol"/>
      </w:rPr>
    </w:lvl>
    <w:lvl w:ilvl="1" w:tplc="1CFAC087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5494F83F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D419BDD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86CF5BF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5FFCE97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5AC5730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F26F20D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053F3DD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4">
    <w:nsid w:val="50D5333B"/>
    <w:multiLevelType w:val="multilevel"/>
    <w:lvl w:ilvl="0">
      <w:start w:val="1"/>
      <w:numFmt w:val="decimal"/>
      <w:suff w:val="tab"/>
      <w:lvlText w:val="%1."/>
      <w:lvlJc w:val="left"/>
      <w:pPr>
        <w:ind w:hanging="284" w:left="1191"/>
        <w:tabs>
          <w:tab w:val="left" w:pos="851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25">
    <w:nsid w:val="54B20414"/>
    <w:multiLevelType w:val="multilevel"/>
    <w:lvl w:ilvl="0">
      <w:start w:val="1"/>
      <w:numFmt w:val="decimal"/>
      <w:suff w:val="tab"/>
      <w:lvlText w:val="%1."/>
      <w:lvlJc w:val="left"/>
      <w:pPr>
        <w:ind w:hanging="360" w:left="474"/>
        <w:tabs>
          <w:tab w:val="left" w:pos="474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194"/>
        <w:tabs>
          <w:tab w:val="left" w:pos="1194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1914"/>
        <w:tabs>
          <w:tab w:val="left" w:pos="1914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634"/>
        <w:tabs>
          <w:tab w:val="left" w:pos="2634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354"/>
        <w:tabs>
          <w:tab w:val="left" w:pos="3354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074"/>
        <w:tabs>
          <w:tab w:val="left" w:pos="4074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4794"/>
        <w:tabs>
          <w:tab w:val="left" w:pos="4794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514"/>
        <w:tabs>
          <w:tab w:val="left" w:pos="5514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234"/>
        <w:tabs>
          <w:tab w:val="left" w:pos="6234" w:leader="none"/>
        </w:tabs>
      </w:pPr>
      <w:rPr/>
    </w:lvl>
  </w:abstractNum>
  <w:abstractNum w:abstractNumId="26">
    <w:nsid w:val="55CA5F44"/>
    <w:multiLevelType w:val="hybridMultilevel"/>
    <w:lvl w:ilvl="0" w:tplc="5E82E40D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28BC8D72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1CB1204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ED85628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34F4A3F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26AAC89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19C9698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7C2381E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E28FE9B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7">
    <w:nsid w:val="59A5654D"/>
    <w:multiLevelType w:val="hybridMultilevel"/>
    <w:lvl w:ilvl="0" w:tplc="01088D61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6C87C140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88481B7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998E71E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30D4B4F9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965CAAD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815DD04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700C157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3E903E9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8">
    <w:nsid w:val="5AF113CD"/>
    <w:multiLevelType w:val="hybridMultilevel"/>
    <w:lvl w:ilvl="0" w:tplc="40952BB1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1F1CE839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F03FA76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B9B4258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02013CB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69B1566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5AB59AC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9ACF744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3D70FC6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9">
    <w:nsid w:val="61C51938"/>
    <w:multiLevelType w:val="multilevel"/>
    <w:lvl w:ilvl="0">
      <w:start w:val="1"/>
      <w:numFmt w:val="decimal"/>
      <w:suff w:val="tab"/>
      <w:lvlText w:val="%1."/>
      <w:lvlJc w:val="left"/>
      <w:pPr>
        <w:ind w:hanging="360" w:left="1571"/>
        <w:tabs>
          <w:tab w:val="left" w:pos="1571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2291"/>
        <w:tabs>
          <w:tab w:val="left" w:pos="229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3011"/>
        <w:tabs>
          <w:tab w:val="left" w:pos="301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731"/>
        <w:tabs>
          <w:tab w:val="left" w:pos="373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451"/>
        <w:tabs>
          <w:tab w:val="left" w:pos="445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5171"/>
        <w:tabs>
          <w:tab w:val="left" w:pos="517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891"/>
        <w:tabs>
          <w:tab w:val="left" w:pos="589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611"/>
        <w:tabs>
          <w:tab w:val="left" w:pos="661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7331"/>
        <w:tabs>
          <w:tab w:val="left" w:pos="7331" w:leader="none"/>
        </w:tabs>
      </w:pPr>
      <w:rPr/>
    </w:lvl>
  </w:abstractNum>
  <w:abstractNum w:abstractNumId="30">
    <w:nsid w:val="62272B86"/>
    <w:multiLevelType w:val="hybridMultilevel"/>
    <w:lvl w:ilvl="0" w:tplc="35688A49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4D67118D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91A8DD6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25869FD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2DEBB29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7354F9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27A6238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0654E3C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E6B652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31">
    <w:nsid w:val="63980CD8"/>
    <w:multiLevelType w:val="hybridMultilevel"/>
    <w:lvl w:ilvl="0" w:tplc="4B463563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235E5416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C56EF28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C778117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D1E57CF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A589A8A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D25A574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E0FBB90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56FF75B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32">
    <w:nsid w:val="698A31B1"/>
    <w:multiLevelType w:val="hybridMultilevel"/>
    <w:lvl w:ilvl="0" w:tplc="4EF1E2E6">
      <w:start w:val="1"/>
      <w:numFmt w:val="bullet"/>
      <w:suff w:val="tab"/>
      <w:lvlText w:val=""/>
      <w:lvlJc w:val="left"/>
      <w:pPr>
        <w:ind w:hanging="227" w:left="1134"/>
        <w:tabs>
          <w:tab w:val="left" w:pos="1134" w:leader="none"/>
        </w:tabs>
      </w:pPr>
      <w:rPr>
        <w:rFonts w:ascii="Symbol" w:hAnsi="Symbol"/>
      </w:rPr>
    </w:lvl>
    <w:lvl w:ilvl="1" w:tplc="6499FFDB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C260B8C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B2F2D91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352BBFD8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716C3466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216CBAD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5172C7E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00A09D2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33">
    <w:nsid w:val="6B6E21CE"/>
    <w:multiLevelType w:val="multilevel"/>
    <w:lvl w:ilvl="0">
      <w:start w:val="1"/>
      <w:numFmt w:val="decimal"/>
      <w:suff w:val="tab"/>
      <w:lvlText w:val="%1."/>
      <w:lvlJc w:val="left"/>
      <w:pPr>
        <w:ind w:hanging="870" w:left="1721"/>
        <w:tabs>
          <w:tab w:val="left" w:pos="1721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34">
    <w:nsid w:val="6B777304"/>
    <w:multiLevelType w:val="hybridMultilevel"/>
    <w:lvl w:ilvl="0" w:tplc="114FFA66">
      <w:start w:val="1"/>
      <w:numFmt w:val="bullet"/>
      <w:suff w:val="tab"/>
      <w:lvlText w:val=""/>
      <w:lvlJc w:val="left"/>
      <w:pPr>
        <w:ind w:hanging="360" w:left="663"/>
        <w:tabs>
          <w:tab w:val="left" w:pos="663" w:leader="none"/>
        </w:tabs>
      </w:pPr>
      <w:rPr>
        <w:rFonts w:ascii="Symbol" w:hAnsi="Symbol"/>
      </w:rPr>
    </w:lvl>
    <w:lvl w:ilvl="1" w:tplc="62E7A1B4">
      <w:start w:val="1"/>
      <w:numFmt w:val="bullet"/>
      <w:suff w:val="tab"/>
      <w:lvlText w:val="o"/>
      <w:lvlJc w:val="left"/>
      <w:pPr>
        <w:ind w:hanging="360" w:left="1383"/>
        <w:tabs>
          <w:tab w:val="left" w:pos="1383" w:leader="none"/>
        </w:tabs>
      </w:pPr>
      <w:rPr>
        <w:rFonts w:ascii="Courier New" w:hAnsi="Courier New"/>
      </w:rPr>
    </w:lvl>
    <w:lvl w:ilvl="2" w:tplc="489C79A5">
      <w:start w:val="1"/>
      <w:numFmt w:val="bullet"/>
      <w:suff w:val="tab"/>
      <w:lvlText w:val=""/>
      <w:lvlJc w:val="left"/>
      <w:pPr>
        <w:ind w:hanging="360" w:left="2103"/>
        <w:tabs>
          <w:tab w:val="left" w:pos="2103" w:leader="none"/>
        </w:tabs>
      </w:pPr>
      <w:rPr>
        <w:rFonts w:ascii="Wingdings" w:hAnsi="Wingdings"/>
      </w:rPr>
    </w:lvl>
    <w:lvl w:ilvl="3" w:tplc="7B2FFC9C">
      <w:start w:val="1"/>
      <w:numFmt w:val="bullet"/>
      <w:suff w:val="tab"/>
      <w:lvlText w:val=""/>
      <w:lvlJc w:val="left"/>
      <w:pPr>
        <w:ind w:hanging="360" w:left="2823"/>
        <w:tabs>
          <w:tab w:val="left" w:pos="2823" w:leader="none"/>
        </w:tabs>
      </w:pPr>
      <w:rPr>
        <w:rFonts w:ascii="Symbol" w:hAnsi="Symbol"/>
      </w:rPr>
    </w:lvl>
    <w:lvl w:ilvl="4" w:tplc="492CFC7A">
      <w:start w:val="1"/>
      <w:numFmt w:val="bullet"/>
      <w:suff w:val="tab"/>
      <w:lvlText w:val="o"/>
      <w:lvlJc w:val="left"/>
      <w:pPr>
        <w:ind w:hanging="360" w:left="3543"/>
        <w:tabs>
          <w:tab w:val="left" w:pos="3543" w:leader="none"/>
        </w:tabs>
      </w:pPr>
      <w:rPr>
        <w:rFonts w:ascii="Courier New" w:hAnsi="Courier New"/>
      </w:rPr>
    </w:lvl>
    <w:lvl w:ilvl="5" w:tplc="09A253FA">
      <w:start w:val="1"/>
      <w:numFmt w:val="bullet"/>
      <w:suff w:val="tab"/>
      <w:lvlText w:val=""/>
      <w:lvlJc w:val="left"/>
      <w:pPr>
        <w:ind w:hanging="360" w:left="4263"/>
        <w:tabs>
          <w:tab w:val="left" w:pos="4263" w:leader="none"/>
        </w:tabs>
      </w:pPr>
      <w:rPr>
        <w:rFonts w:ascii="Wingdings" w:hAnsi="Wingdings"/>
      </w:rPr>
    </w:lvl>
    <w:lvl w:ilvl="6" w:tplc="3E939DC2">
      <w:start w:val="1"/>
      <w:numFmt w:val="bullet"/>
      <w:suff w:val="tab"/>
      <w:lvlText w:val=""/>
      <w:lvlJc w:val="left"/>
      <w:pPr>
        <w:ind w:hanging="360" w:left="4983"/>
        <w:tabs>
          <w:tab w:val="left" w:pos="4983" w:leader="none"/>
        </w:tabs>
      </w:pPr>
      <w:rPr>
        <w:rFonts w:ascii="Symbol" w:hAnsi="Symbol"/>
      </w:rPr>
    </w:lvl>
    <w:lvl w:ilvl="7" w:tplc="0C340D4F">
      <w:start w:val="1"/>
      <w:numFmt w:val="bullet"/>
      <w:suff w:val="tab"/>
      <w:lvlText w:val="o"/>
      <w:lvlJc w:val="left"/>
      <w:pPr>
        <w:ind w:hanging="360" w:left="5703"/>
        <w:tabs>
          <w:tab w:val="left" w:pos="5703" w:leader="none"/>
        </w:tabs>
      </w:pPr>
      <w:rPr>
        <w:rFonts w:ascii="Courier New" w:hAnsi="Courier New"/>
      </w:rPr>
    </w:lvl>
    <w:lvl w:ilvl="8" w:tplc="3A5B2690">
      <w:start w:val="1"/>
      <w:numFmt w:val="bullet"/>
      <w:suff w:val="tab"/>
      <w:lvlText w:val=""/>
      <w:lvlJc w:val="left"/>
      <w:pPr>
        <w:ind w:hanging="360" w:left="6423"/>
        <w:tabs>
          <w:tab w:val="left" w:pos="6423" w:leader="none"/>
        </w:tabs>
      </w:pPr>
      <w:rPr>
        <w:rFonts w:ascii="Wingdings" w:hAnsi="Wingdings"/>
      </w:rPr>
    </w:lvl>
  </w:abstractNum>
  <w:abstractNum w:abstractNumId="35">
    <w:nsid w:val="6C3E4F49"/>
    <w:multiLevelType w:val="hybridMultilevel"/>
    <w:lvl w:ilvl="0" w:tplc="250E70C3">
      <w:start w:val="1"/>
      <w:numFmt w:val="bullet"/>
      <w:suff w:val="tab"/>
      <w:lvlText w:val=""/>
      <w:lvlJc w:val="left"/>
      <w:pPr>
        <w:ind w:hanging="227" w:left="1191"/>
        <w:tabs>
          <w:tab w:val="left" w:pos="1191" w:leader="none"/>
        </w:tabs>
      </w:pPr>
      <w:rPr>
        <w:rFonts w:ascii="Symbol" w:hAnsi="Symbol"/>
      </w:rPr>
    </w:lvl>
    <w:lvl w:ilvl="1" w:tplc="2EB02363">
      <w:start w:val="1"/>
      <w:numFmt w:val="bullet"/>
      <w:suff w:val="tab"/>
      <w:lvlText w:val="o"/>
      <w:lvlJc w:val="left"/>
      <w:pPr>
        <w:ind w:hanging="360" w:left="2291"/>
        <w:tabs>
          <w:tab w:val="left" w:pos="2291" w:leader="none"/>
        </w:tabs>
      </w:pPr>
      <w:rPr>
        <w:rFonts w:ascii="Courier New" w:hAnsi="Courier New"/>
      </w:rPr>
    </w:lvl>
    <w:lvl w:ilvl="2" w:tplc="29A90717">
      <w:start w:val="1"/>
      <w:numFmt w:val="bullet"/>
      <w:suff w:val="tab"/>
      <w:lvlText w:val=""/>
      <w:lvlJc w:val="left"/>
      <w:pPr>
        <w:ind w:hanging="360" w:left="3011"/>
        <w:tabs>
          <w:tab w:val="left" w:pos="3011" w:leader="none"/>
        </w:tabs>
      </w:pPr>
      <w:rPr>
        <w:rFonts w:ascii="Wingdings" w:hAnsi="Wingdings"/>
      </w:rPr>
    </w:lvl>
    <w:lvl w:ilvl="3" w:tplc="114F3322">
      <w:start w:val="1"/>
      <w:numFmt w:val="bullet"/>
      <w:suff w:val="tab"/>
      <w:lvlText w:val=""/>
      <w:lvlJc w:val="left"/>
      <w:pPr>
        <w:ind w:hanging="360" w:left="3731"/>
        <w:tabs>
          <w:tab w:val="left" w:pos="3731" w:leader="none"/>
        </w:tabs>
      </w:pPr>
      <w:rPr>
        <w:rFonts w:ascii="Symbol" w:hAnsi="Symbol"/>
      </w:rPr>
    </w:lvl>
    <w:lvl w:ilvl="4" w:tplc="171E85E6">
      <w:start w:val="1"/>
      <w:numFmt w:val="bullet"/>
      <w:suff w:val="tab"/>
      <w:lvlText w:val="o"/>
      <w:lvlJc w:val="left"/>
      <w:pPr>
        <w:ind w:hanging="360" w:left="4451"/>
        <w:tabs>
          <w:tab w:val="left" w:pos="4451" w:leader="none"/>
        </w:tabs>
      </w:pPr>
      <w:rPr>
        <w:rFonts w:ascii="Courier New" w:hAnsi="Courier New"/>
      </w:rPr>
    </w:lvl>
    <w:lvl w:ilvl="5" w:tplc="006F67BD">
      <w:start w:val="1"/>
      <w:numFmt w:val="bullet"/>
      <w:suff w:val="tab"/>
      <w:lvlText w:val=""/>
      <w:lvlJc w:val="left"/>
      <w:pPr>
        <w:ind w:hanging="360" w:left="5171"/>
        <w:tabs>
          <w:tab w:val="left" w:pos="5171" w:leader="none"/>
        </w:tabs>
      </w:pPr>
      <w:rPr>
        <w:rFonts w:ascii="Wingdings" w:hAnsi="Wingdings"/>
      </w:rPr>
    </w:lvl>
    <w:lvl w:ilvl="6" w:tplc="2AFA6685">
      <w:start w:val="1"/>
      <w:numFmt w:val="bullet"/>
      <w:suff w:val="tab"/>
      <w:lvlText w:val=""/>
      <w:lvlJc w:val="left"/>
      <w:pPr>
        <w:ind w:hanging="360" w:left="5891"/>
        <w:tabs>
          <w:tab w:val="left" w:pos="5891" w:leader="none"/>
        </w:tabs>
      </w:pPr>
      <w:rPr>
        <w:rFonts w:ascii="Symbol" w:hAnsi="Symbol"/>
      </w:rPr>
    </w:lvl>
    <w:lvl w:ilvl="7" w:tplc="7CCFA7A0">
      <w:start w:val="1"/>
      <w:numFmt w:val="bullet"/>
      <w:suff w:val="tab"/>
      <w:lvlText w:val="o"/>
      <w:lvlJc w:val="left"/>
      <w:pPr>
        <w:ind w:hanging="360" w:left="6611"/>
        <w:tabs>
          <w:tab w:val="left" w:pos="6611" w:leader="none"/>
        </w:tabs>
      </w:pPr>
      <w:rPr>
        <w:rFonts w:ascii="Courier New" w:hAnsi="Courier New"/>
      </w:rPr>
    </w:lvl>
    <w:lvl w:ilvl="8" w:tplc="43A26E41">
      <w:start w:val="1"/>
      <w:numFmt w:val="bullet"/>
      <w:suff w:val="tab"/>
      <w:lvlText w:val=""/>
      <w:lvlJc w:val="left"/>
      <w:pPr>
        <w:ind w:hanging="360" w:left="7331"/>
        <w:tabs>
          <w:tab w:val="left" w:pos="7331" w:leader="none"/>
        </w:tabs>
      </w:pPr>
      <w:rPr>
        <w:rFonts w:ascii="Wingdings" w:hAnsi="Wingdings"/>
      </w:rPr>
    </w:lvl>
  </w:abstractNum>
  <w:abstractNum w:abstractNumId="36">
    <w:nsid w:val="71307D97"/>
    <w:multiLevelType w:val="hybridMultilevel"/>
    <w:lvl w:ilvl="0" w:tplc="179214BF">
      <w:start w:val="1"/>
      <w:numFmt w:val="bullet"/>
      <w:suff w:val="tab"/>
      <w:lvlText w:val=""/>
      <w:lvlJc w:val="left"/>
      <w:pPr>
        <w:ind w:hanging="360" w:left="2184"/>
        <w:tabs>
          <w:tab w:val="left" w:pos="2184" w:leader="none"/>
        </w:tabs>
      </w:pPr>
      <w:rPr>
        <w:rFonts w:ascii="Symbol" w:hAnsi="Symbol"/>
      </w:rPr>
    </w:lvl>
    <w:lvl w:ilvl="1" w:tplc="441DAA99">
      <w:start w:val="1"/>
      <w:numFmt w:val="bullet"/>
      <w:suff w:val="tab"/>
      <w:lvlText w:val="o"/>
      <w:lvlJc w:val="left"/>
      <w:pPr>
        <w:ind w:hanging="360" w:left="2904"/>
        <w:tabs>
          <w:tab w:val="left" w:pos="2904" w:leader="none"/>
        </w:tabs>
      </w:pPr>
      <w:rPr>
        <w:rFonts w:ascii="Courier New" w:hAnsi="Courier New"/>
      </w:rPr>
    </w:lvl>
    <w:lvl w:ilvl="2" w:tplc="31FE9069">
      <w:start w:val="1"/>
      <w:numFmt w:val="bullet"/>
      <w:suff w:val="tab"/>
      <w:lvlText w:val=""/>
      <w:lvlJc w:val="left"/>
      <w:pPr>
        <w:ind w:hanging="360" w:left="3624"/>
        <w:tabs>
          <w:tab w:val="left" w:pos="3624" w:leader="none"/>
        </w:tabs>
      </w:pPr>
      <w:rPr>
        <w:rFonts w:ascii="Wingdings" w:hAnsi="Wingdings"/>
      </w:rPr>
    </w:lvl>
    <w:lvl w:ilvl="3" w:tplc="14AB60EC">
      <w:start w:val="1"/>
      <w:numFmt w:val="bullet"/>
      <w:suff w:val="tab"/>
      <w:lvlText w:val=""/>
      <w:lvlJc w:val="left"/>
      <w:pPr>
        <w:ind w:hanging="360" w:left="4344"/>
        <w:tabs>
          <w:tab w:val="left" w:pos="4344" w:leader="none"/>
        </w:tabs>
      </w:pPr>
      <w:rPr>
        <w:rFonts w:ascii="Symbol" w:hAnsi="Symbol"/>
      </w:rPr>
    </w:lvl>
    <w:lvl w:ilvl="4" w:tplc="5E759DE4">
      <w:start w:val="1"/>
      <w:numFmt w:val="bullet"/>
      <w:suff w:val="tab"/>
      <w:lvlText w:val="o"/>
      <w:lvlJc w:val="left"/>
      <w:pPr>
        <w:ind w:hanging="360" w:left="5064"/>
        <w:tabs>
          <w:tab w:val="left" w:pos="5064" w:leader="none"/>
        </w:tabs>
      </w:pPr>
      <w:rPr>
        <w:rFonts w:ascii="Courier New" w:hAnsi="Courier New"/>
      </w:rPr>
    </w:lvl>
    <w:lvl w:ilvl="5" w:tplc="2210593A">
      <w:start w:val="1"/>
      <w:numFmt w:val="bullet"/>
      <w:suff w:val="tab"/>
      <w:lvlText w:val=""/>
      <w:lvlJc w:val="left"/>
      <w:pPr>
        <w:ind w:hanging="360" w:left="5784"/>
        <w:tabs>
          <w:tab w:val="left" w:pos="5784" w:leader="none"/>
        </w:tabs>
      </w:pPr>
      <w:rPr>
        <w:rFonts w:ascii="Wingdings" w:hAnsi="Wingdings"/>
      </w:rPr>
    </w:lvl>
    <w:lvl w:ilvl="6" w:tplc="612B1E0A">
      <w:start w:val="1"/>
      <w:numFmt w:val="bullet"/>
      <w:suff w:val="tab"/>
      <w:lvlText w:val=""/>
      <w:lvlJc w:val="left"/>
      <w:pPr>
        <w:ind w:hanging="360" w:left="6504"/>
        <w:tabs>
          <w:tab w:val="left" w:pos="6504" w:leader="none"/>
        </w:tabs>
      </w:pPr>
      <w:rPr>
        <w:rFonts w:ascii="Symbol" w:hAnsi="Symbol"/>
      </w:rPr>
    </w:lvl>
    <w:lvl w:ilvl="7" w:tplc="06B977C6">
      <w:start w:val="1"/>
      <w:numFmt w:val="bullet"/>
      <w:suff w:val="tab"/>
      <w:lvlText w:val="o"/>
      <w:lvlJc w:val="left"/>
      <w:pPr>
        <w:ind w:hanging="360" w:left="7224"/>
        <w:tabs>
          <w:tab w:val="left" w:pos="7224" w:leader="none"/>
        </w:tabs>
      </w:pPr>
      <w:rPr>
        <w:rFonts w:ascii="Courier New" w:hAnsi="Courier New"/>
      </w:rPr>
    </w:lvl>
    <w:lvl w:ilvl="8" w:tplc="7512F767">
      <w:start w:val="1"/>
      <w:numFmt w:val="bullet"/>
      <w:suff w:val="tab"/>
      <w:lvlText w:val=""/>
      <w:lvlJc w:val="left"/>
      <w:pPr>
        <w:ind w:hanging="360" w:left="7944"/>
        <w:tabs>
          <w:tab w:val="left" w:pos="7944" w:leader="none"/>
        </w:tabs>
      </w:pPr>
      <w:rPr>
        <w:rFonts w:ascii="Wingdings" w:hAnsi="Wingdings"/>
      </w:rPr>
    </w:lvl>
  </w:abstractNum>
  <w:abstractNum w:abstractNumId="37">
    <w:nsid w:val="72951B6A"/>
    <w:multiLevelType w:val="multilevel"/>
    <w:lvl w:ilvl="0">
      <w:start w:val="1"/>
      <w:numFmt w:val="decimal"/>
      <w:suff w:val="tab"/>
      <w:lvlText w:val="%1."/>
      <w:lvlJc w:val="left"/>
      <w:pPr>
        <w:ind w:firstLine="0" w:left="851"/>
        <w:tabs>
          <w:tab w:val="left" w:pos="567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38">
    <w:nsid w:val="73E86C8E"/>
    <w:multiLevelType w:val="multilevel"/>
    <w:lvl w:ilvl="0">
      <w:start w:val="1"/>
      <w:numFmt w:val="decimal"/>
      <w:suff w:val="tab"/>
      <w:lvlText w:val="%1."/>
      <w:lvlJc w:val="left"/>
      <w:pPr>
        <w:ind w:hanging="340" w:left="1191"/>
        <w:tabs>
          <w:tab w:val="left" w:pos="851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39">
    <w:nsid w:val="758419C5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40">
    <w:nsid w:val="75B31A1D"/>
    <w:multiLevelType w:val="multilevel"/>
    <w:lvl w:ilvl="0">
      <w:start w:val="1"/>
      <w:numFmt w:val="decimal"/>
      <w:suff w:val="tab"/>
      <w:lvlText w:val="%1."/>
      <w:lvlJc w:val="left"/>
      <w:pPr>
        <w:ind w:hanging="283" w:left="567"/>
        <w:tabs>
          <w:tab w:val="left" w:pos="567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41">
    <w:nsid w:val="7759599C"/>
    <w:multiLevelType w:val="multilevel"/>
    <w:lvl w:ilvl="0">
      <w:start w:val="1"/>
      <w:numFmt w:val="decimal"/>
      <w:suff w:val="tab"/>
      <w:lvlText w:val="%1."/>
      <w:lvlJc w:val="left"/>
      <w:pPr>
        <w:ind w:firstLine="284" w:left="567"/>
        <w:tabs>
          <w:tab w:val="left" w:pos="567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42">
    <w:nsid w:val="78A94DCE"/>
    <w:multiLevelType w:val="hybridMultilevel"/>
    <w:lvl w:ilvl="0" w:tplc="27B10438">
      <w:start w:val="1"/>
      <w:numFmt w:val="bullet"/>
      <w:suff w:val="tab"/>
      <w:lvlText w:val=""/>
      <w:lvlJc w:val="left"/>
      <w:pPr>
        <w:ind w:hanging="360" w:left="2184"/>
        <w:tabs>
          <w:tab w:val="left" w:pos="2184" w:leader="none"/>
        </w:tabs>
      </w:pPr>
      <w:rPr>
        <w:rFonts w:ascii="Symbol" w:hAnsi="Symbol"/>
      </w:rPr>
    </w:lvl>
    <w:lvl w:ilvl="1" w:tplc="3A395CB6">
      <w:start w:val="1"/>
      <w:numFmt w:val="bullet"/>
      <w:suff w:val="tab"/>
      <w:lvlText w:val="o"/>
      <w:lvlJc w:val="left"/>
      <w:pPr>
        <w:ind w:hanging="360" w:left="2904"/>
        <w:tabs>
          <w:tab w:val="left" w:pos="2904" w:leader="none"/>
        </w:tabs>
      </w:pPr>
      <w:rPr>
        <w:rFonts w:ascii="Courier New" w:hAnsi="Courier New"/>
      </w:rPr>
    </w:lvl>
    <w:lvl w:ilvl="2" w:tplc="183B52B4">
      <w:start w:val="1"/>
      <w:numFmt w:val="bullet"/>
      <w:suff w:val="tab"/>
      <w:lvlText w:val=""/>
      <w:lvlJc w:val="left"/>
      <w:pPr>
        <w:ind w:hanging="360" w:left="3624"/>
        <w:tabs>
          <w:tab w:val="left" w:pos="3624" w:leader="none"/>
        </w:tabs>
      </w:pPr>
      <w:rPr>
        <w:rFonts w:ascii="Wingdings" w:hAnsi="Wingdings"/>
      </w:rPr>
    </w:lvl>
    <w:lvl w:ilvl="3" w:tplc="77AE596F">
      <w:start w:val="1"/>
      <w:numFmt w:val="bullet"/>
      <w:suff w:val="tab"/>
      <w:lvlText w:val=""/>
      <w:lvlJc w:val="left"/>
      <w:pPr>
        <w:ind w:hanging="360" w:left="4344"/>
        <w:tabs>
          <w:tab w:val="left" w:pos="4344" w:leader="none"/>
        </w:tabs>
      </w:pPr>
      <w:rPr>
        <w:rFonts w:ascii="Symbol" w:hAnsi="Symbol"/>
      </w:rPr>
    </w:lvl>
    <w:lvl w:ilvl="4" w:tplc="70419E4E">
      <w:start w:val="1"/>
      <w:numFmt w:val="bullet"/>
      <w:suff w:val="tab"/>
      <w:lvlText w:val="o"/>
      <w:lvlJc w:val="left"/>
      <w:pPr>
        <w:ind w:hanging="360" w:left="5064"/>
        <w:tabs>
          <w:tab w:val="left" w:pos="5064" w:leader="none"/>
        </w:tabs>
      </w:pPr>
      <w:rPr>
        <w:rFonts w:ascii="Courier New" w:hAnsi="Courier New"/>
      </w:rPr>
    </w:lvl>
    <w:lvl w:ilvl="5" w:tplc="0DC78FAA">
      <w:start w:val="1"/>
      <w:numFmt w:val="bullet"/>
      <w:suff w:val="tab"/>
      <w:lvlText w:val=""/>
      <w:lvlJc w:val="left"/>
      <w:pPr>
        <w:ind w:hanging="360" w:left="5784"/>
        <w:tabs>
          <w:tab w:val="left" w:pos="5784" w:leader="none"/>
        </w:tabs>
      </w:pPr>
      <w:rPr>
        <w:rFonts w:ascii="Wingdings" w:hAnsi="Wingdings"/>
      </w:rPr>
    </w:lvl>
    <w:lvl w:ilvl="6" w:tplc="672B45C1">
      <w:start w:val="1"/>
      <w:numFmt w:val="bullet"/>
      <w:suff w:val="tab"/>
      <w:lvlText w:val=""/>
      <w:lvlJc w:val="left"/>
      <w:pPr>
        <w:ind w:hanging="360" w:left="6504"/>
        <w:tabs>
          <w:tab w:val="left" w:pos="6504" w:leader="none"/>
        </w:tabs>
      </w:pPr>
      <w:rPr>
        <w:rFonts w:ascii="Symbol" w:hAnsi="Symbol"/>
      </w:rPr>
    </w:lvl>
    <w:lvl w:ilvl="7" w:tplc="312A68D1">
      <w:start w:val="1"/>
      <w:numFmt w:val="bullet"/>
      <w:suff w:val="tab"/>
      <w:lvlText w:val="o"/>
      <w:lvlJc w:val="left"/>
      <w:pPr>
        <w:ind w:hanging="360" w:left="7224"/>
        <w:tabs>
          <w:tab w:val="left" w:pos="7224" w:leader="none"/>
        </w:tabs>
      </w:pPr>
      <w:rPr>
        <w:rFonts w:ascii="Courier New" w:hAnsi="Courier New"/>
      </w:rPr>
    </w:lvl>
    <w:lvl w:ilvl="8" w:tplc="4D7DAC87">
      <w:start w:val="1"/>
      <w:numFmt w:val="bullet"/>
      <w:suff w:val="tab"/>
      <w:lvlText w:val=""/>
      <w:lvlJc w:val="left"/>
      <w:pPr>
        <w:ind w:hanging="360" w:left="7944"/>
        <w:tabs>
          <w:tab w:val="left" w:pos="7944" w:leader="none"/>
        </w:tabs>
      </w:pPr>
      <w:rPr>
        <w:rFonts w:ascii="Wingdings" w:hAnsi="Wingdings"/>
      </w:rPr>
    </w:lvl>
  </w:abstractNum>
  <w:abstractNum w:abstractNumId="43">
    <w:nsid w:val="7A5865F9"/>
    <w:multiLevelType w:val="hybridMultilevel"/>
    <w:lvl w:ilvl="0" w:tplc="65CEEB81">
      <w:start w:val="1"/>
      <w:numFmt w:val="bullet"/>
      <w:suff w:val="tab"/>
      <w:lvlText w:val=""/>
      <w:lvlJc w:val="left"/>
      <w:pPr>
        <w:ind w:hanging="360" w:left="780"/>
        <w:tabs>
          <w:tab w:val="left" w:pos="780" w:leader="none"/>
        </w:tabs>
      </w:pPr>
      <w:rPr>
        <w:rFonts w:ascii="Symbol" w:hAnsi="Symbol"/>
      </w:rPr>
    </w:lvl>
    <w:lvl w:ilvl="1" w:tplc="501638C5">
      <w:start w:val="1"/>
      <w:numFmt w:val="bullet"/>
      <w:suff w:val="tab"/>
      <w:lvlText w:val="o"/>
      <w:lvlJc w:val="left"/>
      <w:pPr>
        <w:ind w:hanging="360" w:left="1500"/>
        <w:tabs>
          <w:tab w:val="left" w:pos="1500" w:leader="none"/>
        </w:tabs>
      </w:pPr>
      <w:rPr>
        <w:rFonts w:ascii="Courier New" w:hAnsi="Courier New"/>
      </w:rPr>
    </w:lvl>
    <w:lvl w:ilvl="2" w:tplc="5A31579A">
      <w:start w:val="1"/>
      <w:numFmt w:val="bullet"/>
      <w:suff w:val="tab"/>
      <w:lvlText w:val=""/>
      <w:lvlJc w:val="left"/>
      <w:pPr>
        <w:ind w:hanging="360" w:left="2220"/>
        <w:tabs>
          <w:tab w:val="left" w:pos="2220" w:leader="none"/>
        </w:tabs>
      </w:pPr>
      <w:rPr>
        <w:rFonts w:ascii="Wingdings" w:hAnsi="Wingdings"/>
      </w:rPr>
    </w:lvl>
    <w:lvl w:ilvl="3" w:tplc="62B49C2D">
      <w:start w:val="1"/>
      <w:numFmt w:val="bullet"/>
      <w:suff w:val="tab"/>
      <w:lvlText w:val=""/>
      <w:lvlJc w:val="left"/>
      <w:pPr>
        <w:ind w:hanging="360" w:left="2940"/>
        <w:tabs>
          <w:tab w:val="left" w:pos="2940" w:leader="none"/>
        </w:tabs>
      </w:pPr>
      <w:rPr>
        <w:rFonts w:ascii="Symbol" w:hAnsi="Symbol"/>
      </w:rPr>
    </w:lvl>
    <w:lvl w:ilvl="4" w:tplc="3DE3E454">
      <w:start w:val="1"/>
      <w:numFmt w:val="bullet"/>
      <w:suff w:val="tab"/>
      <w:lvlText w:val="o"/>
      <w:lvlJc w:val="left"/>
      <w:pPr>
        <w:ind w:hanging="360" w:left="3660"/>
        <w:tabs>
          <w:tab w:val="left" w:pos="3660" w:leader="none"/>
        </w:tabs>
      </w:pPr>
      <w:rPr>
        <w:rFonts w:ascii="Courier New" w:hAnsi="Courier New"/>
      </w:rPr>
    </w:lvl>
    <w:lvl w:ilvl="5" w:tplc="60EA4B80">
      <w:start w:val="1"/>
      <w:numFmt w:val="bullet"/>
      <w:suff w:val="tab"/>
      <w:lvlText w:val=""/>
      <w:lvlJc w:val="left"/>
      <w:pPr>
        <w:ind w:hanging="360" w:left="4380"/>
        <w:tabs>
          <w:tab w:val="left" w:pos="4380" w:leader="none"/>
        </w:tabs>
      </w:pPr>
      <w:rPr>
        <w:rFonts w:ascii="Wingdings" w:hAnsi="Wingdings"/>
      </w:rPr>
    </w:lvl>
    <w:lvl w:ilvl="6" w:tplc="5FFD73F9">
      <w:start w:val="1"/>
      <w:numFmt w:val="bullet"/>
      <w:suff w:val="tab"/>
      <w:lvlText w:val=""/>
      <w:lvlJc w:val="left"/>
      <w:pPr>
        <w:ind w:hanging="360" w:left="5100"/>
        <w:tabs>
          <w:tab w:val="left" w:pos="5100" w:leader="none"/>
        </w:tabs>
      </w:pPr>
      <w:rPr>
        <w:rFonts w:ascii="Symbol" w:hAnsi="Symbol"/>
      </w:rPr>
    </w:lvl>
    <w:lvl w:ilvl="7" w:tplc="781734AF">
      <w:start w:val="1"/>
      <w:numFmt w:val="bullet"/>
      <w:suff w:val="tab"/>
      <w:lvlText w:val="o"/>
      <w:lvlJc w:val="left"/>
      <w:pPr>
        <w:ind w:hanging="360" w:left="5820"/>
        <w:tabs>
          <w:tab w:val="left" w:pos="5820" w:leader="none"/>
        </w:tabs>
      </w:pPr>
      <w:rPr>
        <w:rFonts w:ascii="Courier New" w:hAnsi="Courier New"/>
      </w:rPr>
    </w:lvl>
    <w:lvl w:ilvl="8" w:tplc="0F5F992D">
      <w:start w:val="1"/>
      <w:numFmt w:val="bullet"/>
      <w:suff w:val="tab"/>
      <w:lvlText w:val=""/>
      <w:lvlJc w:val="left"/>
      <w:pPr>
        <w:ind w:hanging="360" w:left="6540"/>
        <w:tabs>
          <w:tab w:val="left" w:pos="6540" w:leader="none"/>
        </w:tabs>
      </w:pPr>
      <w:rPr>
        <w:rFonts w:ascii="Wingdings" w:hAnsi="Wingdings"/>
      </w:rPr>
    </w:lvl>
  </w:abstractNum>
  <w:abstractNum w:abstractNumId="44">
    <w:nsid w:val="7B3564D6"/>
    <w:multiLevelType w:val="hybridMultilevel"/>
    <w:lvl w:ilvl="0" w:tplc="2BC6F143">
      <w:start w:val="1"/>
      <w:numFmt w:val="bullet"/>
      <w:suff w:val="tab"/>
      <w:lvlText w:val=""/>
      <w:lvlJc w:val="left"/>
      <w:pPr>
        <w:ind w:hanging="360" w:left="1077"/>
      </w:pPr>
      <w:rPr>
        <w:rFonts w:ascii="Symbol" w:hAnsi="Symbol"/>
      </w:rPr>
    </w:lvl>
    <w:lvl w:ilvl="1" w:tplc="3DA2B0C3">
      <w:start w:val="1"/>
      <w:numFmt w:val="bullet"/>
      <w:suff w:val="tab"/>
      <w:lvlText w:val="o"/>
      <w:lvlJc w:val="left"/>
      <w:pPr>
        <w:ind w:hanging="360" w:left="1797"/>
      </w:pPr>
      <w:rPr>
        <w:rFonts w:ascii="Courier New" w:hAnsi="Courier New"/>
      </w:rPr>
    </w:lvl>
    <w:lvl w:ilvl="2" w:tplc="4D7B7AF5">
      <w:start w:val="1"/>
      <w:numFmt w:val="bullet"/>
      <w:suff w:val="tab"/>
      <w:lvlText w:val=""/>
      <w:lvlJc w:val="left"/>
      <w:pPr>
        <w:ind w:hanging="360" w:left="2517"/>
      </w:pPr>
      <w:rPr>
        <w:rFonts w:ascii="Wingdings" w:hAnsi="Wingdings"/>
      </w:rPr>
    </w:lvl>
    <w:lvl w:ilvl="3" w:tplc="6BB6A4CF">
      <w:start w:val="1"/>
      <w:numFmt w:val="bullet"/>
      <w:suff w:val="tab"/>
      <w:lvlText w:val=""/>
      <w:lvlJc w:val="left"/>
      <w:pPr>
        <w:ind w:hanging="360" w:left="3237"/>
      </w:pPr>
      <w:rPr>
        <w:rFonts w:ascii="Symbol" w:hAnsi="Symbol"/>
      </w:rPr>
    </w:lvl>
    <w:lvl w:ilvl="4" w:tplc="5034C80C">
      <w:start w:val="1"/>
      <w:numFmt w:val="bullet"/>
      <w:suff w:val="tab"/>
      <w:lvlText w:val="o"/>
      <w:lvlJc w:val="left"/>
      <w:pPr>
        <w:ind w:hanging="360" w:left="3957"/>
      </w:pPr>
      <w:rPr>
        <w:rFonts w:ascii="Courier New" w:hAnsi="Courier New"/>
      </w:rPr>
    </w:lvl>
    <w:lvl w:ilvl="5" w:tplc="385C1837">
      <w:start w:val="1"/>
      <w:numFmt w:val="bullet"/>
      <w:suff w:val="tab"/>
      <w:lvlText w:val=""/>
      <w:lvlJc w:val="left"/>
      <w:pPr>
        <w:ind w:hanging="360" w:left="4677"/>
      </w:pPr>
      <w:rPr>
        <w:rFonts w:ascii="Wingdings" w:hAnsi="Wingdings"/>
      </w:rPr>
    </w:lvl>
    <w:lvl w:ilvl="6" w:tplc="2DC9C724">
      <w:start w:val="1"/>
      <w:numFmt w:val="bullet"/>
      <w:suff w:val="tab"/>
      <w:lvlText w:val=""/>
      <w:lvlJc w:val="left"/>
      <w:pPr>
        <w:ind w:hanging="360" w:left="5397"/>
      </w:pPr>
      <w:rPr>
        <w:rFonts w:ascii="Symbol" w:hAnsi="Symbol"/>
      </w:rPr>
    </w:lvl>
    <w:lvl w:ilvl="7" w:tplc="4A84B7ED">
      <w:start w:val="1"/>
      <w:numFmt w:val="bullet"/>
      <w:suff w:val="tab"/>
      <w:lvlText w:val="o"/>
      <w:lvlJc w:val="left"/>
      <w:pPr>
        <w:ind w:hanging="360" w:left="6117"/>
      </w:pPr>
      <w:rPr>
        <w:rFonts w:ascii="Courier New" w:hAnsi="Courier New"/>
      </w:rPr>
    </w:lvl>
    <w:lvl w:ilvl="8" w:tplc="70F981E4">
      <w:start w:val="1"/>
      <w:numFmt w:val="bullet"/>
      <w:suff w:val="tab"/>
      <w:lvlText w:val=""/>
      <w:lvlJc w:val="left"/>
      <w:pPr>
        <w:ind w:hanging="360" w:left="6837"/>
      </w:pPr>
      <w:rPr>
        <w:rFonts w:ascii="Wingdings" w:hAnsi="Wingdings"/>
      </w:rPr>
    </w:lvl>
  </w:abstractNum>
  <w:abstractNum w:abstractNumId="45">
    <w:nsid w:val="7C4A74AE"/>
    <w:multiLevelType w:val="hybridMultilevel"/>
    <w:lvl w:ilvl="0" w:tplc="3E0B7A69">
      <w:start w:val="1"/>
      <w:numFmt w:val="bullet"/>
      <w:suff w:val="tab"/>
      <w:lvlText w:val=""/>
      <w:lvlJc w:val="left"/>
      <w:pPr>
        <w:ind w:hanging="227" w:left="1134"/>
        <w:tabs>
          <w:tab w:val="left" w:pos="1134" w:leader="none"/>
        </w:tabs>
      </w:pPr>
      <w:rPr>
        <w:rFonts w:ascii="Symbol" w:hAnsi="Symbol"/>
      </w:rPr>
    </w:lvl>
    <w:lvl w:ilvl="1" w:tplc="7CA49978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47204D0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68C216A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A04DF91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27385B4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48F5C91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6E29A8A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1FAB09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13"/>
  </w:num>
  <w:num w:numId="2">
    <w:abstractNumId w:val="7"/>
  </w:num>
  <w:num w:numId="3">
    <w:abstractNumId w:val="19"/>
  </w:num>
  <w:num w:numId="4">
    <w:abstractNumId w:val="25"/>
  </w:num>
  <w:num w:numId="5">
    <w:abstractNumId w:val="14"/>
  </w:num>
  <w:num w:numId="6">
    <w:abstractNumId w:val="43"/>
  </w:num>
  <w:num w:numId="7">
    <w:abstractNumId w:val="36"/>
  </w:num>
  <w:num w:numId="8">
    <w:abstractNumId w:val="42"/>
  </w:num>
  <w:num w:numId="9">
    <w:abstractNumId w:val="34"/>
  </w:num>
  <w:num w:numId="10">
    <w:abstractNumId w:val="22"/>
  </w:num>
  <w:num w:numId="11">
    <w:abstractNumId w:val="18"/>
  </w:num>
  <w:num w:numId="12">
    <w:abstractNumId w:val="10"/>
  </w:num>
  <w:num w:numId="13">
    <w:abstractNumId w:val="29"/>
  </w:num>
  <w:num w:numId="14">
    <w:abstractNumId w:val="12"/>
  </w:num>
  <w:num w:numId="15">
    <w:abstractNumId w:val="33"/>
  </w:num>
  <w:num w:numId="16">
    <w:abstractNumId w:val="15"/>
  </w:num>
  <w:num w:numId="17">
    <w:abstractNumId w:val="21"/>
  </w:num>
  <w:num w:numId="18">
    <w:abstractNumId w:val="40"/>
  </w:num>
  <w:num w:numId="19">
    <w:abstractNumId w:val="23"/>
  </w:num>
  <w:num w:numId="20">
    <w:abstractNumId w:val="35"/>
  </w:num>
  <w:num w:numId="21">
    <w:abstractNumId w:val="16"/>
  </w:num>
  <w:num w:numId="22">
    <w:abstractNumId w:val="2"/>
  </w:num>
  <w:num w:numId="23">
    <w:abstractNumId w:val="41"/>
  </w:num>
  <w:num w:numId="24">
    <w:abstractNumId w:val="37"/>
  </w:num>
  <w:num w:numId="25">
    <w:abstractNumId w:val="3"/>
  </w:num>
  <w:num w:numId="26">
    <w:abstractNumId w:val="1"/>
  </w:num>
  <w:num w:numId="27">
    <w:abstractNumId w:val="38"/>
  </w:num>
  <w:num w:numId="28">
    <w:abstractNumId w:val="24"/>
  </w:num>
  <w:num w:numId="29">
    <w:abstractNumId w:val="39"/>
  </w:num>
  <w:num w:numId="30">
    <w:abstractNumId w:val="17"/>
  </w:num>
  <w:num w:numId="31">
    <w:abstractNumId w:val="11"/>
  </w:num>
  <w:num w:numId="32">
    <w:abstractNumId w:val="8"/>
  </w:num>
  <w:num w:numId="33">
    <w:abstractNumId w:val="9"/>
  </w:num>
  <w:num w:numId="34">
    <w:abstractNumId w:val="28"/>
  </w:num>
  <w:num w:numId="35">
    <w:abstractNumId w:val="30"/>
  </w:num>
  <w:num w:numId="36">
    <w:abstractNumId w:val="32"/>
  </w:num>
  <w:num w:numId="37">
    <w:abstractNumId w:val="31"/>
  </w:num>
  <w:num w:numId="38">
    <w:abstractNumId w:val="45"/>
  </w:num>
  <w:num w:numId="39">
    <w:abstractNumId w:val="27"/>
  </w:num>
  <w:num w:numId="40">
    <w:abstractNumId w:val="0"/>
  </w:num>
  <w:num w:numId="41">
    <w:abstractNumId w:val="26"/>
  </w:num>
  <w:num w:numId="42">
    <w:abstractNumId w:val="5"/>
  </w:num>
  <w:num w:numId="43">
    <w:abstractNumId w:val="4"/>
  </w:num>
  <w:num w:numId="44">
    <w:abstractNumId w:val="20"/>
  </w:num>
  <w:num w:numId="45">
    <w:abstractNumId w:val="6"/>
  </w:num>
  <w:num w:numId="46">
    <w:abstractNumId w:val="12"/>
    <w:lvlOverride w:ilvl="0">
      <w:startOverride w:val="1"/>
    </w:lvlOverride>
  </w:num>
  <w:num w:numId="47">
    <w:abstractNumId w:val="12"/>
    <w:lvlOverride w:ilvl="0">
      <w:startOverride w:val="1"/>
    </w:lvlOverride>
  </w:num>
  <w:num w:numId="48">
    <w:abstractNumId w:val="44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rFonts w:ascii="Arial" w:hAnsi="Arial"/>
      <w:sz w:val="20"/>
    </w:rPr>
  </w:style>
  <w:style w:type="paragraph" w:styleId="P1">
    <w:name w:val="Default"/>
    <w:next w:val="P1"/>
    <w:pPr/>
    <w:rPr>
      <w:rFonts w:ascii="Arial" w:hAnsi="Arial"/>
      <w:color w:val="000000"/>
    </w:rPr>
  </w:style>
  <w:style w:type="paragraph" w:styleId="P2">
    <w:name w:val="Heading 1"/>
    <w:basedOn w:val="P0"/>
    <w:next w:val="P0"/>
    <w:qFormat/>
    <w:pPr>
      <w:keepNext w:val="1"/>
      <w:spacing w:before="240" w:after="60"/>
      <w:outlineLvl w:val="0"/>
    </w:pPr>
    <w:rPr>
      <w:rFonts w:ascii="Arial" w:hAnsi="Arial"/>
      <w:b w:val="1"/>
      <w:sz w:val="32"/>
    </w:rPr>
  </w:style>
  <w:style w:type="paragraph" w:styleId="P3">
    <w:name w:val="Heading 2"/>
    <w:basedOn w:val="P0"/>
    <w:next w:val="P0"/>
    <w:qFormat/>
    <w:pPr>
      <w:keepNext w:val="1"/>
      <w:spacing w:before="240" w:after="60"/>
      <w:outlineLvl w:val="1"/>
    </w:pPr>
    <w:rPr>
      <w:rFonts w:ascii="Arial" w:hAnsi="Arial"/>
      <w:b w:val="1"/>
      <w:i w:val="1"/>
      <w:sz w:val="28"/>
    </w:rPr>
  </w:style>
  <w:style w:type="paragraph" w:styleId="P4">
    <w:name w:val="Heading 3"/>
    <w:basedOn w:val="P0"/>
    <w:next w:val="P0"/>
    <w:qFormat/>
    <w:pPr>
      <w:keepNext w:val="1"/>
      <w:spacing w:before="240" w:after="60"/>
      <w:outlineLvl w:val="2"/>
    </w:pPr>
    <w:rPr>
      <w:rFonts w:ascii="Arial" w:hAnsi="Arial"/>
      <w:b w:val="1"/>
      <w:sz w:val="26"/>
    </w:rPr>
  </w:style>
  <w:style w:type="paragraph" w:styleId="P5">
    <w:name w:val="Body Text Indent"/>
    <w:basedOn w:val="P0"/>
    <w:next w:val="P5"/>
    <w:link w:val="C3"/>
    <w:pPr>
      <w:ind w:firstLine="360"/>
      <w:jc w:val="both"/>
    </w:pPr>
    <w:rPr>
      <w:rFonts w:ascii="Arial" w:hAnsi="Arial"/>
      <w:sz w:val="20"/>
    </w:rPr>
  </w:style>
  <w:style w:type="paragraph" w:styleId="P6">
    <w:name w:val="Footer"/>
    <w:basedOn w:val="P0"/>
    <w:next w:val="P6"/>
    <w:link w:val="C6"/>
    <w:pPr>
      <w:tabs>
        <w:tab w:val="center" w:pos="4320" w:leader="none"/>
        <w:tab w:val="right" w:pos="8640" w:leader="none"/>
      </w:tabs>
    </w:pPr>
    <w:rPr/>
  </w:style>
  <w:style w:type="paragraph" w:styleId="P7">
    <w:name w:val="Pasus"/>
    <w:basedOn w:val="P0"/>
    <w:next w:val="P7"/>
    <w:link w:val="C4"/>
    <w:pPr>
      <w:ind w:firstLine="567" w:left="284"/>
      <w:jc w:val="both"/>
    </w:pPr>
    <w:rPr>
      <w:rFonts w:ascii="Arial" w:hAnsi="Arial"/>
      <w:sz w:val="20"/>
    </w:rPr>
  </w:style>
  <w:style w:type="paragraph" w:styleId="P8">
    <w:name w:val="Header"/>
    <w:basedOn w:val="P0"/>
    <w:next w:val="P8"/>
    <w:pPr>
      <w:tabs>
        <w:tab w:val="center" w:pos="4320" w:leader="none"/>
        <w:tab w:val="right" w:pos="8640" w:leader="none"/>
      </w:tabs>
      <w:spacing w:before="120"/>
      <w:jc w:val="right"/>
    </w:pPr>
    <w:rPr/>
  </w:style>
  <w:style w:type="paragraph" w:styleId="P9">
    <w:name w:val="Caption"/>
    <w:basedOn w:val="P0"/>
    <w:next w:val="P0"/>
    <w:qFormat/>
    <w:pPr>
      <w:jc w:val="center"/>
    </w:pPr>
    <w:rPr>
      <w:b w:val="1"/>
      <w:sz w:val="28"/>
    </w:rPr>
  </w:style>
  <w:style w:type="paragraph" w:styleId="P10">
    <w:name w:val="blista"/>
    <w:basedOn w:val="P0"/>
    <w:next w:val="P10"/>
    <w:pPr>
      <w:numPr>
        <w:numId w:val="36"/>
      </w:numPr>
      <w:jc w:val="both"/>
    </w:pPr>
    <w:rPr>
      <w:rFonts w:ascii="Arial" w:hAnsi="Arial"/>
      <w:sz w:val="20"/>
    </w:rPr>
  </w:style>
  <w:style w:type="paragraph" w:styleId="P11">
    <w:name w:val="Comment Text"/>
    <w:basedOn w:val="P0"/>
    <w:next w:val="P11"/>
    <w:pPr/>
    <w:rPr>
      <w:rFonts w:ascii="Times New Roman" w:hAnsi="Times New Roman"/>
    </w:rPr>
  </w:style>
  <w:style w:type="paragraph" w:styleId="P12">
    <w:name w:val="Body Text"/>
    <w:basedOn w:val="P0"/>
    <w:next w:val="P12"/>
    <w:pPr>
      <w:spacing w:after="120"/>
    </w:pPr>
    <w:rPr/>
  </w:style>
  <w:style w:type="paragraph" w:styleId="P13">
    <w:name w:val="Balloon Text"/>
    <w:basedOn w:val="P0"/>
    <w:next w:val="P13"/>
    <w:pPr/>
    <w:rPr>
      <w:rFonts w:ascii="Tahoma" w:hAnsi="Tahoma"/>
      <w:sz w:val="16"/>
    </w:rPr>
  </w:style>
  <w:style w:type="paragraph" w:styleId="P14">
    <w:name w:val="Body Text 2"/>
    <w:basedOn w:val="P0"/>
    <w:next w:val="P14"/>
    <w:pPr>
      <w:jc w:val="center"/>
    </w:pPr>
    <w:rPr>
      <w:rFonts w:ascii="Times New Roman" w:hAnsi="Times New Roman"/>
      <w:b w:val="1"/>
      <w:sz w:val="24"/>
    </w:rPr>
  </w:style>
  <w:style w:type="paragraph" w:styleId="P15">
    <w:name w:val="Naslov1"/>
    <w:basedOn w:val="P2"/>
    <w:next w:val="P15"/>
    <w:pPr>
      <w:pBdr>
        <w:top w:val="single" w:sz="12" w:space="0" w:shadow="0" w:frame="0" w:color="00CCFF"/>
        <w:left w:val="single" w:sz="12" w:space="0" w:shadow="0" w:frame="0" w:color="00CCFF"/>
        <w:bottom w:val="single" w:sz="12" w:space="0" w:shadow="0" w:frame="0" w:color="00CCFF"/>
        <w:right w:val="single" w:sz="12" w:space="0" w:shadow="0" w:frame="0" w:color="00CCFF"/>
      </w:pBdr>
      <w:tabs>
        <w:tab w:val="left" w:pos="2451" w:leader="none"/>
      </w:tabs>
      <w:spacing w:before="0" w:after="480"/>
      <w:jc w:val="center"/>
    </w:pPr>
    <w:rPr>
      <w:b w:val="0"/>
      <w:caps w:val="1"/>
    </w:rPr>
  </w:style>
  <w:style w:type="paragraph" w:styleId="P16">
    <w:name w:val="Naslov2"/>
    <w:basedOn w:val="P3"/>
    <w:next w:val="P16"/>
    <w:pPr>
      <w:pBdr>
        <w:bottom w:val="single" w:sz="12" w:space="0" w:shadow="0" w:frame="0" w:color="00CCFF"/>
      </w:pBdr>
      <w:spacing w:before="360" w:after="240"/>
    </w:pPr>
    <w:rPr>
      <w:i w:val="0"/>
      <w:caps w:val="1"/>
      <w:sz w:val="24"/>
    </w:rPr>
  </w:style>
  <w:style w:type="paragraph" w:styleId="P17">
    <w:name w:val="Naslov3"/>
    <w:basedOn w:val="P4"/>
    <w:next w:val="P17"/>
    <w:link w:val="C9"/>
    <w:pPr>
      <w:ind w:left="284"/>
    </w:pPr>
    <w:rPr>
      <w:sz w:val="24"/>
    </w:rPr>
  </w:style>
  <w:style w:type="paragraph" w:styleId="P18">
    <w:name w:val="alista"/>
    <w:basedOn w:val="P7"/>
    <w:next w:val="P18"/>
    <w:link w:val="C8"/>
    <w:pPr>
      <w:numPr>
        <w:numId w:val="14"/>
      </w:numPr>
    </w:pPr>
    <w:rPr/>
  </w:style>
  <w:style w:type="paragraph" w:styleId="P19">
    <w:name w:val="Naslov4"/>
    <w:basedOn w:val="P7"/>
    <w:next w:val="P19"/>
    <w:pPr>
      <w:ind w:hanging="8"/>
    </w:pPr>
    <w:rPr>
      <w:b w:val="1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Body Text Indent Char"/>
    <w:link w:val="P5"/>
    <w:rPr>
      <w:rFonts w:ascii="Arial" w:hAnsi="Arial"/>
      <w:sz w:val="20"/>
    </w:rPr>
  </w:style>
  <w:style w:type="character" w:styleId="C4">
    <w:name w:val="Pasus Char"/>
    <w:link w:val="P7"/>
    <w:rPr>
      <w:rFonts w:ascii="Arial" w:hAnsi="Arial"/>
      <w:sz w:val="20"/>
    </w:rPr>
  </w:style>
  <w:style w:type="character" w:styleId="C5">
    <w:name w:val="long_text1"/>
    <w:rPr>
      <w:sz w:val="20"/>
    </w:rPr>
  </w:style>
  <w:style w:type="character" w:styleId="C6">
    <w:name w:val="Footer Char"/>
    <w:link w:val="P6"/>
    <w:rPr/>
  </w:style>
  <w:style w:type="character" w:styleId="C7">
    <w:name w:val="FollowedHyperlink"/>
    <w:rPr>
      <w:color w:val="800080"/>
      <w:u w:val="single"/>
    </w:rPr>
  </w:style>
  <w:style w:type="character" w:styleId="C8">
    <w:name w:val="alista Char"/>
    <w:link w:val="P18"/>
    <w:rPr/>
  </w:style>
  <w:style w:type="character" w:styleId="C9">
    <w:name w:val="Naslov3 Char"/>
    <w:link w:val="P17"/>
    <w:rPr>
      <w:sz w:val="24"/>
    </w:rPr>
  </w:style>
  <w:style w:type="character" w:styleId="C10">
    <w:name w:val="Emphasis"/>
    <w:qFormat/>
    <w:rPr>
      <w:i w:val="1"/>
    </w:rPr>
  </w:style>
  <w:style w:type="character" w:styleId="C11">
    <w:name w:val="hps"/>
    <w:basedOn w:val="C0"/>
    <w:rPr/>
  </w:style>
  <w:style w:type="character" w:styleId="C12">
    <w:name w:val="hps alt-edited"/>
    <w:basedOn w:val="C0"/>
    <w:rPr/>
  </w:style>
  <w:style w:type="character" w:styleId="C13">
    <w:name w:val="hps atn"/>
    <w:basedOn w:val="C0"/>
    <w:rPr/>
  </w:style>
  <w:style w:type="character" w:styleId="C14">
    <w:name w:val="short_text"/>
    <w:basedOn w:val="C0"/>
    <w:rPr/>
  </w:style>
  <w:style w:type="character" w:styleId="C15">
    <w:name w:val="atn"/>
    <w:basedOn w:val="C0"/>
    <w:rPr/>
  </w:style>
  <w:style w:type="character" w:styleId="C16">
    <w:name w:val="long_text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rPr>
      <w:rFonts w:ascii="Arial" w:hAnsi="Arial"/>
    </w:rPr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Zvonko</dc:creator>
  <dcterms:created xsi:type="dcterms:W3CDTF">2016-05-12T10:41:00Z</dcterms:created>
  <cp:lastModifiedBy>Nikola Kapetanovic</cp:lastModifiedBy>
  <cp:lastPrinted>2010-06-25T10:47:00Z</cp:lastPrinted>
  <dcterms:modified xsi:type="dcterms:W3CDTF">2020-01-10T11:25:16Z</dcterms:modified>
  <cp:revision>9</cp:revision>
  <dc:title>                                         МЕСЕЧНО ИСТРАЖИВАЊЕ О ЦЕНАМА</dc:title>
</cp:coreProperties>
</file>