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B7952C4" Type="http://schemas.openxmlformats.org/officeDocument/2006/relationships/officeDocument" Target="/word/document.xml" /><Relationship Id="coreRB7952C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10296" w:type="dxa"/>
          </w:tcPr>
          <w:p>
            <w:pPr>
              <w:jc w:val="right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25.12.2018.</w:t>
            </w:r>
          </w:p>
          <w:p>
            <w:pPr>
              <w:jc w:val="right"/>
              <w:rPr>
                <w:rFonts w:ascii="Tahoma" w:hAnsi="Tahoma"/>
                <w:sz w:val="22"/>
              </w:rPr>
            </w:pPr>
          </w:p>
          <w:tbl>
            <w:tblPr>
              <w:tblStyle w:val="T2"/>
              <w:tblW w:w="0" w:type="auto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single" w:sz="4" w:space="0" w:shadow="0" w:frame="0"/>
                <w:insideV w:val="single" w:sz="4" w:space="0" w:shadow="0" w:frame="0"/>
              </w:tblBorders>
              <w:tblLayout w:type="autofit"/>
            </w:tblPr>
            <w:tblGrid/>
            <w:tr>
              <w:tc>
                <w:tcPr>
                  <w:tcW w:w="10065" w:type="dxa"/>
                </w:tcPr>
                <w:p>
                  <w:pPr>
                    <w:spacing w:before="240" w:after="240"/>
                    <w:jc w:val="center"/>
                    <w:rPr>
                      <w:rFonts w:ascii="Tahoma" w:hAnsi="Tahoma"/>
                      <w:b w:val="1"/>
                      <w:color w:val="333333"/>
                    </w:rPr>
                  </w:pPr>
                  <w:r>
                    <w:rPr>
                      <w:rFonts w:ascii="Tahoma" w:hAnsi="Tahoma"/>
                      <w:b w:val="1"/>
                      <w:color w:val="333333"/>
                      <w:sz w:val="22"/>
                    </w:rPr>
                    <w:t>Сиромаштво и с</w:t>
                  </w:r>
                  <w:r>
                    <w:rPr>
                      <w:rFonts w:ascii="Tahoma" w:hAnsi="Tahoma"/>
                      <w:b w:val="1"/>
                      <w:color w:val="333333"/>
                      <w:sz w:val="22"/>
                    </w:rPr>
                    <w:t>оцијална</w:t>
                  </w:r>
                  <w:r>
                    <w:rPr>
                      <w:rFonts w:ascii="Tahoma" w:hAnsi="Tahoma"/>
                      <w:b w:val="1"/>
                      <w:color w:val="333333"/>
                      <w:sz w:val="22"/>
                    </w:rPr>
                    <w:t xml:space="preserve"> </w:t>
                  </w:r>
                  <w:r>
                    <w:rPr>
                      <w:rFonts w:ascii="Tahoma" w:hAnsi="Tahoma"/>
                      <w:b w:val="1"/>
                      <w:color w:val="333333"/>
                      <w:sz w:val="22"/>
                    </w:rPr>
                    <w:t>неједнакост</w:t>
                  </w:r>
                  <w:r>
                    <w:rPr>
                      <w:rFonts w:ascii="Tahoma" w:hAnsi="Tahoma"/>
                      <w:b w:val="1"/>
                      <w:color w:val="333333"/>
                      <w:sz w:val="22"/>
                    </w:rPr>
                    <w:t>, 201</w:t>
                  </w:r>
                  <w:r>
                    <w:rPr>
                      <w:rFonts w:ascii="Tahoma" w:hAnsi="Tahoma"/>
                      <w:b w:val="1"/>
                      <w:color w:val="333333"/>
                      <w:sz w:val="22"/>
                    </w:rPr>
                    <w:t>7</w:t>
                  </w:r>
                  <w:r>
                    <w:rPr>
                      <w:rFonts w:ascii="Tahoma" w:hAnsi="Tahoma"/>
                      <w:b w:val="1"/>
                      <w:color w:val="333333"/>
                      <w:sz w:val="22"/>
                    </w:rPr>
                    <w:t>.</w:t>
                  </w:r>
                </w:p>
              </w:tc>
            </w:tr>
          </w:tbl>
          <w:p>
            <w:pPr>
              <w:jc w:val="both"/>
              <w:rPr>
                <w:rFonts w:ascii="Arial" w:hAnsi="Arial"/>
                <w:sz w:val="22"/>
              </w:rPr>
            </w:pPr>
          </w:p>
          <w:p>
            <w:pPr>
              <w:pStyle w:val="P1"/>
              <w:spacing w:lineRule="auto" w:line="228" w:before="120" w:after="1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>Анкета</w:t>
            </w:r>
            <w:r>
              <w:rPr>
                <w:rFonts w:ascii="Arial" w:hAnsi="Arial"/>
                <w:b w:val="1"/>
                <w:sz w:val="20"/>
              </w:rPr>
              <w:t xml:space="preserve"> </w:t>
            </w:r>
            <w:r>
              <w:rPr>
                <w:rFonts w:ascii="Arial" w:hAnsi="Arial"/>
                <w:b w:val="1"/>
                <w:sz w:val="20"/>
              </w:rPr>
              <w:t>о</w:t>
            </w:r>
            <w:r>
              <w:rPr>
                <w:rFonts w:ascii="Arial" w:hAnsi="Arial"/>
                <w:b w:val="1"/>
                <w:sz w:val="20"/>
              </w:rPr>
              <w:t xml:space="preserve"> </w:t>
            </w:r>
            <w:r>
              <w:rPr>
                <w:rFonts w:ascii="Arial" w:hAnsi="Arial"/>
                <w:b w:val="1"/>
                <w:sz w:val="20"/>
              </w:rPr>
              <w:t>приходима</w:t>
            </w:r>
            <w:r>
              <w:rPr>
                <w:rFonts w:ascii="Arial" w:hAnsi="Arial"/>
                <w:b w:val="1"/>
                <w:sz w:val="20"/>
              </w:rPr>
              <w:t xml:space="preserve"> </w:t>
            </w:r>
            <w:r>
              <w:rPr>
                <w:rFonts w:ascii="Arial" w:hAnsi="Arial"/>
                <w:b w:val="1"/>
                <w:sz w:val="20"/>
              </w:rPr>
              <w:t>и</w:t>
            </w:r>
            <w:r>
              <w:rPr>
                <w:rFonts w:ascii="Arial" w:hAnsi="Arial"/>
                <w:b w:val="1"/>
                <w:sz w:val="20"/>
              </w:rPr>
              <w:t xml:space="preserve"> </w:t>
            </w:r>
            <w:r>
              <w:rPr>
                <w:rFonts w:ascii="Arial" w:hAnsi="Arial"/>
                <w:b w:val="1"/>
                <w:sz w:val="20"/>
              </w:rPr>
              <w:t>условима</w:t>
            </w:r>
            <w:r>
              <w:rPr>
                <w:rFonts w:ascii="Arial" w:hAnsi="Arial"/>
                <w:b w:val="1"/>
                <w:sz w:val="20"/>
              </w:rPr>
              <w:t xml:space="preserve"> </w:t>
            </w:r>
            <w:r>
              <w:rPr>
                <w:rFonts w:ascii="Arial" w:hAnsi="Arial"/>
                <w:b w:val="1"/>
                <w:sz w:val="20"/>
              </w:rPr>
              <w:t>живота</w:t>
            </w:r>
            <w:r>
              <w:rPr>
                <w:rFonts w:ascii="Arial" w:hAnsi="Arial"/>
                <w:b w:val="1"/>
                <w:sz w:val="20"/>
              </w:rPr>
              <w:t xml:space="preserve"> </w:t>
            </w:r>
            <w:r>
              <w:rPr>
                <w:rFonts w:ascii="Arial" w:hAnsi="Arial"/>
                <w:b w:val="1"/>
                <w:sz w:val="20"/>
              </w:rPr>
              <w:t>(The Survey on Income and Living Conditions – SILC)</w:t>
            </w:r>
            <w:r>
              <w:rPr>
                <w:rFonts w:ascii="Arial" w:hAnsi="Arial"/>
                <w:sz w:val="20"/>
              </w:rPr>
              <w:t xml:space="preserve"> у 2017. години спроведена је по пети пут. </w:t>
            </w:r>
          </w:p>
          <w:p>
            <w:pPr>
              <w:pStyle w:val="P1"/>
              <w:spacing w:lineRule="auto" w:line="228" w:before="120" w:after="1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>Циљ</w:t>
            </w:r>
            <w:r>
              <w:rPr>
                <w:rFonts w:ascii="Arial" w:hAnsi="Arial"/>
                <w:sz w:val="20"/>
              </w:rPr>
              <w:t xml:space="preserve"> овог истраживања</w:t>
            </w:r>
            <w:r>
              <w:rPr>
                <w:rFonts w:ascii="Arial" w:hAnsi="Arial"/>
                <w:b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је да се прикупе подаци на основу којих се израчунавају индикатори сиромаштва, социјалне искључености и услова живота. Истраживање се спроводи једном годишње, по стандардизованој методологији, која се примењује у свим државама чланицама Европске уније. </w:t>
            </w:r>
          </w:p>
          <w:p>
            <w:pPr>
              <w:pStyle w:val="P1"/>
              <w:spacing w:lineRule="auto" w:line="228" w:before="120" w:after="1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Подаци за 2014, 2015. и 2016. годину ревидирани су, због примене иновативних метода у обради података, који су допринели побољшању квалитета израчунатих индикатора.</w:t>
            </w:r>
          </w:p>
          <w:p>
            <w:pPr>
              <w:pStyle w:val="P1"/>
              <w:jc w:val="both"/>
              <w:rPr>
                <w:rFonts w:ascii="Tahoma" w:hAnsi="Tahoma"/>
                <w:sz w:val="20"/>
              </w:rPr>
            </w:pPr>
          </w:p>
          <w:p>
            <w:pPr>
              <w:jc w:val="center"/>
              <w:rPr>
                <w:rFonts w:ascii="Tahoma" w:hAnsi="Tahoma"/>
                <w:b w:val="1"/>
                <w:sz w:val="20"/>
              </w:rPr>
            </w:pPr>
            <w:r>
              <w:rPr>
                <w:rFonts w:ascii="Tahoma" w:hAnsi="Tahoma"/>
                <w:b w:val="1"/>
                <w:sz w:val="20"/>
              </w:rPr>
              <w:t>С</w:t>
            </w:r>
            <w:r>
              <w:rPr>
                <w:rFonts w:ascii="Tahoma" w:hAnsi="Tahoma"/>
                <w:b w:val="1"/>
                <w:sz w:val="20"/>
              </w:rPr>
              <w:t>топа ризика од сиромаштва по годинама,%</w:t>
            </w:r>
          </w:p>
          <w:p>
            <w:pPr>
              <w:rPr>
                <w:rFonts w:ascii="Tahoma" w:hAnsi="Tahoma"/>
                <w:b w:val="1"/>
                <w:sz w:val="16"/>
              </w:rPr>
            </w:pPr>
          </w:p>
          <w:tbl>
            <w:tblPr>
              <w:tblStyle w:val="T2"/>
              <w:tblW w:w="5000" w:type="pct"/>
              <w:jc w:val="center"/>
              <w:tblLayout w:type="autofit"/>
              <w:tblCellMar>
                <w:left w:w="28" w:type="dxa"/>
                <w:right w:w="28" w:type="dxa"/>
              </w:tblCellMar>
            </w:tblPr>
            <w:tblGrid/>
            <w:tr>
              <w:trPr>
                <w:trHeight w:hRule="atLeast" w:val="20"/>
              </w:trPr>
              <w:tc>
                <w:tcPr>
                  <w:tcW w:w="2961" w:type="pct"/>
                  <w:tcBorders>
                    <w:top w:val="single" w:sz="4" w:space="0" w:shadow="0" w:frame="0"/>
                    <w:bottom w:val="single" w:sz="4" w:space="0" w:shadow="0" w:frame="0"/>
                    <w:right w:val="single" w:sz="4" w:space="0" w:shadow="0" w:frame="0"/>
                  </w:tcBorders>
                </w:tcPr>
                <w:p>
                  <w:pPr>
                    <w:spacing w:before="120" w:after="120"/>
                    <w:rPr>
                      <w:rFonts w:ascii="Tahoma" w:hAnsi="Tahoma"/>
                      <w:sz w:val="20"/>
                    </w:rPr>
                  </w:pPr>
                </w:p>
              </w:tc>
              <w:tc>
                <w:tcPr>
                  <w:tcW w:w="510" w:type="pct"/>
                  <w:tcBorders>
                    <w:top w:val="single" w:sz="4" w:space="0" w:shadow="0" w:frame="0"/>
                    <w:left w:val="single" w:sz="4" w:space="0" w:shadow="0" w:frame="0"/>
                    <w:bottom w:val="single" w:sz="4" w:space="0" w:shadow="0" w:frame="0"/>
                  </w:tcBorders>
                </w:tcPr>
                <w:p>
                  <w:pPr>
                    <w:spacing w:before="120" w:after="120"/>
                    <w:jc w:val="center"/>
                    <w:rPr>
                      <w:rFonts w:ascii="Tahoma" w:hAnsi="Tahoma"/>
                      <w:b w:val="1"/>
                      <w:sz w:val="20"/>
                    </w:rPr>
                  </w:pPr>
                  <w:r>
                    <w:rPr>
                      <w:rFonts w:ascii="Tahoma" w:hAnsi="Tahoma"/>
                      <w:b w:val="1"/>
                      <w:sz w:val="20"/>
                    </w:rPr>
                    <w:t>2014</w:t>
                  </w:r>
                </w:p>
              </w:tc>
              <w:tc>
                <w:tcPr>
                  <w:tcW w:w="510" w:type="pct"/>
                  <w:tcBorders>
                    <w:top w:val="single" w:sz="4" w:space="0" w:shadow="0" w:frame="0"/>
                    <w:left w:val="single" w:sz="4" w:space="0" w:shadow="0" w:frame="0"/>
                    <w:bottom w:val="single" w:sz="4" w:space="0" w:shadow="0" w:frame="0"/>
                  </w:tcBorders>
                </w:tcPr>
                <w:p>
                  <w:pPr>
                    <w:spacing w:before="120" w:after="120"/>
                    <w:jc w:val="center"/>
                    <w:rPr>
                      <w:rFonts w:ascii="Tahoma" w:hAnsi="Tahoma"/>
                      <w:b w:val="1"/>
                      <w:sz w:val="20"/>
                    </w:rPr>
                  </w:pPr>
                  <w:r>
                    <w:rPr>
                      <w:rFonts w:ascii="Tahoma" w:hAnsi="Tahoma"/>
                      <w:b w:val="1"/>
                      <w:sz w:val="20"/>
                    </w:rPr>
                    <w:t>2015</w:t>
                  </w:r>
                </w:p>
              </w:tc>
              <w:tc>
                <w:tcPr>
                  <w:tcW w:w="510" w:type="pct"/>
                  <w:tcBorders>
                    <w:top w:val="single" w:sz="4" w:space="0" w:shadow="0" w:frame="0"/>
                    <w:left w:val="single" w:sz="4" w:space="0" w:shadow="0" w:frame="0"/>
                    <w:bottom w:val="single" w:sz="4" w:space="0" w:shadow="0" w:frame="0"/>
                  </w:tcBorders>
                </w:tcPr>
                <w:p>
                  <w:pPr>
                    <w:spacing w:before="120" w:after="120"/>
                    <w:jc w:val="center"/>
                    <w:rPr>
                      <w:rFonts w:ascii="Tahoma" w:hAnsi="Tahoma"/>
                      <w:b w:val="1"/>
                      <w:sz w:val="20"/>
                    </w:rPr>
                  </w:pPr>
                  <w:r>
                    <w:rPr>
                      <w:rFonts w:ascii="Tahoma" w:hAnsi="Tahoma"/>
                      <w:b w:val="1"/>
                      <w:sz w:val="20"/>
                    </w:rPr>
                    <w:t>2016</w:t>
                  </w:r>
                </w:p>
              </w:tc>
              <w:tc>
                <w:tcPr>
                  <w:tcW w:w="509" w:type="pct"/>
                  <w:tcBorders>
                    <w:top w:val="single" w:sz="4" w:space="0" w:shadow="0" w:frame="0"/>
                    <w:left w:val="single" w:sz="4" w:space="0" w:shadow="0" w:frame="0"/>
                    <w:bottom w:val="single" w:sz="4" w:space="0" w:shadow="0" w:frame="0"/>
                  </w:tcBorders>
                </w:tcPr>
                <w:p>
                  <w:pPr>
                    <w:spacing w:before="120" w:after="120"/>
                    <w:jc w:val="center"/>
                    <w:rPr>
                      <w:rFonts w:ascii="Tahoma" w:hAnsi="Tahoma"/>
                      <w:b w:val="1"/>
                      <w:sz w:val="20"/>
                    </w:rPr>
                  </w:pPr>
                  <w:r>
                    <w:rPr>
                      <w:rFonts w:ascii="Tahoma" w:hAnsi="Tahoma"/>
                      <w:b w:val="1"/>
                      <w:sz w:val="20"/>
                    </w:rPr>
                    <w:t>2017</w:t>
                  </w:r>
                </w:p>
              </w:tc>
            </w:tr>
            <w:tr>
              <w:trPr>
                <w:trHeight w:hRule="atLeast" w:val="284"/>
              </w:trPr>
              <w:tc>
                <w:tcPr>
                  <w:tcW w:w="2961" w:type="pct"/>
                  <w:tcBorders>
                    <w:top w:val="single" w:sz="4" w:space="0" w:shadow="0" w:frame="0"/>
                    <w:right w:val="single" w:sz="4" w:space="0" w:shadow="0" w:frame="0"/>
                  </w:tcBorders>
                  <w:shd w:val="nil" w:color="auto" w:fill="auto"/>
                  <w:vAlign w:val="center"/>
                </w:tcPr>
                <w:p>
                  <w:pPr>
                    <w:spacing w:before="60" w:after="60"/>
                    <w:rPr>
                      <w:rFonts w:ascii="Tahoma" w:hAnsi="Tahoma"/>
                      <w:sz w:val="20"/>
                    </w:rPr>
                  </w:pPr>
                  <w:r>
                    <w:rPr>
                      <w:rFonts w:ascii="Tahoma" w:hAnsi="Tahoma"/>
                      <w:sz w:val="20"/>
                    </w:rPr>
                    <w:t xml:space="preserve"> Стопа ризика од сиромаштва</w:t>
                  </w:r>
                </w:p>
              </w:tc>
              <w:tc>
                <w:tcPr>
                  <w:tcW w:w="510" w:type="pct"/>
                  <w:tcBorders>
                    <w:top w:val="single" w:sz="4" w:space="0" w:shadow="0" w:frame="0"/>
                    <w:left w:val="none" w:sz="0" w:space="0" w:shadow="0" w:frame="0"/>
                  </w:tcBorders>
                  <w:vAlign w:val="center"/>
                </w:tcPr>
                <w:p>
                  <w:pPr>
                    <w:spacing w:before="60" w:after="60"/>
                    <w:ind w:right="227"/>
                    <w:jc w:val="right"/>
                    <w:rPr>
                      <w:rFonts w:ascii="Tahoma" w:hAnsi="Tahoma"/>
                      <w:sz w:val="20"/>
                    </w:rPr>
                  </w:pPr>
                  <w:r>
                    <w:rPr>
                      <w:rFonts w:ascii="Tahoma" w:hAnsi="Tahoma"/>
                      <w:color w:val="000000"/>
                      <w:sz w:val="20"/>
                    </w:rPr>
                    <w:t>25,0</w:t>
                  </w:r>
                </w:p>
              </w:tc>
              <w:tc>
                <w:tcPr>
                  <w:tcW w:w="510" w:type="pct"/>
                  <w:tcBorders>
                    <w:top w:val="single" w:sz="4" w:space="0" w:shadow="0" w:frame="0"/>
                  </w:tcBorders>
                  <w:vAlign w:val="center"/>
                </w:tcPr>
                <w:p>
                  <w:pPr>
                    <w:spacing w:before="60" w:after="60"/>
                    <w:ind w:right="227"/>
                    <w:jc w:val="right"/>
                    <w:rPr>
                      <w:rFonts w:ascii="Tahoma" w:hAnsi="Tahoma"/>
                      <w:sz w:val="20"/>
                    </w:rPr>
                  </w:pPr>
                  <w:r>
                    <w:rPr>
                      <w:rFonts w:ascii="Tahoma" w:hAnsi="Tahoma"/>
                      <w:color w:val="000000"/>
                      <w:sz w:val="20"/>
                    </w:rPr>
                    <w:t>26,7</w:t>
                  </w:r>
                </w:p>
              </w:tc>
              <w:tc>
                <w:tcPr>
                  <w:tcW w:w="510" w:type="pct"/>
                  <w:tcBorders>
                    <w:top w:val="single" w:sz="4" w:space="0" w:shadow="0" w:frame="0"/>
                  </w:tcBorders>
                  <w:vAlign w:val="center"/>
                </w:tcPr>
                <w:p>
                  <w:pPr>
                    <w:spacing w:before="60" w:after="60"/>
                    <w:ind w:right="227"/>
                    <w:jc w:val="right"/>
                    <w:rPr>
                      <w:rFonts w:ascii="Tahoma" w:hAnsi="Tahoma"/>
                      <w:sz w:val="20"/>
                    </w:rPr>
                  </w:pPr>
                  <w:r>
                    <w:rPr>
                      <w:rFonts w:ascii="Tahoma" w:hAnsi="Tahoma"/>
                      <w:color w:val="000000"/>
                      <w:sz w:val="20"/>
                    </w:rPr>
                    <w:t>25,9</w:t>
                  </w:r>
                </w:p>
              </w:tc>
              <w:tc>
                <w:tcPr>
                  <w:tcW w:w="509" w:type="pct"/>
                  <w:tcBorders>
                    <w:top w:val="single" w:sz="4" w:space="0" w:shadow="0" w:frame="0"/>
                  </w:tcBorders>
                  <w:vAlign w:val="center"/>
                </w:tcPr>
                <w:p>
                  <w:pPr>
                    <w:spacing w:before="60" w:after="60"/>
                    <w:ind w:right="227"/>
                    <w:jc w:val="right"/>
                    <w:rPr>
                      <w:rFonts w:ascii="Tahoma" w:hAnsi="Tahoma"/>
                      <w:sz w:val="20"/>
                    </w:rPr>
                  </w:pPr>
                  <w:r>
                    <w:rPr>
                      <w:rFonts w:ascii="Tahoma" w:hAnsi="Tahoma"/>
                      <w:color w:val="000000"/>
                      <w:sz w:val="20"/>
                    </w:rPr>
                    <w:t>25,7</w:t>
                  </w:r>
                </w:p>
              </w:tc>
            </w:tr>
            <w:tr>
              <w:trPr>
                <w:trHeight w:hRule="atLeast" w:val="284"/>
              </w:trPr>
              <w:tc>
                <w:tcPr>
                  <w:tcW w:w="2961" w:type="pct"/>
                  <w:tcBorders>
                    <w:bottom w:val="single" w:sz="2" w:space="0" w:shadow="0" w:frame="0"/>
                    <w:right w:val="single" w:sz="4" w:space="0" w:shadow="0" w:frame="0"/>
                  </w:tcBorders>
                  <w:shd w:val="nil" w:color="auto" w:fill="auto"/>
                  <w:vAlign w:val="center"/>
                </w:tcPr>
                <w:p>
                  <w:pPr>
                    <w:spacing w:before="60" w:after="60"/>
                    <w:rPr>
                      <w:rFonts w:ascii="Tahoma" w:hAnsi="Tahoma"/>
                      <w:sz w:val="20"/>
                    </w:rPr>
                  </w:pPr>
                  <w:r>
                    <w:rPr>
                      <w:rFonts w:ascii="Tahoma" w:hAnsi="Tahoma"/>
                      <w:sz w:val="20"/>
                    </w:rPr>
                    <w:t xml:space="preserve"> Стопа ризика од сиромаштва или социјалне искључености</w:t>
                  </w:r>
                </w:p>
              </w:tc>
              <w:tc>
                <w:tcPr>
                  <w:tcW w:w="510" w:type="pct"/>
                  <w:tcBorders>
                    <w:top w:val="none" w:sz="0" w:space="0" w:shadow="0" w:frame="0"/>
                    <w:left w:val="none" w:sz="0" w:space="0" w:shadow="0" w:frame="0"/>
                    <w:bottom w:val="single" w:sz="2" w:space="0" w:shadow="0" w:frame="0"/>
                  </w:tcBorders>
                  <w:vAlign w:val="center"/>
                </w:tcPr>
                <w:p>
                  <w:pPr>
                    <w:spacing w:before="60" w:after="60"/>
                    <w:ind w:right="227"/>
                    <w:jc w:val="right"/>
                    <w:rPr>
                      <w:rFonts w:ascii="Tahoma" w:hAnsi="Tahoma"/>
                      <w:color w:val="000000"/>
                      <w:sz w:val="20"/>
                    </w:rPr>
                  </w:pPr>
                  <w:r>
                    <w:rPr>
                      <w:rFonts w:ascii="Tahoma" w:hAnsi="Tahoma"/>
                      <w:color w:val="000000"/>
                      <w:sz w:val="20"/>
                    </w:rPr>
                    <w:t>42,6</w:t>
                  </w:r>
                </w:p>
              </w:tc>
              <w:tc>
                <w:tcPr>
                  <w:tcW w:w="510" w:type="pct"/>
                  <w:tcBorders>
                    <w:top w:val="none" w:sz="0" w:space="0" w:shadow="0" w:frame="0"/>
                    <w:bottom w:val="single" w:sz="2" w:space="0" w:shadow="0" w:frame="0"/>
                  </w:tcBorders>
                  <w:vAlign w:val="center"/>
                </w:tcPr>
                <w:p>
                  <w:pPr>
                    <w:spacing w:before="60" w:after="60"/>
                    <w:ind w:right="227"/>
                    <w:jc w:val="right"/>
                    <w:rPr>
                      <w:rFonts w:ascii="Tahoma" w:hAnsi="Tahoma"/>
                      <w:color w:val="000000"/>
                      <w:sz w:val="20"/>
                    </w:rPr>
                  </w:pPr>
                  <w:r>
                    <w:rPr>
                      <w:rFonts w:ascii="Tahoma" w:hAnsi="Tahoma"/>
                      <w:color w:val="000000"/>
                      <w:sz w:val="20"/>
                    </w:rPr>
                    <w:t>41,7</w:t>
                  </w:r>
                </w:p>
              </w:tc>
              <w:tc>
                <w:tcPr>
                  <w:tcW w:w="510" w:type="pct"/>
                  <w:tcBorders>
                    <w:top w:val="none" w:sz="0" w:space="0" w:shadow="0" w:frame="0"/>
                    <w:bottom w:val="single" w:sz="2" w:space="0" w:shadow="0" w:frame="0"/>
                  </w:tcBorders>
                  <w:vAlign w:val="center"/>
                </w:tcPr>
                <w:p>
                  <w:pPr>
                    <w:spacing w:before="60" w:after="60"/>
                    <w:ind w:right="227"/>
                    <w:jc w:val="right"/>
                    <w:rPr>
                      <w:rFonts w:ascii="Tahoma" w:hAnsi="Tahoma"/>
                      <w:color w:val="000000"/>
                      <w:sz w:val="20"/>
                    </w:rPr>
                  </w:pPr>
                  <w:r>
                    <w:rPr>
                      <w:rFonts w:ascii="Tahoma" w:hAnsi="Tahoma"/>
                      <w:color w:val="000000"/>
                      <w:sz w:val="20"/>
                    </w:rPr>
                    <w:t>38,5</w:t>
                  </w:r>
                </w:p>
              </w:tc>
              <w:tc>
                <w:tcPr>
                  <w:tcW w:w="509" w:type="pct"/>
                  <w:tcBorders>
                    <w:top w:val="none" w:sz="0" w:space="0" w:shadow="0" w:frame="0"/>
                    <w:bottom w:val="single" w:sz="2" w:space="0" w:shadow="0" w:frame="0"/>
                  </w:tcBorders>
                  <w:vAlign w:val="center"/>
                </w:tcPr>
                <w:p>
                  <w:pPr>
                    <w:spacing w:before="60" w:after="60"/>
                    <w:ind w:right="227"/>
                    <w:jc w:val="right"/>
                    <w:rPr>
                      <w:rFonts w:ascii="Tahoma" w:hAnsi="Tahoma"/>
                      <w:color w:val="000000"/>
                      <w:sz w:val="20"/>
                    </w:rPr>
                  </w:pPr>
                  <w:r>
                    <w:rPr>
                      <w:rFonts w:ascii="Tahoma" w:hAnsi="Tahoma"/>
                      <w:color w:val="000000"/>
                      <w:sz w:val="20"/>
                    </w:rPr>
                    <w:t>36,7</w:t>
                  </w:r>
                </w:p>
              </w:tc>
            </w:tr>
          </w:tbl>
          <w:p>
            <w:pPr>
              <w:pStyle w:val="P1"/>
              <w:jc w:val="both"/>
              <w:rPr>
                <w:rFonts w:ascii="Tahoma" w:hAnsi="Tahoma"/>
                <w:b w:val="1"/>
                <w:sz w:val="20"/>
              </w:rPr>
            </w:pPr>
          </w:p>
          <w:p>
            <w:pPr>
              <w:pStyle w:val="P1"/>
              <w:spacing w:lineRule="auto" w:line="228" w:before="120" w:after="1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>С</w:t>
            </w:r>
            <w:r>
              <w:rPr>
                <w:rFonts w:ascii="Arial" w:hAnsi="Arial"/>
                <w:b w:val="1"/>
                <w:sz w:val="20"/>
              </w:rPr>
              <w:t xml:space="preserve">топа ризика од сиромаштва </w:t>
            </w:r>
            <w:r>
              <w:rPr>
                <w:rFonts w:ascii="Arial" w:hAnsi="Arial"/>
                <w:sz w:val="20"/>
              </w:rPr>
              <w:t xml:space="preserve">(ова лица нису нужно сиромашна, већ само имају већи ризик да то буду) у 2017. години износила је 25,7%. </w:t>
            </w:r>
            <w:r>
              <w:rPr>
                <w:rFonts w:ascii="Arial" w:hAnsi="Arial"/>
                <w:b w:val="1"/>
                <w:sz w:val="20"/>
              </w:rPr>
              <w:t>Стопа ризика од сиромаштва или социјалне искључености</w:t>
            </w:r>
            <w:r>
              <w:rPr>
                <w:rFonts w:ascii="Arial" w:hAnsi="Arial"/>
                <w:sz w:val="20"/>
              </w:rPr>
              <w:t xml:space="preserve"> (ова лица су у ризику од сиромаштва или су изразито материјално ускраћена или живе у домаћинствима веома ниског интезитета рада) износила је 36,7%.</w:t>
            </w:r>
          </w:p>
          <w:p>
            <w:pPr>
              <w:spacing w:lineRule="auto" w:line="228" w:before="120" w:after="1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Посматрано </w:t>
            </w:r>
            <w:r>
              <w:rPr>
                <w:rFonts w:ascii="Arial" w:hAnsi="Arial"/>
                <w:b w:val="1"/>
                <w:sz w:val="20"/>
              </w:rPr>
              <w:t>према старости</w:t>
            </w:r>
            <w:r>
              <w:rPr>
                <w:rFonts w:ascii="Arial" w:hAnsi="Arial"/>
                <w:sz w:val="20"/>
              </w:rPr>
              <w:t>, лица млађа од 18 година</w:t>
            </w:r>
            <w:r>
              <w:rPr>
                <w:rFonts w:ascii="Arial" w:hAnsi="Arial"/>
                <w:b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највише су била изложена ризику од сиромаштва (30,5</w:t>
            </w:r>
            <w:r>
              <w:rPr>
                <w:rFonts w:ascii="Arial" w:hAnsi="Arial"/>
                <w:b w:val="1"/>
                <w:sz w:val="20"/>
              </w:rPr>
              <w:t>%</w:t>
            </w:r>
            <w:r>
              <w:rPr>
                <w:rFonts w:ascii="Arial" w:hAnsi="Arial"/>
                <w:sz w:val="20"/>
              </w:rPr>
              <w:t>),</w:t>
            </w:r>
            <w:r>
              <w:rPr>
                <w:rFonts w:ascii="Arial" w:hAnsi="Arial"/>
                <w:b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као и лица од 18 до 24 годинe (29,7%). Најнижу стопу ризика од сиромаштва имале су особе старије од 65 година (21,3</w:t>
            </w:r>
            <w:r>
              <w:rPr>
                <w:rFonts w:ascii="Arial" w:hAnsi="Arial"/>
                <w:b w:val="1"/>
                <w:sz w:val="20"/>
              </w:rPr>
              <w:t>%</w:t>
            </w:r>
            <w:r>
              <w:rPr>
                <w:rFonts w:ascii="Arial" w:hAnsi="Arial"/>
                <w:sz w:val="20"/>
              </w:rPr>
              <w:t>).</w:t>
            </w:r>
          </w:p>
          <w:p>
            <w:pPr>
              <w:spacing w:lineRule="auto" w:line="228" w:before="120" w:after="1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Највишу стопу ризика од сиромаштва имала су лица у домаћинствима која чине две одрасле особе с троје или више издржаване деце, 55,8%,</w:t>
            </w:r>
            <w:r>
              <w:rPr>
                <w:rFonts w:ascii="Arial" w:hAnsi="Arial"/>
                <w:b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затим лица млађа од 65 година која живе у једночланим домаћинствима, 39,6%. </w:t>
            </w:r>
          </w:p>
          <w:p>
            <w:pPr>
              <w:spacing w:lineRule="auto" w:line="228" w:before="120" w:after="120"/>
              <w:jc w:val="both"/>
              <w:rPr>
                <w:rFonts w:ascii="Tahoma" w:hAnsi="Tahoma"/>
                <w:b w:val="1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У зависности од </w:t>
            </w:r>
            <w:r>
              <w:rPr>
                <w:rFonts w:ascii="Arial" w:hAnsi="Arial"/>
                <w:b w:val="1"/>
                <w:sz w:val="20"/>
              </w:rPr>
              <w:t xml:space="preserve">радног статуса, </w:t>
            </w:r>
            <w:r>
              <w:rPr>
                <w:rFonts w:ascii="Arial" w:hAnsi="Arial"/>
                <w:sz w:val="20"/>
              </w:rPr>
              <w:t>код лица старих 18 и више година, најизложенија ризику од сиромаштва била су незапослена лица (50,7%), док је најнижа стопа ризика од сиромаштва код запослених код послодавца (6,8%). Код самозапослених лица ова стопа износила је 35,5%, а код пензионера 17,5%.</w:t>
            </w:r>
            <w:r>
              <w:rPr>
                <w:rFonts w:ascii="Tahoma" w:hAnsi="Tahoma"/>
                <w:sz w:val="20"/>
              </w:rPr>
              <w:t xml:space="preserve"> </w:t>
            </w:r>
          </w:p>
          <w:p>
            <w:pPr>
              <w:jc w:val="both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Детаљније податке о сиромаштву, материјалној ускраћености, неједнакости и интензитету рада можете наћи у нашем Саопштењу ПД10 (број 345, од 25.12.2018.) „</w:t>
            </w:r>
            <w:r>
              <w:rPr>
                <w:rFonts w:ascii="Tahoma" w:hAnsi="Tahoma"/>
                <w:sz w:val="20"/>
              </w:rPr>
              <w:fldChar w:fldCharType="begin"/>
            </w:r>
            <w:r>
              <w:instrText xml:space="preserve"> HYPERLINK "http://webrzs.stat.gov.rs/WebSite/Public/PageView.aspx?pKey=30" </w:instrText>
            </w:r>
            <w:r>
              <w:fldChar w:fldCharType="separate"/>
            </w:r>
            <w:r>
              <w:rPr>
                <w:rFonts w:ascii="Tahoma" w:hAnsi="Tahoma"/>
                <w:sz w:val="20"/>
              </w:rPr>
              <w:t>Сиромаштво и социјална неједнакост, 2017“.</w:t>
            </w:r>
            <w:r>
              <w:rPr>
                <w:rFonts w:ascii="Tahoma" w:hAnsi="Tahoma"/>
                <w:sz w:val="20"/>
              </w:rPr>
              <w:fldChar w:fldCharType="end"/>
            </w:r>
          </w:p>
          <w:p>
            <w:pPr>
              <w:jc w:val="both"/>
              <w:rPr>
                <w:rFonts w:ascii="Arial" w:hAnsi="Arial"/>
                <w:sz w:val="22"/>
              </w:rPr>
            </w:pPr>
          </w:p>
          <w:p>
            <w:pPr>
              <w:jc w:val="both"/>
              <w:rPr>
                <w:rFonts w:ascii="Tahoma" w:hAnsi="Tahoma"/>
                <w:sz w:val="20"/>
              </w:rPr>
            </w:pPr>
            <w:r>
              <w:rPr>
                <w:rFonts w:ascii="Arial" w:hAnsi="Arial"/>
                <w:sz w:val="20"/>
              </w:rPr>
      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(укупно).</w:t>
            </w:r>
          </w:p>
        </w:tc>
      </w:tr>
    </w:tbl>
    <w:p/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type w:val="nextPage"/>
      <w:pgSz w:w="11907" w:h="16840" w:code="0"/>
      <w:pgMar w:left="907" w:right="907" w:top="357" w:bottom="261" w:header="431" w:footer="0" w:gutter="0"/>
      <w:cols w:equalWidth="1" w:space="720"/>
      <w:vAlign w:val="both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11268" w:type="dxa"/>
      <w:tblLayout w:type="autofit"/>
    </w:tblPr>
    <w:tblGrid/>
    <w:tr>
      <w:tc>
        <w:tcPr>
          <w:tcW w:w="5868" w:type="dxa"/>
        </w:tcPr>
        <w:p>
          <w:pPr>
            <w:jc w:val="both"/>
            <w:rPr>
              <w:rFonts w:ascii="Tahoma" w:hAnsi="Tahoma"/>
              <w:sz w:val="18"/>
            </w:rPr>
          </w:pPr>
          <w:r>
            <w:rPr>
              <w:rFonts w:ascii="Tahoma" w:hAnsi="Tahoma"/>
              <w:sz w:val="18"/>
            </w:rPr>
            <w:t>Контакт:</w:t>
          </w:r>
        </w:p>
        <w:p>
          <w:pPr>
            <w:jc w:val="both"/>
            <w:rPr>
              <w:rFonts w:ascii="Tahoma" w:hAnsi="Tahoma"/>
              <w:sz w:val="18"/>
            </w:rPr>
          </w:pPr>
          <w:r>
            <w:rPr>
              <w:rFonts w:ascii="Tahoma" w:hAnsi="Tahoma"/>
              <w:sz w:val="18"/>
            </w:rPr>
            <w:t>Наташа Мијаковац, руководилац</w:t>
          </w:r>
        </w:p>
        <w:p>
          <w:pPr>
            <w:jc w:val="both"/>
            <w:rPr>
              <w:rFonts w:ascii="Tahoma" w:hAnsi="Tahoma"/>
              <w:sz w:val="18"/>
            </w:rPr>
          </w:pPr>
          <w:r>
            <w:rPr>
              <w:rFonts w:ascii="Tahoma" w:hAnsi="Tahoma"/>
              <w:sz w:val="18"/>
            </w:rPr>
            <w:t xml:space="preserve">Групa за статистику потрошње и стандарда становништва </w:t>
          </w:r>
        </w:p>
        <w:p>
          <w:pPr>
            <w:jc w:val="both"/>
            <w:rPr>
              <w:rFonts w:ascii="Tahoma" w:hAnsi="Tahoma"/>
              <w:sz w:val="18"/>
            </w:rPr>
          </w:pPr>
          <w:r>
            <w:rPr>
              <w:rFonts w:ascii="Tahoma" w:hAnsi="Tahoma"/>
              <w:sz w:val="18"/>
            </w:rPr>
            <w:t>тел: +381 11 2412- 922, локал 242</w:t>
          </w: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  <w:r>
            <w:rPr>
              <w:rFonts w:ascii="Tahoma" w:hAnsi="Tahoma"/>
              <w:color w:val="808080"/>
              <w:sz w:val="20"/>
            </w:rPr>
            <w:t xml:space="preserve">Група за информисање и дисеминацију </w:t>
          </w: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  <w:r>
            <w:rPr>
              <w:rFonts w:ascii="Tahoma" w:hAnsi="Tahoma"/>
              <w:color w:val="808080"/>
              <w:sz w:val="20"/>
            </w:rPr>
            <w:t>Тел.: +381 11 2401-284</w:t>
          </w:r>
        </w:p>
        <w:p>
          <w:pPr>
            <w:jc w:val="both"/>
            <w:rPr>
              <w:rFonts w:ascii="Tahoma" w:hAnsi="Tahoma"/>
              <w:sz w:val="20"/>
            </w:rPr>
          </w:pPr>
          <w:r>
            <w:rPr>
              <w:rFonts w:ascii="Tahoma" w:hAnsi="Tahoma"/>
              <w:color w:val="808080"/>
              <w:sz w:val="20"/>
            </w:rPr>
            <w:t>stat@stat.gov.rs</w:t>
          </w:r>
        </w:p>
        <w:p>
          <w:pPr>
            <w:jc w:val="both"/>
            <w:rPr>
              <w:rFonts w:ascii="Tahoma" w:hAnsi="Tahoma"/>
              <w:sz w:val="22"/>
            </w:rPr>
          </w:pPr>
        </w:p>
      </w:tc>
      <w:tc>
        <w:tcPr>
          <w:tcW w:w="5400" w:type="dxa"/>
        </w:tcPr>
        <w:p>
          <w:pPr>
            <w:jc w:val="center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Директор</w:t>
          </w:r>
        </w:p>
        <w:p>
          <w:pPr>
            <w:ind w:left="972"/>
            <w:jc w:val="both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 xml:space="preserve">         Др Миладин Ковачевић</w:t>
          </w: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</w:p>
        <w:p>
          <w:pPr>
            <w:jc w:val="both"/>
            <w:rPr>
              <w:rFonts w:ascii="Tahoma" w:hAnsi="Tahoma"/>
              <w:sz w:val="20"/>
            </w:rPr>
          </w:pPr>
        </w:p>
      </w:tc>
    </w:tr>
  </w:tbl>
  <w:p>
    <w:pPr>
      <w:pStyle w:val="P3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autofit"/>
    </w:tblPr>
    <w:tblGrid/>
    <w:tr>
      <w:tc>
        <w:tcPr>
          <w:tcW w:w="4788" w:type="dxa"/>
        </w:tcPr>
        <w:p>
          <w:pPr>
            <w:jc w:val="both"/>
            <w:rPr>
              <w:rFonts w:ascii="Tahoma" w:hAnsi="Tahoma"/>
              <w:color w:val="333333"/>
              <w:sz w:val="22"/>
            </w:rPr>
          </w:pPr>
        </w:p>
      </w:tc>
      <w:tc>
        <w:tcPr>
          <w:tcW w:w="5400" w:type="dxa"/>
        </w:tcPr>
        <w:p>
          <w:pPr>
            <w:rPr>
              <w:rFonts w:ascii="Tahoma" w:hAnsi="Tahoma"/>
              <w:color w:val="333333"/>
              <w:sz w:val="22"/>
            </w:rPr>
          </w:pPr>
        </w:p>
      </w:tc>
    </w:tr>
    <w:tr>
      <w:tblPrEx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Ex>
      <w:tc>
        <w:tcPr>
          <w:tcW w:w="4788" w:type="dxa"/>
          <w:tcBorders>
            <w:top w:val="none" w:sz="0" w:space="0" w:shadow="0" w:frame="0"/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jc w:val="both"/>
            <w:rPr>
              <w:rFonts w:ascii="Tahoma" w:hAnsi="Tahoma"/>
              <w:sz w:val="22"/>
            </w:rPr>
          </w:pPr>
        </w:p>
      </w:tc>
      <w:tc>
        <w:tcPr>
          <w:tcW w:w="5400" w:type="dxa"/>
          <w:tcBorders>
            <w:top w:val="none" w:sz="0" w:space="0" w:shadow="0" w:frame="0"/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ind w:left="972"/>
            <w:jc w:val="both"/>
            <w:rPr>
              <w:rFonts w:ascii="Tahoma" w:hAnsi="Tahoma"/>
              <w:sz w:val="20"/>
            </w:rPr>
          </w:pPr>
        </w:p>
      </w:tc>
    </w:tr>
  </w:tbl>
  <w:p>
    <w:pPr>
      <w:pStyle w:val="P3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Borders>
        <w:top w:val="none" w:sz="0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fixed"/>
    </w:tblPr>
    <w:tblGrid/>
    <w:tr>
      <w:tc>
        <w:tcPr>
          <w:tcW w:w="3708" w:type="dxa"/>
        </w:tcPr>
        <w:p>
          <w:pPr>
            <w:pStyle w:val="P2"/>
            <w:ind w:right="972"/>
            <w:rPr>
              <w:rFonts w:ascii="Tahoma" w:hAnsi="Tahoma"/>
              <w:sz w:val="20"/>
            </w:rPr>
          </w:pPr>
          <w:r>
            <w:drawing>
              <wp:inline xmlns:wp="http://schemas.openxmlformats.org/drawingml/2006/wordprocessingDrawing">
                <wp:extent cx="1564005" cy="70993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005" cy="70993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sz w:val="20"/>
            </w:rPr>
            <w:t xml:space="preserve"> Република Србија</w:t>
          </w:r>
        </w:p>
        <w:p>
          <w:pPr>
            <w:pStyle w:val="P2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Републички завод за статистику</w:t>
          </w:r>
        </w:p>
      </w:tc>
      <w:tc>
        <w:tcPr>
          <w:tcW w:w="6588" w:type="dxa"/>
        </w:tcPr>
        <w:p>
          <w:pPr>
            <w:pStyle w:val="P2"/>
            <w:jc w:val="right"/>
            <w:rPr>
              <w:rFonts w:ascii="Tahoma" w:hAnsi="Tahoma"/>
              <w:sz w:val="32"/>
            </w:rPr>
          </w:pPr>
          <w:r>
            <w:rPr>
              <w:rFonts w:ascii="Tahoma" w:hAnsi="Tahoma"/>
              <w:sz w:val="32"/>
            </w:rPr>
            <w:t>Саопштење за јавност</w:t>
          </w:r>
        </w:p>
        <w:p>
          <w:pPr>
            <w:pStyle w:val="P2"/>
            <w:jc w:val="right"/>
            <w:rPr>
              <w:rFonts w:ascii="Tahoma" w:hAnsi="Tahoma"/>
            </w:rPr>
          </w:pPr>
        </w:p>
        <w:p>
          <w:pPr>
            <w:pStyle w:val="P2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11 050 Београд, Милана Ракића 5</w:t>
          </w:r>
        </w:p>
        <w:p>
          <w:pPr>
            <w:pStyle w:val="P2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Телефон +381 11 24-12-922</w:t>
          </w:r>
        </w:p>
        <w:p>
          <w:pPr>
            <w:pStyle w:val="P2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www.stat.gov.rs</w:t>
          </w:r>
        </w:p>
        <w:p>
          <w:pPr>
            <w:pStyle w:val="P2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stat@stat.gov.rs</w:t>
          </w:r>
        </w:p>
      </w:tc>
    </w:tr>
  </w:tbl>
  <w:p>
    <w:pPr>
      <w:pStyle w:val="P2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Borders>
        <w:top w:val="none" w:sz="0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fixed"/>
    </w:tblPr>
    <w:tblGrid/>
    <w:tr>
      <w:tc>
        <w:tcPr>
          <w:tcW w:w="3708" w:type="dxa"/>
        </w:tcPr>
        <w:p>
          <w:pPr>
            <w:pStyle w:val="P2"/>
            <w:rPr>
              <w:rFonts w:ascii="Tahoma" w:hAnsi="Tahoma"/>
              <w:sz w:val="20"/>
            </w:rPr>
          </w:pPr>
        </w:p>
      </w:tc>
      <w:tc>
        <w:tcPr>
          <w:tcW w:w="6588" w:type="dxa"/>
        </w:tcPr>
        <w:p>
          <w:pPr>
            <w:pStyle w:val="P2"/>
            <w:jc w:val="right"/>
            <w:rPr>
              <w:rFonts w:ascii="Tahoma" w:hAnsi="Tahoma"/>
              <w:sz w:val="22"/>
            </w:rPr>
          </w:pPr>
          <w:r>
            <w:rPr>
              <w:rFonts w:ascii="Tahoma" w:hAnsi="Tahoma"/>
              <w:sz w:val="22"/>
            </w:rPr>
            <w:t xml:space="preserve">Саопштење за јавностстрана </w:t>
          </w:r>
          <w:r>
            <w:rPr>
              <w:rFonts w:ascii="Tahoma" w:hAnsi="Tahoma"/>
              <w:sz w:val="22"/>
            </w:rPr>
            <w:fldChar w:fldCharType="begin"/>
          </w:r>
          <w:r>
            <w:rPr>
              <w:rStyle w:val="C6"/>
              <w:rFonts w:ascii="Tahoma" w:hAnsi="Tahoma"/>
              <w:sz w:val="22"/>
            </w:rPr>
            <w:instrText xml:space="preserve"> NUMPAGES </w:instrText>
          </w:r>
          <w:r>
            <w:rPr>
              <w:rStyle w:val="C6"/>
              <w:rFonts w:ascii="Tahoma" w:hAnsi="Tahoma"/>
              <w:sz w:val="22"/>
            </w:rPr>
            <w:fldChar w:fldCharType="separate"/>
          </w:r>
          <w:r>
            <w:rPr>
              <w:rStyle w:val="C6"/>
              <w:rFonts w:ascii="Tahoma" w:hAnsi="Tahoma"/>
              <w:sz w:val="22"/>
            </w:rPr>
            <w:t>#</w:t>
          </w:r>
          <w:r>
            <w:rPr>
              <w:rStyle w:val="C6"/>
              <w:rFonts w:ascii="Tahoma" w:hAnsi="Tahoma"/>
              <w:sz w:val="22"/>
            </w:rPr>
            <w:fldChar w:fldCharType="end"/>
          </w:r>
        </w:p>
        <w:p>
          <w:pPr>
            <w:pStyle w:val="P2"/>
            <w:jc w:val="right"/>
            <w:rPr>
              <w:rFonts w:ascii="Tahoma" w:hAnsi="Tahoma"/>
            </w:rPr>
          </w:pPr>
        </w:p>
        <w:p>
          <w:pPr>
            <w:pStyle w:val="P2"/>
            <w:jc w:val="right"/>
            <w:rPr>
              <w:rFonts w:ascii="Tahoma" w:hAnsi="Tahoma"/>
              <w:sz w:val="20"/>
            </w:rPr>
          </w:pPr>
        </w:p>
      </w:tc>
    </w:tr>
  </w:tbl>
  <w:p>
    <w:pPr>
      <w:pStyle w:val="P2"/>
    </w:pPr>
  </w:p>
</w:hdr>
</file>

<file path=word/numbering.xml><?xml version="1.0" encoding="utf-8"?>
<w:numbering xmlns:w="http://schemas.openxmlformats.org/wordprocessingml/2006/main">
  <w:abstractNum w:abstractNumId="0">
    <w:nsid w:val="0D7C7C46"/>
    <w:multiLevelType w:val="hybridMultilevel"/>
    <w:lvl w:ilvl="0" w:tplc="535C0E2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">
    <w:nsid w:val="166B4D0A"/>
    <w:multiLevelType w:val="hybridMultilevel"/>
    <w:lvl w:ilvl="0" w:tplc="6A2ED054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num w:numId="1">
    <w:abstractNumId w:val="0"/>
    <w:lvlOverride w:ilvl="0">
      <w:startOverride w:val="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No Spacing"/>
    <w:next w:val="P1"/>
    <w:qFormat/>
    <w:pPr/>
    <w:rPr>
      <w:rFonts w:ascii="Calibri" w:hAnsi="Calibri"/>
      <w:sz w:val="22"/>
    </w:rPr>
  </w:style>
  <w:style w:type="paragraph" w:styleId="P2">
    <w:name w:val="Head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next w:val="P3"/>
    <w:pPr>
      <w:tabs>
        <w:tab w:val="center" w:pos="4320" w:leader="none"/>
        <w:tab w:val="right" w:pos="8640" w:leader="none"/>
      </w:tabs>
    </w:pPr>
    <w:rPr/>
  </w:style>
  <w:style w:type="paragraph" w:styleId="P4">
    <w:name w:val="Body Text"/>
    <w:basedOn w:val="P0"/>
    <w:next w:val="P4"/>
    <w:pPr>
      <w:spacing w:after="120"/>
    </w:pPr>
    <w:rPr/>
  </w:style>
  <w:style w:type="paragraph" w:styleId="P5">
    <w:name w:val="Balloon Text"/>
    <w:basedOn w:val="P0"/>
    <w:next w:val="P5"/>
    <w:link w:val="C3"/>
    <w:pPr/>
    <w:rPr>
      <w:rFonts w:ascii="Tahoma" w:hAnsi="Tahoma"/>
      <w:sz w:val="16"/>
    </w:rPr>
  </w:style>
  <w:style w:type="paragraph" w:styleId="P6">
    <w:name w:val="Footnote Text"/>
    <w:basedOn w:val="P0"/>
    <w:next w:val="P6"/>
    <w:link w:val="C4"/>
    <w:pPr/>
    <w:rPr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alloon Text Char"/>
    <w:link w:val="P5"/>
    <w:rPr>
      <w:rFonts w:ascii="Tahoma" w:hAnsi="Tahoma"/>
      <w:sz w:val="16"/>
    </w:rPr>
  </w:style>
  <w:style w:type="character" w:styleId="C4">
    <w:name w:val="Footnote Text Char"/>
    <w:link w:val="P6"/>
    <w:rPr>
      <w:sz w:val="20"/>
    </w:rPr>
  </w:style>
  <w:style w:type="character" w:styleId="C5">
    <w:name w:val="Footnote Reference"/>
    <w:rPr>
      <w:vertAlign w:val="superscript"/>
    </w:rPr>
  </w:style>
  <w:style w:type="character" w:styleId="C6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_rels/header1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Aleksandra Danilovic</dc:creator>
  <dcterms:created xsi:type="dcterms:W3CDTF">2018-12-24T09:55:00Z</dcterms:created>
  <cp:lastModifiedBy>Nikola Kapetanovic</cp:lastModifiedBy>
  <cp:lastPrinted>2016-03-31T09:40:00Z</cp:lastPrinted>
  <dcterms:modified xsi:type="dcterms:W3CDTF">2020-01-10T11:25:16Z</dcterms:modified>
  <cp:revision>5</cp:revision>
  <dc:title>ДАТУМ</dc:title>
</cp:coreProperties>
</file>