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0B964A2" Type="http://schemas.openxmlformats.org/officeDocument/2006/relationships/officeDocument" Target="/word/document.xml" /><Relationship Id="coreR50B964A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0188" w:type="dxa"/>
          </w:tcPr>
          <w:p>
            <w:pPr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14.12.2018.</w:t>
            </w:r>
          </w:p>
          <w:tbl>
            <w:tblPr>
              <w:tblStyle w:val="T2"/>
              <w:tblW w:w="5000" w:type="pct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c>
                <w:tcPr>
                  <w:tcW w:w="5000" w:type="pct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Tahoma" w:hAnsi="Tahoma"/>
                      <w:b w:val="1"/>
                      <w:color w:val="333333"/>
                      <w:sz w:val="20"/>
                    </w:rPr>
                  </w:pPr>
                </w:p>
                <w:p>
                  <w:pPr>
                    <w:jc w:val="center"/>
                    <w:rPr>
                      <w:rFonts w:ascii="Tahoma" w:hAnsi="Tahoma"/>
                      <w:b w:val="1"/>
                      <w:color w:val="333333"/>
                      <w:sz w:val="22"/>
                    </w:rPr>
                  </w:pP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 xml:space="preserve">Приходи у новцу и 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 xml:space="preserve">у 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натури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 xml:space="preserve"> и лична потрошња домаћинстава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 xml:space="preserve">, 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I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I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I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 xml:space="preserve"> квартал 201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8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.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 xml:space="preserve"> </w:t>
                  </w:r>
                </w:p>
                <w:p>
                  <w:pPr>
                    <w:jc w:val="center"/>
                    <w:rPr>
                      <w:rFonts w:ascii="Tahoma" w:hAnsi="Tahoma"/>
                      <w:b w:val="1"/>
                      <w:color w:val="333333"/>
                      <w:sz w:val="22"/>
                    </w:rPr>
                  </w:pP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 xml:space="preserve">– претходни 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резултати –</w:t>
                  </w:r>
                </w:p>
              </w:tc>
            </w:tr>
          </w:tbl>
          <w:p>
            <w:pPr>
              <w:jc w:val="both"/>
              <w:rPr>
                <w:rFonts w:ascii="Tahoma" w:hAnsi="Tahoma"/>
                <w:sz w:val="20"/>
              </w:rPr>
            </w:pPr>
          </w:p>
          <w:p>
            <w:pPr>
              <w:jc w:val="both"/>
              <w:rPr>
                <w:rFonts w:ascii="Tahoma" w:hAnsi="Tahoma"/>
                <w:sz w:val="18"/>
              </w:rPr>
            </w:pPr>
          </w:p>
          <w:p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Анкетом о потрошњи домаћинстава прикупљају се подаци о приходима и потрошњи домаћинстава, односно подаци о основним елементима личне потрошње. </w:t>
            </w:r>
          </w:p>
          <w:p>
            <w:pPr>
              <w:jc w:val="both"/>
              <w:rPr>
                <w:rFonts w:ascii="Tahoma" w:hAnsi="Tahoma"/>
                <w:sz w:val="16"/>
              </w:rPr>
            </w:pPr>
          </w:p>
          <w:p>
            <w:pPr>
              <w:jc w:val="both"/>
              <w:rPr>
                <w:rFonts w:ascii="Tahoma" w:hAnsi="Tahoma"/>
                <w:sz w:val="20"/>
              </w:rPr>
            </w:pPr>
          </w:p>
          <w:p>
            <w:pPr>
              <w:jc w:val="center"/>
              <w:rPr>
                <w:rFonts w:ascii="Tahoma" w:hAnsi="Tahoma"/>
                <w:b w:val="1"/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>Упоредни преглед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Tahoma" w:hAnsi="Tahoma"/>
                <w:b w:val="1"/>
                <w:sz w:val="20"/>
              </w:rPr>
              <w:t>п</w:t>
            </w:r>
            <w:r>
              <w:rPr>
                <w:rFonts w:ascii="Tahoma" w:hAnsi="Tahoma"/>
                <w:b w:val="1"/>
                <w:sz w:val="20"/>
              </w:rPr>
              <w:t>рихода</w:t>
            </w:r>
            <w:r>
              <w:rPr>
                <w:rFonts w:ascii="Tahoma" w:hAnsi="Tahoma"/>
                <w:b w:val="1"/>
                <w:sz w:val="20"/>
              </w:rPr>
              <w:t xml:space="preserve"> у новцу и у натури</w:t>
            </w:r>
            <w:r>
              <w:rPr>
                <w:rFonts w:ascii="Tahoma" w:hAnsi="Tahoma"/>
                <w:b w:val="1"/>
                <w:color w:val="333333"/>
                <w:sz w:val="22"/>
              </w:rPr>
              <w:t xml:space="preserve"> </w:t>
            </w:r>
            <w:r>
              <w:rPr>
                <w:rFonts w:ascii="Tahoma" w:hAnsi="Tahoma"/>
                <w:b w:val="1"/>
                <w:sz w:val="20"/>
              </w:rPr>
              <w:t>и личн</w:t>
            </w:r>
            <w:r>
              <w:rPr>
                <w:rFonts w:ascii="Tahoma" w:hAnsi="Tahoma"/>
                <w:b w:val="1"/>
                <w:sz w:val="20"/>
              </w:rPr>
              <w:t>е</w:t>
            </w:r>
            <w:r>
              <w:rPr>
                <w:rFonts w:ascii="Tahoma" w:hAnsi="Tahoma"/>
                <w:b w:val="1"/>
                <w:sz w:val="20"/>
              </w:rPr>
              <w:t xml:space="preserve"> потрошњ</w:t>
            </w:r>
            <w:r>
              <w:rPr>
                <w:rFonts w:ascii="Tahoma" w:hAnsi="Tahoma"/>
                <w:b w:val="1"/>
                <w:sz w:val="20"/>
              </w:rPr>
              <w:t>е домаћинстава</w:t>
            </w:r>
          </w:p>
          <w:p>
            <w:pPr>
              <w:jc w:val="center"/>
              <w:rPr>
                <w:rFonts w:ascii="Tahoma" w:hAnsi="Tahoma"/>
                <w:b w:val="1"/>
                <w:sz w:val="20"/>
              </w:rPr>
            </w:pPr>
          </w:p>
          <w:p>
            <w:pPr>
              <w:jc w:val="center"/>
              <w:rPr>
                <w:rFonts w:ascii="Tahoma" w:hAnsi="Tahoma"/>
                <w:b w:val="1"/>
                <w:sz w:val="20"/>
              </w:rPr>
            </w:pPr>
          </w:p>
          <w:p>
            <w:pPr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Tahoma" w:hAnsi="Tahoma"/>
                <w:sz w:val="18"/>
              </w:rPr>
              <w:t>РСД</w:t>
            </w:r>
          </w:p>
          <w:tbl>
            <w:tblPr>
              <w:tblStyle w:val="T2"/>
              <w:tblW w:w="5000" w:type="pct"/>
              <w:tblBorders>
                <w:top w:val="single" w:sz="4" w:space="0" w:shadow="0" w:frame="0"/>
                <w:left w:val="none" w:sz="0" w:space="0" w:shadow="0" w:frame="0"/>
                <w:bottom w:val="single" w:sz="4" w:space="0" w:shadow="0" w:frame="0"/>
                <w:right w:val="none" w:sz="0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rPr>
                <w:wAfter w:w="0" w:type="dxa"/>
                <w:trHeight w:hRule="atLeast" w:val="340"/>
              </w:trPr>
              <w:tc>
                <w:tcPr>
                  <w:tcW w:w="1389" w:type="pct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Tahoma" w:hAnsi="Tahoma"/>
                      <w:sz w:val="20"/>
                    </w:rPr>
                  </w:pPr>
                </w:p>
              </w:tc>
              <w:tc>
                <w:tcPr>
                  <w:tcW w:w="2065" w:type="pct"/>
                  <w:gridSpan w:val="4"/>
                  <w:vAlign w:val="center"/>
                </w:tcPr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>2</w:t>
                  </w:r>
                  <w:r>
                    <w:rPr>
                      <w:rFonts w:ascii="Tahoma" w:hAnsi="Tahoma"/>
                      <w:b w:val="1"/>
                      <w:sz w:val="18"/>
                    </w:rPr>
                    <w:t>017</w:t>
                  </w:r>
                  <w:r>
                    <w:rPr>
                      <w:rFonts w:ascii="Tahoma" w:hAnsi="Tahoma"/>
                      <w:b w:val="1"/>
                      <w:sz w:val="18"/>
                    </w:rPr>
                    <w:t>.</w:t>
                  </w:r>
                </w:p>
              </w:tc>
              <w:tc>
                <w:tcPr>
                  <w:tcW w:w="1546" w:type="pct"/>
                  <w:gridSpan w:val="3"/>
                  <w:vAlign w:val="center"/>
                </w:tcPr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>2018.</w:t>
                  </w:r>
                </w:p>
              </w:tc>
            </w:tr>
            <w:tr>
              <w:trPr>
                <w:wAfter w:w="0" w:type="dxa"/>
                <w:trHeight w:hRule="atLeast" w:val="567"/>
              </w:trPr>
              <w:tc>
                <w:tcPr>
                  <w:tcW w:w="1389" w:type="pct"/>
                  <w:vMerge w:val="continue"/>
                  <w:tcBorders>
                    <w:bottom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Tahoma" w:hAnsi="Tahoma"/>
                      <w:sz w:val="20"/>
                    </w:rPr>
                  </w:pPr>
                </w:p>
              </w:tc>
              <w:tc>
                <w:tcPr>
                  <w:tcW w:w="517" w:type="pct"/>
                  <w:tcBorders>
                    <w:bottom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 xml:space="preserve">I </w:t>
                  </w:r>
                </w:p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>квартал</w:t>
                  </w:r>
                </w:p>
              </w:tc>
              <w:tc>
                <w:tcPr>
                  <w:tcW w:w="516" w:type="pct"/>
                  <w:tcBorders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>I</w:t>
                  </w:r>
                  <w:r>
                    <w:rPr>
                      <w:rFonts w:ascii="Tahoma" w:hAnsi="Tahoma"/>
                      <w:b w:val="1"/>
                      <w:sz w:val="18"/>
                    </w:rPr>
                    <w:t>I</w:t>
                  </w:r>
                </w:p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>квартал</w:t>
                  </w:r>
                </w:p>
              </w:tc>
              <w:tc>
                <w:tcPr>
                  <w:tcW w:w="516" w:type="pct"/>
                  <w:tcBorders>
                    <w:left w:val="single" w:sz="4" w:space="0" w:shadow="0" w:frame="0"/>
                    <w:bottom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>III</w:t>
                  </w:r>
                </w:p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>квартал</w:t>
                  </w:r>
                </w:p>
              </w:tc>
              <w:tc>
                <w:tcPr>
                  <w:tcW w:w="516" w:type="pct"/>
                  <w:tcBorders>
                    <w:left w:val="single" w:sz="4" w:space="0" w:shadow="0" w:frame="0"/>
                    <w:bottom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>IV</w:t>
                  </w:r>
                </w:p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>квартал</w:t>
                  </w:r>
                </w:p>
              </w:tc>
              <w:tc>
                <w:tcPr>
                  <w:tcW w:w="516" w:type="pct"/>
                  <w:tcBorders>
                    <w:left w:val="single" w:sz="4" w:space="0" w:shadow="0" w:frame="0"/>
                    <w:bottom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>I</w:t>
                  </w:r>
                </w:p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>квартал</w:t>
                  </w:r>
                </w:p>
              </w:tc>
              <w:tc>
                <w:tcPr>
                  <w:tcW w:w="516" w:type="pct"/>
                  <w:tcBorders>
                    <w:left w:val="single" w:sz="4" w:space="0" w:shadow="0" w:frame="0"/>
                    <w:bottom w:val="single" w:sz="4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>II</w:t>
                  </w:r>
                </w:p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>квартал</w:t>
                  </w:r>
                </w:p>
              </w:tc>
              <w:tc>
                <w:tcPr>
                  <w:tcW w:w="514" w:type="pct"/>
                  <w:tcBorders>
                    <w:left w:val="none" w:sz="0" w:space="0" w:shadow="0" w:frame="0"/>
                    <w:bottom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>I</w:t>
                  </w:r>
                  <w:r>
                    <w:rPr>
                      <w:rFonts w:ascii="Tahoma" w:hAnsi="Tahoma"/>
                      <w:b w:val="1"/>
                      <w:sz w:val="18"/>
                    </w:rPr>
                    <w:t>II</w:t>
                  </w:r>
                </w:p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>квартал</w:t>
                  </w:r>
                </w:p>
              </w:tc>
            </w:tr>
            <w:tr>
              <w:trPr>
                <w:wAfter w:w="0" w:type="dxa"/>
                <w:trHeight w:hRule="atLeast" w:val="397"/>
              </w:trPr>
              <w:tc>
                <w:tcPr>
                  <w:tcW w:w="1389" w:type="pct"/>
                  <w:tcBorders>
                    <w:bottom w:val="none" w:sz="0" w:space="0" w:shadow="0" w:frame="0"/>
                  </w:tcBorders>
                  <w:vAlign w:val="center"/>
                </w:tcPr>
                <w:p>
                  <w:pPr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Приходи у новцу и у натури – укупно</w:t>
                  </w:r>
                </w:p>
              </w:tc>
              <w:tc>
                <w:tcPr>
                  <w:tcW w:w="517" w:type="pct"/>
                  <w:tcBorders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ind w:right="113"/>
                    <w:jc w:val="righ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60065</w:t>
                  </w:r>
                </w:p>
              </w:tc>
              <w:tc>
                <w:tcPr>
                  <w:tcW w:w="516" w:type="pct"/>
                  <w:tcBorders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ind w:right="113"/>
                    <w:jc w:val="righ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60195</w:t>
                  </w:r>
                </w:p>
              </w:tc>
              <w:tc>
                <w:tcPr>
                  <w:tcW w:w="516" w:type="pct"/>
                  <w:tcBorders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ind w:right="113"/>
                    <w:jc w:val="righ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61729</w:t>
                  </w:r>
                </w:p>
              </w:tc>
              <w:tc>
                <w:tcPr>
                  <w:tcW w:w="516" w:type="pct"/>
                  <w:tcBorders>
                    <w:left w:val="none" w:sz="0" w:space="0" w:shadow="0" w:frame="0"/>
                    <w:bottom w:val="none" w:sz="0" w:space="0" w:shadow="0" w:frame="0"/>
                  </w:tcBorders>
                  <w:vAlign w:val="center"/>
                </w:tcPr>
                <w:p>
                  <w:pPr>
                    <w:ind w:right="113"/>
                    <w:jc w:val="righ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63674</w:t>
                  </w:r>
                </w:p>
              </w:tc>
              <w:tc>
                <w:tcPr>
                  <w:tcW w:w="516" w:type="pct"/>
                  <w:tcBorders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ind w:right="113"/>
                    <w:jc w:val="righ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62492</w:t>
                  </w:r>
                </w:p>
              </w:tc>
              <w:tc>
                <w:tcPr>
                  <w:tcW w:w="516" w:type="pct"/>
                  <w:tcBorders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ind w:right="113"/>
                    <w:jc w:val="righ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62831</w:t>
                  </w:r>
                </w:p>
              </w:tc>
              <w:tc>
                <w:tcPr>
                  <w:tcW w:w="514" w:type="pct"/>
                  <w:tcBorders>
                    <w:left w:val="none" w:sz="0" w:space="0" w:shadow="0" w:frame="0"/>
                    <w:bottom w:val="none" w:sz="0" w:space="0" w:shadow="0" w:frame="0"/>
                  </w:tcBorders>
                  <w:vAlign w:val="center"/>
                </w:tcPr>
                <w:p>
                  <w:pPr>
                    <w:ind w:right="113"/>
                    <w:jc w:val="righ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63832</w:t>
                  </w:r>
                </w:p>
              </w:tc>
            </w:tr>
            <w:tr>
              <w:trPr>
                <w:wAfter w:w="0" w:type="dxa"/>
                <w:trHeight w:hRule="atLeast" w:val="397"/>
              </w:trPr>
              <w:tc>
                <w:tcPr>
                  <w:tcW w:w="1389" w:type="pct"/>
                  <w:tcBorders>
                    <w:top w:val="none" w:sz="0" w:space="0" w:shadow="0" w:frame="0"/>
                  </w:tcBorders>
                  <w:vAlign w:val="center"/>
                </w:tcPr>
                <w:p>
                  <w:pPr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Лична потрошња – укупно</w:t>
                  </w:r>
                </w:p>
              </w:tc>
              <w:tc>
                <w:tcPr>
                  <w:tcW w:w="517" w:type="pct"/>
                  <w:tcBorders>
                    <w:top w:val="none" w:sz="0" w:space="0" w:shadow="0" w:frame="0"/>
                    <w:left w:val="single" w:sz="4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ind w:right="113"/>
                    <w:jc w:val="righ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61370</w:t>
                  </w:r>
                </w:p>
              </w:tc>
              <w:tc>
                <w:tcPr>
                  <w:tcW w:w="516" w:type="pct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ind w:right="113"/>
                    <w:jc w:val="righ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61477</w:t>
                  </w:r>
                </w:p>
              </w:tc>
              <w:tc>
                <w:tcPr>
                  <w:tcW w:w="516" w:type="pct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ind w:right="113"/>
                    <w:jc w:val="righ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62190</w:t>
                  </w:r>
                </w:p>
              </w:tc>
              <w:tc>
                <w:tcPr>
                  <w:tcW w:w="516" w:type="pct"/>
                  <w:tcBorders>
                    <w:top w:val="none" w:sz="0" w:space="0" w:shadow="0" w:frame="0"/>
                    <w:left w:val="none" w:sz="0" w:space="0" w:shadow="0" w:frame="0"/>
                  </w:tcBorders>
                  <w:vAlign w:val="center"/>
                </w:tcPr>
                <w:p>
                  <w:pPr>
                    <w:ind w:right="113"/>
                    <w:jc w:val="righ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64086</w:t>
                  </w:r>
                </w:p>
              </w:tc>
              <w:tc>
                <w:tcPr>
                  <w:tcW w:w="516" w:type="pct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ind w:right="113"/>
                    <w:jc w:val="righ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63620</w:t>
                  </w:r>
                </w:p>
              </w:tc>
              <w:tc>
                <w:tcPr>
                  <w:tcW w:w="516" w:type="pct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ind w:right="113"/>
                    <w:jc w:val="righ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64055</w:t>
                  </w:r>
                </w:p>
              </w:tc>
              <w:tc>
                <w:tcPr>
                  <w:tcW w:w="514" w:type="pct"/>
                  <w:tcBorders>
                    <w:top w:val="none" w:sz="0" w:space="0" w:shadow="0" w:frame="0"/>
                    <w:left w:val="none" w:sz="0" w:space="0" w:shadow="0" w:frame="0"/>
                  </w:tcBorders>
                  <w:vAlign w:val="center"/>
                </w:tcPr>
                <w:p>
                  <w:pPr>
                    <w:ind w:right="113"/>
                    <w:jc w:val="righ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64237</w:t>
                  </w:r>
                </w:p>
              </w:tc>
            </w:tr>
          </w:tbl>
          <w:p>
            <w:pPr>
              <w:jc w:val="both"/>
              <w:rPr>
                <w:rFonts w:ascii="Tahoma" w:hAnsi="Tahoma"/>
                <w:sz w:val="20"/>
              </w:rPr>
            </w:pPr>
          </w:p>
          <w:p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У трећем кварталу 2018. године, просечни месечни приходи у новцу и у натури по домаћинству износили су 63832 динарa и виши су за 3,4% у односу на исти квартал претходне године и за 1,6% у односу на други квартал 2018, номинално. </w:t>
            </w:r>
          </w:p>
          <w:p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 </w:t>
            </w:r>
          </w:p>
          <w:p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Највећи удео у приходима у новцу и у натури имају приходи из редовног радног односа – 49,2%, пензије – 32,1%, приходи од пољопривреде, лова и риболова – 4,6%, натурална потрошња – 3,2%, приходи ван редовног радног односа – 2,9%, примања од социјалног осигурања – 2,7%, oстала примања – 2,7% и 2,6% чине приходи из осталих извора.</w:t>
            </w:r>
          </w:p>
          <w:p>
            <w:pPr>
              <w:jc w:val="both"/>
              <w:rPr>
                <w:rFonts w:ascii="Tahoma" w:hAnsi="Tahoma"/>
                <w:sz w:val="14"/>
              </w:rPr>
            </w:pPr>
          </w:p>
          <w:p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Издаци за личну потрошњу домаћинстава, у трећем кварталу 2018. године, износили су 64237 динара и виши су за 3,3% у односу на исти квартал претходне године</w:t>
            </w:r>
            <w:r>
              <w:t xml:space="preserve"> </w:t>
            </w:r>
            <w:r>
              <w:rPr>
                <w:rFonts w:ascii="Tahoma" w:hAnsi="Tahoma"/>
                <w:sz w:val="18"/>
              </w:rPr>
              <w:t>и за 0,3% у односу на други квартал 2018, номинално.</w:t>
            </w:r>
          </w:p>
          <w:p>
            <w:pPr>
              <w:jc w:val="both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8"/>
              </w:rPr>
              <w:t xml:space="preserve"> </w:t>
            </w:r>
          </w:p>
          <w:p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Највећи удео у личној потрошњи домаћинстава чине издаци за храну и безалкохолна пића – 34,5% и за становање, воду, ел. енергију, гас и остала горива – 15,4%. Следе издаци за транспорт – 9,4%, за остале личне предмете и остале услуге – 6,0%, за рекреацију и културу – 5,7%, за одећу и обућу – 5,4%, за комуникације – 5,2%, за алкохолна пића и дуван – 5,0%, за здравље – 4,6%, за опрему за стан и текуће одржавање – 4,2% и 4,6% чине издаци за остале групе личне потрошње. </w:t>
            </w:r>
          </w:p>
          <w:p>
            <w:pPr>
              <w:jc w:val="both"/>
              <w:rPr>
                <w:rFonts w:ascii="Tahoma" w:hAnsi="Tahoma"/>
                <w:sz w:val="16"/>
              </w:rPr>
            </w:pPr>
          </w:p>
          <w:p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Од укупног броја домаћинстава предвиђених за анкетирање у трећем кварталу 2018. (2214 за Републику Србију), анкетирано је 1558 домаћинстaвa (70%).</w:t>
            </w:r>
          </w:p>
          <w:p>
            <w:pPr>
              <w:jc w:val="both"/>
              <w:rPr>
                <w:rFonts w:ascii="Tahoma" w:hAnsi="Tahoma"/>
                <w:sz w:val="10"/>
              </w:rPr>
            </w:pPr>
          </w:p>
          <w:p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      </w:r>
          </w:p>
          <w:p>
            <w:pPr>
              <w:jc w:val="both"/>
              <w:rPr>
                <w:rFonts w:ascii="Tahoma" w:hAnsi="Tahoma"/>
                <w:sz w:val="18"/>
              </w:rPr>
            </w:pPr>
          </w:p>
          <w:p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Детаљније податке можете наћи у нашем Саопштењу ЛП12 (број 341, од 14.12.2018.) „Приходи у новцу и у натури и лична потрошња домаћинстава, III квартал 2018. - претходни резултати“ на адреси:</w:t>
            </w:r>
            <w:r>
              <w:t xml:space="preserve"> </w:t>
            </w:r>
            <w:r>
              <w:fldChar w:fldCharType="begin"/>
            </w:r>
            <w:r>
              <w:rPr>
                <w:rFonts w:ascii="Tahoma" w:hAnsi="Tahoma"/>
                <w:sz w:val="18"/>
              </w:rPr>
              <w:instrText xml:space="preserve"> HYPERLINK "http://www.stat.gov.rs/sr-cyrl/oblasti/potrosnja-prihodi-i-uslovi-zivota/potrosnja-domacinstva/" </w:instrText>
            </w:r>
            <w:r>
              <w:rPr>
                <w:rFonts w:ascii="Tahoma" w:hAnsi="Tahoma"/>
                <w:sz w:val="18"/>
              </w:rPr>
              <w:fldChar w:fldCharType="separate"/>
            </w:r>
            <w:r>
              <w:rPr>
                <w:rStyle w:val="C2"/>
                <w:rFonts w:ascii="Tahoma" w:hAnsi="Tahoma"/>
                <w:sz w:val="18"/>
              </w:rPr>
              <w:t>http://www.stat.gov.rs/sr-cyrl/oblasti/potrosnja-prihodi-i-uslovi-zivota/potrosnja-domacinstva/</w:t>
            </w:r>
            <w:r>
              <w:rPr>
                <w:rStyle w:val="C2"/>
                <w:rFonts w:ascii="Tahoma" w:hAnsi="Tahoma"/>
                <w:sz w:val="18"/>
              </w:rPr>
              <w:fldChar w:fldCharType="end"/>
            </w:r>
          </w:p>
          <w:p>
            <w:pPr>
              <w:jc w:val="both"/>
              <w:rPr>
                <w:rFonts w:ascii="Tahoma" w:hAnsi="Tahoma"/>
                <w:sz w:val="20"/>
              </w:rPr>
            </w:pPr>
          </w:p>
        </w:tc>
      </w:tr>
    </w:tbl>
    <w:p>
      <w:pPr>
        <w:jc w:val="both"/>
      </w:pP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7" w:h="16840" w:code="0"/>
      <w:pgMar w:left="907" w:right="907" w:top="357" w:bottom="261" w:header="431" w:footer="567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10368" w:type="dxa"/>
      <w:tblLayout w:type="autofit"/>
    </w:tblPr>
    <w:tblGrid/>
    <w:tr>
      <w:tc>
        <w:tcPr>
          <w:tcW w:w="5328" w:type="dxa"/>
        </w:tcPr>
        <w:p>
          <w:pPr>
            <w:jc w:val="both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Контакт:</w:t>
          </w:r>
        </w:p>
        <w:p>
          <w:pPr>
            <w:jc w:val="both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Наташа Мијаковац, руководилац</w:t>
          </w:r>
        </w:p>
        <w:p>
          <w:pPr>
            <w:jc w:val="both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Групa за статистику потрошње и стандарда становништва </w:t>
          </w:r>
        </w:p>
        <w:p>
          <w:pPr>
            <w:jc w:val="both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тел: +381 11 2412- 922, локал 242</w:t>
          </w:r>
        </w:p>
        <w:p>
          <w:pPr>
            <w:jc w:val="both"/>
            <w:rPr>
              <w:rFonts w:ascii="Tahoma" w:hAnsi="Tahoma"/>
              <w:sz w:val="18"/>
            </w:rPr>
          </w:pPr>
        </w:p>
        <w:p>
          <w:pPr>
            <w:jc w:val="both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Група за информисање и дисеминацију </w:t>
          </w:r>
        </w:p>
        <w:p>
          <w:pPr>
            <w:jc w:val="both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тел: +381 11 2401-284</w:t>
          </w:r>
        </w:p>
        <w:p>
          <w:pPr>
            <w:jc w:val="both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stat@stat.gov.rs</w:t>
          </w:r>
        </w:p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040" w:type="dxa"/>
        </w:tcPr>
        <w:p>
          <w:pPr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20"/>
            </w:rPr>
            <w:t xml:space="preserve">                          Д</w:t>
          </w:r>
          <w:r>
            <w:rPr>
              <w:rFonts w:ascii="Tahoma" w:hAnsi="Tahoma"/>
              <w:sz w:val="18"/>
            </w:rPr>
            <w:t>иректор</w:t>
          </w:r>
        </w:p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18"/>
            </w:rPr>
            <w:t xml:space="preserve">                                      Др Миладин Ковачевић</w:t>
          </w:r>
          <w:r>
            <w:rPr>
              <w:rFonts w:ascii="Tahoma" w:hAnsi="Tahoma"/>
              <w:sz w:val="20"/>
            </w:rPr>
            <w:t xml:space="preserve"> </w:t>
          </w:r>
        </w:p>
      </w:tc>
    </w:tr>
  </w:tbl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29340" w:type="dxa"/>
      <w:tblLayout w:type="autofit"/>
    </w:tblPr>
    <w:tblGrid/>
    <w:tr>
      <w:tc>
        <w:tcPr>
          <w:tcW w:w="4788" w:type="dxa"/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4788" w:type="dxa"/>
        </w:tcPr>
        <w:p>
          <w:pPr>
            <w:jc w:val="both"/>
            <w:rPr>
              <w:rFonts w:ascii="Tahoma" w:hAnsi="Tahoma"/>
              <w:sz w:val="20"/>
            </w:rPr>
          </w:pPr>
        </w:p>
      </w:tc>
      <w:tc>
        <w:tcPr>
          <w:tcW w:w="4788" w:type="dxa"/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4788" w:type="dxa"/>
        </w:tcPr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sz w:val="20"/>
            </w:rPr>
          </w:pPr>
        </w:p>
      </w:tc>
      <w:tc>
        <w:tcPr>
          <w:tcW w:w="4788" w:type="dxa"/>
        </w:tcPr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2934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1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1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1"/>
            <w:jc w:val="right"/>
            <w:rPr>
              <w:rFonts w:ascii="Tahoma" w:hAnsi="Tahoma"/>
            </w:rPr>
          </w:pP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rPr>
              <w:rFonts w:ascii="Tahoma" w:hAnsi="Tahoma"/>
              <w:sz w:val="20"/>
            </w:rPr>
          </w:pPr>
        </w:p>
      </w:tc>
      <w:tc>
        <w:tcPr>
          <w:tcW w:w="6588" w:type="dxa"/>
        </w:tcPr>
        <w:p>
          <w:pPr>
            <w:pStyle w:val="P1"/>
            <w:jc w:val="right"/>
            <w:rPr>
              <w:rFonts w:ascii="Tahoma" w:hAnsi="Tahoma"/>
            </w:rPr>
          </w:pP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</w:p>
      </w:tc>
    </w:tr>
  </w:tbl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15B06CD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58859F9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Body Text"/>
    <w:basedOn w:val="P0"/>
    <w:next w:val="P3"/>
    <w:pPr>
      <w:spacing w:after="120"/>
    </w:pPr>
    <w:rPr/>
  </w:style>
  <w:style w:type="paragraph" w:styleId="P4">
    <w:name w:val="Balloon Text"/>
    <w:basedOn w:val="P0"/>
    <w:next w:val="P4"/>
    <w:pPr/>
    <w:rPr>
      <w:rFonts w:ascii="Tahoma" w:hAnsi="Tahoma"/>
      <w:sz w:val="16"/>
    </w:rPr>
  </w:style>
  <w:style w:type="paragraph" w:styleId="P5">
    <w:name w:val="Car Car"/>
    <w:basedOn w:val="P0"/>
    <w:next w:val="P5"/>
    <w:pPr>
      <w:spacing w:lineRule="exact" w:line="240" w:after="160"/>
    </w:pPr>
    <w:rPr>
      <w:rFonts w:ascii="Verdana" w:hAnsi="Verdana"/>
      <w:i w:val="1"/>
      <w:sz w:val="20"/>
    </w:rPr>
  </w:style>
  <w:style w:type="paragraph" w:styleId="P6">
    <w:name w:val=" Char Char Char Char"/>
    <w:basedOn w:val="P0"/>
    <w:next w:val="P6"/>
    <w:link w:val="C0"/>
    <w:pPr>
      <w:spacing w:lineRule="exact" w:line="240" w:after="160"/>
    </w:pPr>
    <w:rPr>
      <w:rFonts w:ascii="Verdana" w:hAnsi="Verdana"/>
      <w:i w:val="1"/>
      <w:sz w:val="20"/>
    </w:rPr>
  </w:style>
  <w:style w:type="character" w:styleId="C0" w:default="1">
    <w:name w:val="Default Paragraph Font"/>
    <w:link w:val="P6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llowedHyperlink"/>
    <w:rPr>
      <w:color w:val="800080"/>
      <w:u w:val="single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2017-06-15T06:40:00Z</dcterms:created>
  <cp:lastModifiedBy>Nikola Kapetanovic</cp:lastModifiedBy>
  <cp:lastPrinted>2018-09-13T08:29:00Z</cp:lastPrinted>
  <dcterms:modified xsi:type="dcterms:W3CDTF">2020-01-10T11:25:16Z</dcterms:modified>
  <cp:revision>85</cp:revision>
  <dc:title>ДАТУМ</dc:title>
</cp:coreProperties>
</file>