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346701" Type="http://schemas.openxmlformats.org/officeDocument/2006/relationships/officeDocument" Target="/word/document.xml" /><Relationship Id="coreR393467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-72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8640"/>
        </w:trPr>
        <w:tc>
          <w:tcPr>
            <w:tcW w:w="0" w:type="auto"/>
            <w:tcBorders>
              <w:bottom w:val="none" w:sz="0" w:space="0" w:shadow="0" w:frame="0"/>
            </w:tcBorders>
          </w:tcPr>
          <w:p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20.11.2018.</w:t>
            </w:r>
          </w:p>
          <w:tbl>
            <w:tblPr>
              <w:tblStyle w:val="T2"/>
              <w:tblW w:w="9004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901"/>
              </w:trPr>
              <w:tc>
                <w:tcPr>
                  <w:tcW w:w="9004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outlineLvl w:val="0"/>
                    <w:rPr>
                      <w:rFonts w:ascii="Tahoma" w:hAnsi="Tahoma"/>
                      <w:b w:val="1"/>
                      <w:sz w:val="18"/>
                    </w:rPr>
                  </w:pPr>
                </w:p>
                <w:p>
                  <w:pPr>
                    <w:pStyle w:val="P1"/>
                    <w:spacing w:before="480" w:after="120"/>
                    <w:jc w:val="center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Инвестиције у основна средства, 2017.</w:t>
                  </w:r>
                </w:p>
                <w:p>
                  <w:pPr>
                    <w:jc w:val="center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 xml:space="preserve">– Резултати истраживања  „Годишњи извештај о инвестицијама у основна средства“ –</w:t>
                  </w:r>
                </w:p>
                <w:p>
                  <w:pPr>
                    <w:jc w:val="center"/>
                    <w:rPr>
                      <w:rFonts w:ascii="Tahoma" w:hAnsi="Tahoma"/>
                      <w:sz w:val="18"/>
                    </w:rPr>
                  </w:pPr>
                </w:p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>
            <w:pPr>
              <w:spacing w:lineRule="auto" w:line="276" w:before="120"/>
              <w:ind w:firstLine="418" w:left="-1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Подаци приказани у овом саопштењу резултат су истраживања „Годишњи извештај о инвестицијама у основна средства“ (ИНВ-01). Извештајне јединице су искључиво правна лица која су непосредни инвеститори (не обухватају се инвестиције предузетника и физичких лица). </w:t>
            </w:r>
          </w:p>
          <w:p>
            <w:pPr>
              <w:spacing w:lineRule="auto" w:line="276" w:before="120"/>
              <w:ind w:firstLine="418" w:left="-1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Основни циљ истраживања је информисање о инвестиционој активности, тј. набавци и изградњи основних средстава у земљи. Истраживање представља и један од извора података за обрачун БДП-а према расходној методи. За потребе обрачуна инвестиција као агрегата употребе БДП-а (односно бруто инвестиција у основна средства) као и за израду рачуна капитала, спроводе се додатни обрачуни (интелектуална својина, производња за сопствене потребе, војни системи и друге категорије основних средстава које нису обухваћене овим истраживањем). </w:t>
            </w:r>
          </w:p>
          <w:p>
            <w:pPr>
              <w:spacing w:lineRule="auto" w:line="276" w:before="120"/>
              <w:ind w:firstLine="418" w:left="-1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Укупна основна средства могу бити нова и већ коришћена (половна)*. Остварене инвестиције у укупна основна средства у Републици Србији у 2017. години веће су за 13,7% него у претходној години, док остварене инвестиције у нова основна средства показују раст у 2017. години у односу на претходну годину за 13,7%.</w:t>
            </w:r>
          </w:p>
          <w:p>
            <w:pPr>
              <w:spacing w:lineRule="auto" w:line="276" w:before="120"/>
              <w:ind w:firstLine="418" w:left="-1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Посматрано по регионима, 51,4% укупних инвестиција остварено је у Београдском региону, 26,9% у Региону Војводине, 13,4% у Региону Шумадије и Западне Србије и 8,3% у Региону Јужне и Источне Србије. </w:t>
            </w:r>
          </w:p>
          <w:p>
            <w:pPr>
              <w:spacing w:lineRule="auto" w:line="276" w:before="120"/>
              <w:ind w:firstLine="418" w:left="-1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Посматрано по делатностима, највеће учешће на нивоу Републике Србије у укупним оствареним инвестицијама у основна средства забележено је у сектору прерађивачке индустрије (23,2%), сектору државне управе и обавезног социјалног осигурања (15,3%), сектору снабдевања електричном енергијом, гасом и паром (10%), сектору трговине на велико и мало и поправке моторних возила (9,4%) и у сектору саобраћаја и складиштења (7,6%).</w:t>
            </w:r>
          </w:p>
          <w:p>
            <w:pPr>
              <w:spacing w:lineRule="auto" w:line="276" w:before="120"/>
              <w:ind w:firstLine="403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Највеће учешће у укупним исплатама за инвестиције у основна средства имају исплате из сопствених средстава (77,2%).</w:t>
            </w:r>
          </w:p>
          <w:p>
            <w:pPr>
              <w:spacing w:lineRule="auto" w:line="276" w:before="120"/>
              <w:ind w:firstLine="403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________________</w:t>
            </w:r>
          </w:p>
          <w:p>
            <w:pPr>
              <w:spacing w:lineRule="auto" w:line="276" w:before="120"/>
              <w:ind w:firstLine="90" w:left="-105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* У инвестиције које су агрегат употребе БДП-а, поред нових основних средстава, укључују се и половна основна средства набављена из иностранства, јер доводе до повећања укупног стања капиталних добара у земљи. Трансакције унутар земље (куповина и продаја половних основних средстава) међусобно се потиру, осим у делу који се односи на трошкове преноса власништва.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440" w:right="1440" w:top="1440" w:bottom="144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Jeлена Јаковљевић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израду база за националне рачунe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Tел.: +381 11 2412-922, локал 239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јеlena.jakovljevic@stat.gov.rs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Tел.: +381 11 2401-284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sz w:val="20"/>
            </w:rPr>
            <w:t xml:space="preserve">                         Др Миладин Ковачевић</w:t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  <w:r>
      <w:rPr>
        <w:rFonts w:ascii="Tahoma" w:hAnsi="Tahoma"/>
        <w:color w:val="333333"/>
        <w:sz w:val="16"/>
        <w:vertAlign w:val="superscript"/>
      </w:rPr>
      <w:t xml:space="preserve">1) </w:t>
    </w:r>
    <w:r>
      <w:rPr>
        <w:rFonts w:ascii="Tahoma" w:hAnsi="Tahoma"/>
        <w:color w:val="333333"/>
        <w:sz w:val="16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</w:r>
  </w:p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2-412-922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7"/>
              <w:rFonts w:ascii="Tahoma" w:hAnsi="Tahoma"/>
              <w:sz w:val="22"/>
            </w:rPr>
            <w:instrText xml:space="preserve"> NUMPAGES </w:instrText>
          </w:r>
          <w:r>
            <w:rPr>
              <w:rStyle w:val="C7"/>
              <w:rFonts w:ascii="Tahoma" w:hAnsi="Tahoma"/>
              <w:sz w:val="22"/>
            </w:rPr>
            <w:fldChar w:fldCharType="separate"/>
          </w:r>
          <w:r>
            <w:rPr>
              <w:rStyle w:val="C7"/>
              <w:rFonts w:ascii="Tahoma" w:hAnsi="Tahoma"/>
              <w:sz w:val="22"/>
            </w:rPr>
            <w:t>#</w:t>
          </w:r>
          <w:r>
            <w:rPr>
              <w:rStyle w:val="C7"/>
              <w:rFonts w:ascii="Tahoma" w:hAnsi="Tahoma"/>
              <w:sz w:val="22"/>
            </w:rPr>
            <w:fldChar w:fldCharType="end"/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67A823A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0A9F139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1770619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16"/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09550BC"/>
    <w:multiLevelType w:val="hybridMultilevel"/>
    <w:lvl w:ilvl="0" w:tplc="465C018A">
      <w:start w:val="3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ahoma" w:hAnsi="Tahoma"/>
      </w:rPr>
    </w:lvl>
    <w:lvl w:ilvl="1" w:tplc="70584E7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A53F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A4AD7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25744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6CE88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F13C8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B068D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021B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5BE40E8"/>
    <w:multiLevelType w:val="multilevel"/>
    <w:lvl w:ilvl="0">
      <w:start w:val="1"/>
      <w:numFmt w:val="decimal"/>
      <w:suff w:val="tab"/>
      <w:lvlText w:val="%1."/>
      <w:lvlJc w:val="left"/>
      <w:pPr>
        <w:ind w:hanging="360" w:left="615"/>
      </w:pPr>
      <w:rPr/>
    </w:lvl>
    <w:lvl w:ilvl="1">
      <w:start w:val="1"/>
      <w:numFmt w:val="lowerLetter"/>
      <w:suff w:val="tab"/>
      <w:lvlText w:val="%2."/>
      <w:lvlJc w:val="left"/>
      <w:pPr>
        <w:ind w:hanging="360" w:left="1335"/>
      </w:pPr>
      <w:rPr/>
    </w:lvl>
    <w:lvl w:ilvl="2">
      <w:start w:val="1"/>
      <w:numFmt w:val="lowerRoman"/>
      <w:suff w:val="tab"/>
      <w:lvlText w:val="%3."/>
      <w:lvlJc w:val="right"/>
      <w:pPr>
        <w:ind w:hanging="180" w:left="2055"/>
      </w:pPr>
      <w:rPr/>
    </w:lvl>
    <w:lvl w:ilvl="3">
      <w:start w:val="1"/>
      <w:numFmt w:val="decimal"/>
      <w:suff w:val="tab"/>
      <w:lvlText w:val="%4."/>
      <w:lvlJc w:val="left"/>
      <w:pPr>
        <w:ind w:hanging="360" w:left="2775"/>
      </w:pPr>
      <w:rPr/>
    </w:lvl>
    <w:lvl w:ilvl="4">
      <w:start w:val="1"/>
      <w:numFmt w:val="lowerLetter"/>
      <w:suff w:val="tab"/>
      <w:lvlText w:val="%5."/>
      <w:lvlJc w:val="left"/>
      <w:pPr>
        <w:ind w:hanging="360" w:left="3495"/>
      </w:pPr>
      <w:rPr/>
    </w:lvl>
    <w:lvl w:ilvl="5">
      <w:start w:val="1"/>
      <w:numFmt w:val="lowerRoman"/>
      <w:suff w:val="tab"/>
      <w:lvlText w:val="%6."/>
      <w:lvlJc w:val="right"/>
      <w:pPr>
        <w:ind w:hanging="180" w:left="4215"/>
      </w:pPr>
      <w:rPr/>
    </w:lvl>
    <w:lvl w:ilvl="6">
      <w:start w:val="1"/>
      <w:numFmt w:val="decimal"/>
      <w:suff w:val="tab"/>
      <w:lvlText w:val="%7."/>
      <w:lvlJc w:val="left"/>
      <w:pPr>
        <w:ind w:hanging="360" w:left="4935"/>
      </w:pPr>
      <w:rPr/>
    </w:lvl>
    <w:lvl w:ilvl="7">
      <w:start w:val="1"/>
      <w:numFmt w:val="lowerLetter"/>
      <w:suff w:val="tab"/>
      <w:lvlText w:val="%8."/>
      <w:lvlJc w:val="left"/>
      <w:pPr>
        <w:ind w:hanging="360" w:left="5655"/>
      </w:pPr>
      <w:rPr/>
    </w:lvl>
    <w:lvl w:ilvl="8">
      <w:start w:val="1"/>
      <w:numFmt w:val="lowerRoman"/>
      <w:suff w:val="tab"/>
      <w:lvlText w:val="%9."/>
      <w:lvlJc w:val="right"/>
      <w:pPr>
        <w:ind w:hanging="180" w:left="6375"/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link w:val="C6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Car Car"/>
    <w:basedOn w:val="P0"/>
    <w:next w:val="P5"/>
    <w:pPr>
      <w:spacing w:lineRule="exact" w:line="240" w:after="160"/>
    </w:pPr>
    <w:rPr>
      <w:rFonts w:ascii="Verdana" w:hAnsi="Verdana"/>
      <w:i w:val="1"/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paragraph" w:styleId="P7">
    <w:name w:val="Footnote Text"/>
    <w:basedOn w:val="P0"/>
    <w:next w:val="P7"/>
    <w:link w:val="C4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Text Char"/>
    <w:link w:val="P7"/>
    <w:rPr>
      <w:sz w:val="20"/>
    </w:rPr>
  </w:style>
  <w:style w:type="character" w:styleId="C5">
    <w:name w:val="Footnote Reference"/>
    <w:rPr>
      <w:vertAlign w:val="superscript"/>
    </w:rPr>
  </w:style>
  <w:style w:type="character" w:styleId="C6">
    <w:name w:val="Heading 1 Char"/>
    <w:link w:val="P1"/>
    <w:rPr>
      <w:rFonts w:ascii="Arial" w:hAnsi="Arial"/>
      <w:b w:val="1"/>
      <w:sz w:val="32"/>
    </w:rPr>
  </w:style>
  <w:style w:type="character" w:styleId="C7">
    <w:name w:val="Page Number"/>
    <w:basedOn w:val="C0"/>
    <w:rPr/>
  </w:style>
  <w:style w:type="character" w:styleId="C8">
    <w:name w:val="apple-style-span"/>
    <w:basedOn w:val="C0"/>
    <w:rPr/>
  </w:style>
  <w:style w:type="character" w:styleId="C9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2018-11-20T11:32:00Z</dcterms:created>
  <cp:lastModifiedBy>Nikola Kapetanovic</cp:lastModifiedBy>
  <cp:lastPrinted>2018-11-20T12:17:00Z</cp:lastPrinted>
  <dcterms:modified xsi:type="dcterms:W3CDTF">2020-01-10T11:25:16Z</dcterms:modified>
  <cp:revision>45</cp:revision>
  <dc:title>ДАТУМ</dc:title>
</cp:coreProperties>
</file>