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B6DAF6" Type="http://schemas.openxmlformats.org/officeDocument/2006/relationships/officeDocument" Target="/word/document.xml" /><Relationship Id="coreR5FB6DA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96" w:type="dxa"/>
            <w:tcBorders>
              <w:bottom w:val="none" w:sz="0" w:space="0" w:shadow="0" w:frame="0"/>
            </w:tcBorders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01.10.2018.</w:t>
            </w:r>
          </w:p>
          <w:p>
            <w:pPr>
              <w:jc w:val="right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Бруто домаћи производ, 2015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ahoma" w:hAnsi="Tahoma"/>
                <w:sz w:val="28"/>
              </w:rPr>
              <w:t>2017.</w:t>
            </w:r>
          </w:p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 Ревидирани подаци -</w:t>
            </w: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Републички завод за статистику објављује претходне резултате ревизије бруто домаћег производа (БДП) по методологији ESA 2010, према производном и расходном приступу, у текућим и сталним ценама, за период 2015–2017. Финалне процене биће објављене годину дана касније – у складу са новом динамиком објављивања података о БДП-у.</w:t>
            </w:r>
          </w:p>
          <w:p>
            <w:pPr>
              <w:ind w:firstLine="360"/>
              <w:jc w:val="both"/>
              <w:rPr>
                <w:rFonts w:ascii="Tahoma" w:hAnsi="Tahoma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Уз серије ревидираних података, </w:t>
            </w:r>
            <w:r>
              <w:rPr>
                <w:rFonts w:ascii="Tahoma" w:hAnsi="Tahoma"/>
                <w:sz w:val="20"/>
              </w:rPr>
              <w:t>објављено</w:t>
            </w:r>
            <w:r>
              <w:rPr>
                <w:rFonts w:ascii="Tahoma" w:hAnsi="Tahoma"/>
                <w:color w:val="000000"/>
                <w:sz w:val="20"/>
              </w:rPr>
              <w:t xml:space="preserve"> саопштење садржи и анекс са упоредним прегледом података пре и после ревизије.</w:t>
            </w: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Према прелиминарним резултатима обрачуна, бруто домаћи производ у 2017. години износио је, у текућим ценама, 4 754 368,4 мил. РСД. У односу на претходну годину, БДП је номинално већи за 5,2%.</w:t>
            </w: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Посматрано по делатностима, у 2017. години најзначајније учешће у формирању БДП-а имају: сектор прерађивачке индустрије, 15,1%, сектор трговине на велико и мало и поправке моторних возила, 11,4%, сектор пословања некретнинама, 7,3%, сектор пољопривреде, шумарства и рибарства, 6,0% и сектор информисања и комуникација, 5,0%. С друге стране, у употреби БДП-а учешће издатака за личну потрошњу домаћинстава је 69,6%, издатака за финалну потрошњу државе 16,2%, бруто инвестиција у основнa средства 17,7%, извоза добара и услуга 50,5% и увоза добара и услуга 57,1%.</w:t>
            </w: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Реални раст БДП-а у 2017. години, у односу на претходну годину, износио је 2,0%.</w:t>
            </w: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По делатностима, у 2017. години у сектору прерађивачке индустрије остварен је реални раст бруто додате вредности од 4,8%, сектору трговине на велико и мало и поправке моторних возила, 5,2%, сектору информисања и комуникација, 3,8%, сектору грађевинарства, 5,7%, сектору саобраћаја и складиштења, 4,5% и у сектору услуга смештаја и исхране, 10,8%. Реални пад бруто додате вредности забележен је у сектору пољопривреде, шумарства и рибарства, 11,2%, као и у сектору снабдевања електричном енергијом, гасом и паром, 4,2%. Посматрано са расходне стране, највећи реални раст бележе извоз добара и услуга, 8,2%, и увоз добара и услуга, 11,1%. Бруто инвестиције у основна средства имају реални раст од 7,3%. Издаци за финалну потрошњу имају реалну стопу раста од 2,2%, од чега је реални раст издатака за личну потрошњу сектора домаћинстава 2,0%. Издаци за личну потрошњу државе имају реални раст од 3,7%, а издаци за колективну потрошњу раст од 2,7%.</w:t>
            </w:r>
          </w:p>
          <w:p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</w:p>
        </w:tc>
      </w:tr>
      <w:tr>
        <w:tc>
          <w:tcPr>
            <w:tcW w:w="10296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Tahoma" w:hAnsi="Tahoma"/>
                <w:sz w:val="22"/>
              </w:rPr>
            </w:pP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Душан Гавриловић, помоћник директора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Тел.: +381 11 2412-922, локал 381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dusan.gavrilovic@stat.gov.rs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Тел.: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  <w:r>
      <w:rPr>
        <w:rFonts w:ascii="Tahoma" w:hAnsi="Tahoma"/>
        <w:color w:val="333333"/>
        <w:sz w:val="16"/>
        <w:vertAlign w:val="superscript"/>
      </w:rPr>
      <w:t xml:space="preserve">1) </w:t>
    </w:r>
    <w:r>
      <w:rPr>
        <w:rFonts w:ascii="Tahoma" w:hAnsi="Tahoma"/>
        <w:color w:val="333333"/>
        <w:sz w:val="16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</w:r>
  </w:p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2-412-922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09641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3A9D1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4EDA46E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09550BC"/>
    <w:multiLevelType w:val="hybridMultilevel"/>
    <w:lvl w:ilvl="0" w:tplc="3848EFFC">
      <w:start w:val="3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ahoma" w:hAnsi="Tahoma"/>
      </w:rPr>
    </w:lvl>
    <w:lvl w:ilvl="1" w:tplc="233D7AE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05DF7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A8252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13691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75A0F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B134F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39339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F5670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2"/>
    <w:basedOn w:val="P0"/>
    <w:next w:val="P1"/>
    <w:qFormat/>
    <w:pPr>
      <w:spacing w:before="100" w:after="100" w:beforeAutospacing="1" w:afterAutospacing="1"/>
      <w:outlineLvl w:val="1"/>
    </w:pPr>
    <w:rPr>
      <w:b w:val="1"/>
      <w:sz w:val="36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Car Car"/>
    <w:basedOn w:val="P0"/>
    <w:next w:val="P5"/>
    <w:pPr>
      <w:spacing w:lineRule="exact" w:line="240" w:after="160"/>
    </w:pPr>
    <w:rPr>
      <w:rFonts w:ascii="Verdana" w:hAnsi="Verdana"/>
      <w:i w:val="1"/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paragraph" w:styleId="P7">
    <w:name w:val="Normal (Web)"/>
    <w:basedOn w:val="P0"/>
    <w:next w:val="P7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Page Number"/>
    <w:basedOn w:val="C0"/>
    <w:rPr/>
  </w:style>
  <w:style w:type="character" w:styleId="C5">
    <w:name w:val="apple-style-span"/>
    <w:basedOn w:val="C0"/>
    <w:rPr/>
  </w:style>
  <w:style w:type="character" w:styleId="C6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2018-10-01T09:38:00Z</dcterms:created>
  <cp:lastModifiedBy>Nikola Kapetanovic</cp:lastModifiedBy>
  <cp:lastPrinted>2014-03-07T07:56:00Z</cp:lastPrinted>
  <dcterms:modified xsi:type="dcterms:W3CDTF">2020-01-10T11:25:15Z</dcterms:modified>
  <cp:revision>3</cp:revision>
  <dc:title>ДАТУМ</dc:title>
</cp:coreProperties>
</file>