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C92FA4" Type="http://schemas.openxmlformats.org/officeDocument/2006/relationships/officeDocument" Target="/word/document.xml" /><Relationship Id="coreR13C92F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31.07.2018.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ј</w:t>
            </w:r>
            <w:r>
              <w:rPr>
                <w:rFonts w:ascii="Tahoma" w:hAnsi="Tahoma"/>
                <w:b w:val="1"/>
                <w:sz w:val="20"/>
              </w:rPr>
              <w:t>ун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ун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22476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8560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9725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20,4%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275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25,0%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8033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7,6%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10527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11,7%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3026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2494,0 милиона, што је повећање од 27,2%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79,2%.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(33,7%); следи Београдски регион (26,6/%), Регион Шумадије и Западне Србије (23,8%), Регион Јужне и Источне Србије (15,8%),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(46,0%); следе Регион Војводине (28,5%), Регион Шумадије и Западне Србије (15,8%), Регион Јужне и Источне Србије (9,2%),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58,0%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(5635,8 мил. долара), следе роба за широку потрошњу, 31,3% (3046,4) и опрема, 10,7% (1042,4). Некласификована роба по намени износи 0,0% (0,5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57,3% (7303,6 мил. долара), следе роба за широку потрошњу, 18,7% (2382,7), и опрема, 12,6% (1612,2). Некласификована роба по намени износи 11,4% (1453,2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64,7%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1344.1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1109.4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1736.1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1434.4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1187.3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980.5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1259.4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1039.7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762.3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629.6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1026.0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846.3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546.6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451.3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983.9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810.8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512.0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424.2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654.3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539.9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1122,8 мил. долара, који је резултат углавном извоза пољопривредних производа (житарице и производи од њих и разне врсте пића), гвожђа и челика,  друмских возила, нафте и нафтних деривата. Извоз Србије износи 1635,7 а увоз 512,9 мил. долара за посматрани период. Покривеност увоза извозом је 318,9%.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351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42</w:t>
            </w:r>
            <w:r>
              <w:rPr>
                <w:rFonts w:ascii="Arial" w:hAnsi="Arial"/>
                <w:b w:val="1"/>
                <w:sz w:val="18"/>
              </w:rPr>
              <w:t>4,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мил. евра (суфицит је 927,5 мил. евра, а покривеност увоза извозом 318,8%).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електрична енергија) и Македонијом (извоз топловаљаних трака у котуровима и електрична енергија, а увозе се највише лекови за малопродају и ваљани производи, превучени пластиком). Од осталих земаља истиче се и суфицит са Румунијом, Бугарском, Италијом, Словачком, Хрватском, Шведском, Великом Британијом и Словенијом.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 Турском, Мађарском, Пољском (увоз делова за моторна возила), Ираком, Белгијом, Украјином (увоз руде гвожђа и концентрати), Корејом, Француском, САД-ом ...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34,2% укупног извоза. Увоз првих пет одсека чини 27,4%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11,3%.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1033.5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853.6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визила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967.2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798.2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795.0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656.5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815.4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674.7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579.4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478.4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766.7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632.9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Обојени метали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457.2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377.5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510.2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421.1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457.0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376.8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432.9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357.5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ј</w:t>
            </w:r>
            <w:r>
              <w:rPr>
                <w:rFonts w:ascii="Arial" w:hAnsi="Arial"/>
                <w:b w:val="1"/>
                <w:sz w:val="18"/>
              </w:rPr>
              <w:t>у</w:t>
            </w:r>
            <w:r>
              <w:rPr>
                <w:rFonts w:ascii="Arial" w:hAnsi="Arial"/>
                <w:b w:val="1"/>
                <w:sz w:val="18"/>
              </w:rPr>
              <w:t>ну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739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14,0%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96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16,6%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91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9,3%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81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11,7%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јун 2018 / мај 2018. године показује пад извоза за 0,4% и раст  увоза за 4,9%. Рачунато у еврима, десезонирани индекс јун 2018 / мај 2018. године показује раст  извоза за 1,0% и раст  увоза за 4,5%.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ј</w:t>
            </w:r>
            <w:r>
              <w:rPr>
                <w:rFonts w:ascii="Arial" w:hAnsi="Arial"/>
                <w:b w:val="1"/>
                <w:i w:val="1"/>
                <w:sz w:val="18"/>
              </w:rPr>
              <w:t>ун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(100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 xml:space="preserve">топло ваљаних производа (гвожђе и нелегирани челик) у котуровима </w:t>
            </w:r>
            <w:r>
              <w:rPr>
                <w:rFonts w:ascii="Arial" w:hAnsi="Arial"/>
                <w:sz w:val="18"/>
              </w:rPr>
              <w:t xml:space="preserve">(51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3 </w:t>
            </w:r>
            <w:r>
              <w:rPr>
                <w:rFonts w:ascii="Arial" w:hAnsi="Arial"/>
                <w:sz w:val="18"/>
              </w:rPr>
              <w:t>са 44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био је 40 мил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31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(122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 xml:space="preserve">делови и прибор  за моторна возила</w:t>
            </w:r>
            <w:r>
              <w:rPr>
                <w:rFonts w:ascii="Arial" w:hAnsi="Arial"/>
                <w:sz w:val="18"/>
              </w:rPr>
              <w:t xml:space="preserve"> (72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(56 мил. долара). </w:t>
            </w:r>
            <w:r>
              <w:rPr>
                <w:rFonts w:ascii="Arial" w:hAnsi="Arial"/>
                <w:i w:val="1"/>
                <w:sz w:val="18"/>
              </w:rPr>
              <w:t xml:space="preserve">Природни гас </w:t>
            </w:r>
            <w:r>
              <w:rPr>
                <w:rFonts w:ascii="Arial" w:hAnsi="Arial"/>
                <w:sz w:val="18"/>
              </w:rPr>
              <w:t>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37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 xml:space="preserve">осталих електричних  проводника, за напон &lt;1000</w:t>
            </w:r>
            <w:r>
              <w:rPr>
                <w:rFonts w:ascii="Arial" w:hAnsi="Arial"/>
                <w:i w:val="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 xml:space="preserve"> са 28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629F4A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4A9CE0E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2018-07-27T11:29:00Z</dcterms:created>
  <cp:lastModifiedBy>Nikola Kapetanovic</cp:lastModifiedBy>
  <cp:lastPrinted>2018-03-28T14:44:00Z</cp:lastPrinted>
  <dcterms:modified xsi:type="dcterms:W3CDTF">2020-01-10T11:25:15Z</dcterms:modified>
  <cp:revision>23</cp:revision>
  <dc:title>29</dc:title>
</cp:coreProperties>
</file>