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F5482" Type="http://schemas.openxmlformats.org/officeDocument/2006/relationships/officeDocument" Target="/word/document.xml" /><Relationship Id="coreRDF548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16.07.2018.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color w:val="FF0000"/>
                <w:sz w:val="20"/>
              </w:rPr>
              <w:t>коначни подаци</w:t>
            </w:r>
            <w:r>
              <w:rPr>
                <w:rFonts w:ascii="Tahoma" w:hAnsi="Tahoma"/>
                <w:b w:val="1"/>
                <w:sz w:val="20"/>
              </w:rPr>
              <w:t xml:space="preserve"> 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7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-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дец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ем</w:t>
            </w:r>
            <w:r>
              <w:rPr>
                <w:rFonts w:ascii="Arial" w:hAnsi="Arial"/>
                <w:b w:val="1"/>
                <w:color w:val="000000"/>
                <w:sz w:val="18"/>
              </w:rPr>
              <w:t>бар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89</w:t>
            </w:r>
            <w:r>
              <w:rPr>
                <w:rFonts w:ascii="Arial" w:hAnsi="Arial"/>
                <w:b w:val="1"/>
                <w:color w:val="000000"/>
                <w:sz w:val="18"/>
              </w:rPr>
              <w:t>17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44</w:t>
            </w:r>
            <w:r>
              <w:rPr>
                <w:rFonts w:ascii="Arial" w:hAnsi="Arial"/>
                <w:b w:val="1"/>
                <w:color w:val="000000"/>
                <w:sz w:val="18"/>
              </w:rPr>
              <w:t>46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699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14,2%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219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16,0%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50</w:t>
            </w:r>
            <w:r>
              <w:rPr>
                <w:rFonts w:ascii="Arial" w:hAnsi="Arial"/>
                <w:b w:val="1"/>
                <w:color w:val="000000"/>
                <w:sz w:val="18"/>
              </w:rPr>
              <w:t>50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12,1%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>396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13,6%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>23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4345,2 милиона, што је повећање од 19,5%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78,8%.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(33,0%); следи Београдски регион (26,4/%), Регион Шумадије и Западне Србије (24,6%), Регион Јужне и Источне Србије (16,0%),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(45,9%); следе Регион Војводине (27,5%), Регион Шумадије и Западне Србије (16,4%), Регион Јужне и Источне Србије (9,5%), а око 0,7%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55,6%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(9442,0 мил. долара), следе роба за широку потрошњу, 33,4% (5670,8) и опрема, 11,1% (1883,1). Некласификована роба по намени износи 0,0% (1,2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57,7% (12642,3 мил. долара), следе роба за широку потрошњу, 18,8% (4127,8), и опрема, 12,5% (2733,9). Некласификована роба по намени износи 11,0% (2416,5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64,0%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2237.0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1990.3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2774.6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2454.7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2131.5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1888.7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2207.5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1955.1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1371.3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1211.6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1767.7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1560.8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995.5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881.3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1586.2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1410.6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817.5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726.1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1064.4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940.6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2051,6 мил. долара, који је резултат углавном извоза пољопривредних производа (житарице и производи од њих и разне врсте пића), гвожђа и челика, производа од метала, друмских возила. Када је реч о увозу, најзаступљенији су гвожђе и челик,  камени угаљ, кокс и брикети, поврће и воће, плута и дрво. Извоз Србије износи 2982,1 а увоз 930,5 мил. долара за посматрани период. Покривеност увоза извозом је 320,5%.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26</w:t>
            </w:r>
            <w:r>
              <w:rPr>
                <w:rFonts w:ascii="Arial" w:hAnsi="Arial"/>
                <w:b w:val="1"/>
                <w:sz w:val="18"/>
              </w:rPr>
              <w:t>35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82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мил. евра (суфицит је 1814,0 мил. евра, а покривеност увоза извозом 320,9%).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Херцеговином, Црном Гором и Македонијом. Од осталих земаља истиче се и суфицит са Бугарском, Румунијом, Хрватском, Словачком, Великом Британијом, Италијом,  Шведском и Молдавијом. Највећи дефицит јавља се у трговини са Кином (због увоза телефона за мрежу станица и лаптопова) и Немачком. Следи дефицит са: Руском Федерацијом (због увоза енергената, пре свега, нафте и гаса),Турском, Пољском (увоз делова за моторна возила), Ираком, Мађарском, Белгијом, Аустријом, Чешком, Индијом, Грчком,  Украјином (увоз руде гвожђа и концентрати).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31,9% укупног извоза. Увоз првих пет одсека чини 26,9%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11,1%.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1549.2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1368.5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1756.3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1563.3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1401.3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1250.0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1393.2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1230.8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Поврће и воће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886.7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783.8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1169.0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1031.9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Обојени метали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819.6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725.5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Индустр.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816.8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720.7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Производи од каучука, нигде непоменути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759.0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669.3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766.1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Calibri" w:hAnsi="Calibri"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678.3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2F74C75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1DB4425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2018-07-09T09:47:00Z</dcterms:created>
  <cp:lastModifiedBy>Nikola Kapetanovic</cp:lastModifiedBy>
  <cp:lastPrinted>2018-07-09T15:20:00Z</cp:lastPrinted>
  <dcterms:modified xsi:type="dcterms:W3CDTF">2020-01-10T11:25:15Z</dcterms:modified>
  <cp:revision>17</cp:revision>
  <dc:title>29</dc:title>
</cp:coreProperties>
</file>