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31124E62" Type="http://schemas.openxmlformats.org/officeDocument/2006/relationships/officeDocument" Target="/word/document.xml" /><Relationship Id="coreR31124E62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tbl>
      <w:tblPr>
        <w:tblStyle w:val="T2"/>
        <w:tblW w:w="0" w:type="auto"/>
        <w:tblInd w:w="288" w:type="dxa"/>
        <w:tblBorders>
          <w:top w:val="none" w:sz="0" w:space="0" w:shadow="0" w:frame="0"/>
          <w:left w:val="none" w:sz="0" w:space="0" w:shadow="0" w:frame="0"/>
          <w:bottom w:val="none" w:sz="0" w:space="0" w:shadow="0" w:frame="0"/>
          <w:right w:val="none" w:sz="0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>
      <w:tblGrid/>
      <w:tr>
        <w:trPr>
          <w:wAfter w:w="0" w:type="dxa"/>
          <w:trHeight w:hRule="atLeast" w:val="10152"/>
        </w:trPr>
        <w:tc>
          <w:tcPr>
            <w:tcW w:w="9270" w:type="dxa"/>
          </w:tcPr>
          <w:tbl>
            <w:tblPr>
              <w:tblStyle w:val="T2"/>
              <w:tblW w:w="0" w:type="auto"/>
              <w:tblBorders>
                <w:top w:val="single" w:sz="4" w:space="0" w:shadow="0" w:frame="0"/>
                <w:left w:val="single" w:sz="4" w:space="0" w:shadow="0" w:frame="0"/>
                <w:bottom w:val="single" w:sz="4" w:space="0" w:shadow="0" w:frame="0"/>
                <w:right w:val="single" w:sz="4" w:space="0" w:shadow="0" w:frame="0"/>
                <w:insideH w:val="single" w:sz="4" w:space="0" w:shadow="0" w:frame="0"/>
                <w:insideV w:val="single" w:sz="4" w:space="0" w:shadow="0" w:frame="0"/>
              </w:tblBorders>
              <w:tblLayout w:type="autofit"/>
            </w:tblPr>
            <w:tblGrid/>
            <w:tr>
              <w:tc>
                <w:tcPr>
                  <w:tcW w:w="10065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none" w:sz="0" w:space="0" w:shadow="0" w:frame="0"/>
                  </w:tcBorders>
                </w:tcPr>
                <w:p>
                  <w:pPr>
                    <w:jc w:val="center"/>
                    <w:rPr>
                      <w:rFonts w:ascii="Tahoma" w:hAnsi="Tahoma"/>
                      <w:color w:val="333333"/>
                      <w:sz w:val="20"/>
                    </w:rPr>
                  </w:pPr>
                </w:p>
              </w:tc>
            </w:tr>
          </w:tbl>
          <w:p>
            <w:pPr>
              <w:jc w:val="right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12.06.2018. </w:t>
            </w:r>
          </w:p>
          <w:p>
            <w:pPr>
              <w:jc w:val="right"/>
              <w:rPr>
                <w:rFonts w:ascii="Arial" w:hAnsi="Arial"/>
                <w:b w:val="1"/>
                <w:sz w:val="20"/>
              </w:rPr>
            </w:pPr>
          </w:p>
          <w:p>
            <w:pPr>
              <w:jc w:val="both"/>
              <w:rPr>
                <w:rFonts w:ascii="Arial" w:hAnsi="Arial"/>
                <w:b w:val="1"/>
                <w:sz w:val="20"/>
              </w:rPr>
            </w:pPr>
          </w:p>
          <w:p>
            <w:pPr>
              <w:rPr>
                <w:b w:val="1"/>
                <w:sz w:val="20"/>
              </w:rPr>
            </w:pPr>
          </w:p>
          <w:p>
            <w:pPr>
              <w:rPr>
                <w:b w:val="1"/>
                <w:sz w:val="20"/>
              </w:rPr>
            </w:pPr>
          </w:p>
          <w:p>
            <w:pPr>
              <w:jc w:val="center"/>
              <w:rPr>
                <w:b w:val="1"/>
                <w:sz w:val="20"/>
              </w:rPr>
            </w:pPr>
          </w:p>
          <w:p>
            <w:pPr>
              <w:pStyle w:val="P1"/>
              <w:jc w:val="center"/>
              <w:rPr>
                <w:sz w:val="22"/>
              </w:rPr>
            </w:pPr>
            <w:r>
              <w:rPr>
                <w:rFonts w:ascii="Tahoma" w:hAnsi="Tahoma"/>
                <w:sz w:val="22"/>
              </w:rPr>
              <w:t>ИНДЕКСИ ПОТРОШАЧКИХ ЦЕНА, мај 2018.</w:t>
            </w:r>
          </w:p>
          <w:p/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</w:p>
          <w:p>
            <w:pPr>
              <w:jc w:val="both"/>
              <w:rPr>
                <w:sz w:val="20"/>
              </w:rPr>
            </w:pPr>
          </w:p>
          <w:p>
            <w:pPr>
              <w:ind w:firstLine="360" w:left="72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Индекси потрошачких цена дефинишу се као мера просечне промене малопродајних цена робе и услуга које се користе за личну потрошњу.</w:t>
            </w:r>
          </w:p>
          <w:p>
            <w:pPr>
              <w:jc w:val="both"/>
              <w:rPr>
                <w:rFonts w:ascii="Tahoma" w:hAnsi="Tahoma"/>
                <w:sz w:val="22"/>
              </w:rPr>
            </w:pPr>
          </w:p>
          <w:p>
            <w:pPr>
              <w:ind w:firstLine="360" w:left="72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Цене ових производа и услуга у мају 2018. године, у односу на април 2018. године, у просеку су више за 0,6%. Потрошачке цене у мају 2018. године, у поређењу са истим месецом претходне године, повећане су 2,1%, док су у поређењу са децембром 2017. године повећане 1,8%.</w:t>
            </w:r>
          </w:p>
          <w:p>
            <w:pPr>
              <w:jc w:val="both"/>
              <w:rPr>
                <w:rFonts w:ascii="Tahoma" w:hAnsi="Tahoma"/>
                <w:sz w:val="22"/>
              </w:rPr>
            </w:pPr>
          </w:p>
          <w:p>
            <w:pPr>
              <w:tabs>
                <w:tab w:val="left" w:pos="-180" w:leader="none"/>
              </w:tabs>
              <w:ind w:firstLine="432"/>
              <w:jc w:val="both"/>
              <w:rPr>
                <w:rFonts w:ascii="Tahoma" w:hAnsi="Tahoma"/>
                <w:i w:val="1"/>
                <w:color w:val="000000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Посматрано по главним групама производа и услуга класификованих према намени потрошње, у мају 2018. године, у односу на претходни месец, </w:t>
            </w:r>
            <w:r>
              <w:rPr>
                <w:rFonts w:ascii="Tahoma" w:hAnsi="Tahoma"/>
                <w:color w:val="000000"/>
                <w:sz w:val="22"/>
              </w:rPr>
              <w:t xml:space="preserve">раст цена је забележен у групама </w:t>
            </w:r>
            <w:r>
              <w:rPr>
                <w:rFonts w:ascii="Tahoma" w:hAnsi="Tahoma"/>
                <w:i w:val="1"/>
                <w:color w:val="000000"/>
                <w:sz w:val="22"/>
              </w:rPr>
              <w:t>Транспорт</w:t>
            </w:r>
            <w:r>
              <w:rPr>
                <w:rFonts w:ascii="Tahoma" w:hAnsi="Tahoma"/>
                <w:color w:val="000000"/>
                <w:sz w:val="22"/>
              </w:rPr>
              <w:t xml:space="preserve"> (1,4%), </w:t>
            </w:r>
            <w:r>
              <w:rPr>
                <w:rFonts w:ascii="Tahoma" w:hAnsi="Tahoma"/>
                <w:i w:val="1"/>
                <w:color w:val="000000"/>
                <w:sz w:val="22"/>
              </w:rPr>
              <w:t>Храна и безалкохолна пића</w:t>
            </w:r>
            <w:r>
              <w:rPr>
                <w:rFonts w:ascii="Tahoma" w:hAnsi="Tahoma"/>
                <w:i w:val="1"/>
                <w:color w:val="000000"/>
                <w:sz w:val="22"/>
              </w:rPr>
              <w:t xml:space="preserve"> </w:t>
            </w:r>
            <w:r>
              <w:rPr>
                <w:rFonts w:ascii="Tahoma" w:hAnsi="Tahoma"/>
                <w:color w:val="000000"/>
                <w:sz w:val="22"/>
              </w:rPr>
              <w:t>(1,2%),</w:t>
            </w:r>
            <w:r>
              <w:rPr>
                <w:rFonts w:ascii="Tahoma" w:hAnsi="Tahoma"/>
                <w:i w:val="1"/>
                <w:color w:val="000000"/>
                <w:sz w:val="22"/>
              </w:rPr>
              <w:t xml:space="preserve"> Здравство </w:t>
            </w:r>
            <w:r>
              <w:rPr>
                <w:rFonts w:ascii="Tahoma" w:hAnsi="Tahoma"/>
                <w:color w:val="000000"/>
                <w:sz w:val="22"/>
              </w:rPr>
              <w:t>и</w:t>
            </w:r>
            <w:r>
              <w:rPr>
                <w:rFonts w:ascii="Tahoma" w:hAnsi="Tahoma"/>
                <w:i w:val="1"/>
                <w:color w:val="000000"/>
                <w:sz w:val="22"/>
              </w:rPr>
              <w:t xml:space="preserve"> Ресторани и хотели </w:t>
            </w:r>
            <w:r>
              <w:rPr>
                <w:rFonts w:ascii="Tahoma" w:hAnsi="Tahoma"/>
                <w:color w:val="000000"/>
                <w:sz w:val="22"/>
              </w:rPr>
              <w:t xml:space="preserve">(за по 0,5%), </w:t>
            </w:r>
            <w:r>
              <w:rPr>
                <w:rFonts w:ascii="Tahoma" w:hAnsi="Tahoma"/>
                <w:i w:val="1"/>
                <w:color w:val="000000"/>
                <w:sz w:val="22"/>
              </w:rPr>
              <w:t>Одећа и обућа</w:t>
            </w:r>
            <w:r>
              <w:rPr>
                <w:rFonts w:ascii="Tahoma" w:hAnsi="Tahoma"/>
                <w:color w:val="000000"/>
                <w:sz w:val="22"/>
              </w:rPr>
              <w:t xml:space="preserve"> (0,3%) и </w:t>
            </w:r>
            <w:r>
              <w:rPr>
                <w:rFonts w:ascii="Tahoma" w:hAnsi="Tahoma"/>
                <w:i w:val="1"/>
                <w:color w:val="000000"/>
                <w:sz w:val="22"/>
              </w:rPr>
              <w:t>Рекреација и култура</w:t>
            </w:r>
            <w:r>
              <w:rPr>
                <w:rFonts w:ascii="Tahoma" w:hAnsi="Tahoma"/>
                <w:color w:val="000000"/>
                <w:sz w:val="22"/>
              </w:rPr>
              <w:t xml:space="preserve"> (0,2%). </w:t>
            </w:r>
            <w:r>
              <w:rPr>
                <w:rFonts w:ascii="Tahoma" w:hAnsi="Tahoma"/>
                <w:sz w:val="22"/>
              </w:rPr>
              <w:t xml:space="preserve">Пад цена забележен је  у  групи </w:t>
            </w:r>
            <w:r>
              <w:rPr>
                <w:rFonts w:ascii="Tahoma" w:hAnsi="Tahoma"/>
                <w:i w:val="1"/>
                <w:color w:val="000000"/>
                <w:sz w:val="22"/>
              </w:rPr>
              <w:t>Кому</w:t>
            </w:r>
            <w:r>
              <w:rPr>
                <w:rFonts w:ascii="Tahoma" w:hAnsi="Tahoma"/>
                <w:i w:val="1"/>
                <w:color w:val="000000"/>
                <w:sz w:val="22"/>
              </w:rPr>
              <w:t>никац</w:t>
            </w:r>
            <w:r>
              <w:rPr>
                <w:rFonts w:ascii="Tahoma" w:hAnsi="Tahoma"/>
                <w:i w:val="1"/>
                <w:color w:val="000000"/>
                <w:sz w:val="22"/>
              </w:rPr>
              <w:t>ије</w:t>
            </w:r>
            <w:r>
              <w:rPr>
                <w:rFonts w:ascii="Tahoma" w:hAnsi="Tahoma"/>
                <w:color w:val="000000"/>
                <w:sz w:val="22"/>
              </w:rPr>
              <w:t xml:space="preserve">  (-0,5%). </w:t>
            </w:r>
          </w:p>
          <w:p>
            <w:pPr>
              <w:tabs>
                <w:tab w:val="left" w:pos="-180" w:leader="none"/>
              </w:tabs>
              <w:ind w:firstLine="432"/>
              <w:jc w:val="both"/>
              <w:rPr>
                <w:rFonts w:ascii="Tahoma" w:hAnsi="Tahoma"/>
                <w:i w:val="1"/>
                <w:color w:val="000000"/>
                <w:sz w:val="22"/>
              </w:rPr>
            </w:pPr>
          </w:p>
          <w:p>
            <w:pPr>
              <w:ind w:firstLine="364" w:left="68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Цене осталих производа и услуга нису се битније мењале.</w:t>
            </w:r>
          </w:p>
          <w:p>
            <w:pPr>
              <w:ind w:hanging="181" w:left="68"/>
              <w:jc w:val="both"/>
              <w:rPr>
                <w:rFonts w:ascii="Arial" w:hAnsi="Arial"/>
                <w:sz w:val="22"/>
              </w:rPr>
            </w:pPr>
          </w:p>
          <w:p>
            <w:pPr>
              <w:jc w:val="both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2"/>
              </w:rPr>
              <w:t>Републички завод за статистику од 1999. године не располаже подацима за АП Косово и Метохија, тако да они нису садржани у обухвату података за Републику Србију (укупно).</w:t>
            </w:r>
          </w:p>
        </w:tc>
      </w:tr>
    </w:tbl>
    <w:p/>
    <w:p/>
    <w:p/>
    <w:p/>
    <w:sectPr>
      <w:headerReference xmlns:r="http://schemas.openxmlformats.org/officeDocument/2006/relationships" w:type="first" r:id="RelHdr1"/>
      <w:footerReference xmlns:r="http://schemas.openxmlformats.org/officeDocument/2006/relationships" w:type="first" r:id="RelFtr1"/>
      <w:footerReference xmlns:r="http://schemas.openxmlformats.org/officeDocument/2006/relationships" w:type="default" r:id="RelFtr2"/>
      <w:type w:val="nextPage"/>
      <w:pgMar w:left="1080" w:right="1080" w:top="360" w:bottom="180" w:header="432" w:footer="0" w:gutter="0"/>
      <w:cols w:equalWidth="1" w:space="720"/>
      <w:vAlign w:val="both"/>
      <w:titlePg w:val="1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Style w:val="T2"/>
      <w:tblW w:w="11268" w:type="dxa"/>
      <w:tblLayout w:type="autofit"/>
    </w:tblPr>
    <w:tblGrid/>
    <w:tr>
      <w:tc>
        <w:tcPr>
          <w:tcW w:w="5868" w:type="dxa"/>
        </w:tcPr>
        <w:p>
          <w:pPr>
            <w:jc w:val="both"/>
            <w:rPr>
              <w:rFonts w:ascii="Tahoma" w:hAnsi="Tahoma"/>
              <w:color w:val="7F7F7F"/>
              <w:sz w:val="20"/>
            </w:rPr>
          </w:pPr>
          <w:r>
            <w:rPr>
              <w:rFonts w:ascii="Tahoma" w:hAnsi="Tahoma"/>
              <w:color w:val="7F7F7F"/>
              <w:sz w:val="20"/>
            </w:rPr>
            <w:t>Контакт:</w:t>
          </w:r>
        </w:p>
        <w:p>
          <w:pPr>
            <w:jc w:val="both"/>
            <w:rPr>
              <w:rFonts w:ascii="Tahoma" w:hAnsi="Tahoma"/>
              <w:color w:val="7F7F7F"/>
              <w:sz w:val="20"/>
            </w:rPr>
          </w:pPr>
          <w:r>
            <w:rPr>
              <w:rFonts w:ascii="Tahoma" w:hAnsi="Tahoma"/>
              <w:color w:val="7F7F7F"/>
              <w:sz w:val="20"/>
            </w:rPr>
            <w:t>Татјана Савић, руководилац</w:t>
          </w:r>
        </w:p>
        <w:p>
          <w:pPr>
            <w:jc w:val="both"/>
            <w:rPr>
              <w:rFonts w:ascii="Tahoma" w:hAnsi="Tahoma"/>
              <w:color w:val="7F7F7F"/>
              <w:sz w:val="20"/>
            </w:rPr>
          </w:pPr>
          <w:r>
            <w:rPr>
              <w:rFonts w:ascii="Tahoma" w:hAnsi="Tahoma"/>
              <w:color w:val="7F7F7F"/>
              <w:sz w:val="20"/>
            </w:rPr>
            <w:t xml:space="preserve">Одсек  за статистику потрошачких цена</w:t>
          </w:r>
        </w:p>
        <w:p>
          <w:pPr>
            <w:jc w:val="both"/>
            <w:rPr>
              <w:rFonts w:ascii="Tahoma" w:hAnsi="Tahoma"/>
              <w:color w:val="7F7F7F"/>
              <w:sz w:val="20"/>
            </w:rPr>
          </w:pPr>
          <w:r>
            <w:rPr>
              <w:rFonts w:ascii="Tahoma" w:hAnsi="Tahoma"/>
              <w:color w:val="7F7F7F"/>
              <w:sz w:val="20"/>
            </w:rPr>
            <w:t>тел: +381 11 2412-922, локал 374</w:t>
          </w:r>
        </w:p>
        <w:p>
          <w:pPr>
            <w:jc w:val="both"/>
            <w:rPr>
              <w:rFonts w:ascii="Tahoma" w:hAnsi="Tahoma"/>
              <w:color w:val="7F7F7F"/>
              <w:sz w:val="20"/>
            </w:rPr>
          </w:pPr>
          <w:r>
            <w:rPr>
              <w:rFonts w:ascii="Tahoma" w:hAnsi="Tahoma"/>
              <w:color w:val="7F7F7F"/>
              <w:sz w:val="20"/>
            </w:rPr>
            <w:t>tatjana.savic@stat.gov.rs</w:t>
          </w:r>
        </w:p>
        <w:p>
          <w:pPr>
            <w:jc w:val="both"/>
            <w:rPr>
              <w:rFonts w:ascii="Tahoma" w:hAnsi="Tahoma"/>
              <w:color w:val="7F7F7F"/>
              <w:sz w:val="20"/>
            </w:rPr>
          </w:pPr>
        </w:p>
        <w:p>
          <w:pPr>
            <w:jc w:val="both"/>
            <w:rPr>
              <w:rFonts w:ascii="Tahoma" w:hAnsi="Tahoma"/>
              <w:color w:val="7F7F7F"/>
              <w:sz w:val="20"/>
            </w:rPr>
          </w:pPr>
          <w:r>
            <w:rPr>
              <w:rFonts w:ascii="Tahoma" w:hAnsi="Tahoma"/>
              <w:color w:val="7F7F7F"/>
              <w:sz w:val="20"/>
            </w:rPr>
            <w:t xml:space="preserve">Група за информисање и дисеминацију </w:t>
          </w:r>
        </w:p>
        <w:p>
          <w:pPr>
            <w:jc w:val="both"/>
            <w:rPr>
              <w:rFonts w:ascii="Tahoma" w:hAnsi="Tahoma"/>
              <w:color w:val="7F7F7F"/>
              <w:sz w:val="20"/>
            </w:rPr>
          </w:pPr>
          <w:r>
            <w:rPr>
              <w:rFonts w:ascii="Tahoma" w:hAnsi="Tahoma"/>
              <w:color w:val="7F7F7F"/>
              <w:sz w:val="20"/>
            </w:rPr>
            <w:t>тел: +381 11 2401-284</w:t>
          </w:r>
        </w:p>
        <w:p>
          <w:pPr>
            <w:jc w:val="both"/>
            <w:rPr>
              <w:rFonts w:ascii="Tahoma" w:hAnsi="Tahoma"/>
              <w:color w:val="7F7F7F"/>
              <w:sz w:val="20"/>
            </w:rPr>
          </w:pPr>
          <w:r>
            <w:rPr>
              <w:rFonts w:ascii="Tahoma" w:hAnsi="Tahoma"/>
              <w:color w:val="7F7F7F"/>
              <w:sz w:val="20"/>
            </w:rPr>
            <w:fldChar w:fldCharType="begin"/>
          </w:r>
          <w:r>
            <w:rPr>
              <w:rFonts w:ascii="Tahoma" w:hAnsi="Tahoma"/>
              <w:color w:val="7F7F7F"/>
              <w:sz w:val="20"/>
            </w:rPr>
            <w:instrText xml:space="preserve"> HYPERLINK "mailto:stat@stat.gov.rs" </w:instrText>
          </w:r>
          <w:r>
            <w:rPr>
              <w:rFonts w:ascii="Tahoma" w:hAnsi="Tahoma"/>
              <w:color w:val="7F7F7F"/>
              <w:sz w:val="20"/>
            </w:rPr>
            <w:fldChar w:fldCharType="separate"/>
          </w:r>
          <w:r>
            <w:rPr>
              <w:rStyle w:val="C2"/>
              <w:rFonts w:ascii="Tahoma" w:hAnsi="Tahoma"/>
              <w:color w:val="7F7F7F"/>
              <w:sz w:val="20"/>
            </w:rPr>
            <w:t>stat@stat.gov.rs</w:t>
          </w:r>
          <w:r>
            <w:rPr>
              <w:rStyle w:val="C2"/>
              <w:rFonts w:ascii="Tahoma" w:hAnsi="Tahoma"/>
              <w:color w:val="7F7F7F"/>
              <w:sz w:val="20"/>
            </w:rPr>
            <w:fldChar w:fldCharType="end"/>
          </w:r>
        </w:p>
        <w:p>
          <w:pPr>
            <w:jc w:val="both"/>
            <w:rPr>
              <w:rFonts w:ascii="Tahoma" w:hAnsi="Tahoma"/>
              <w:sz w:val="20"/>
            </w:rPr>
          </w:pPr>
        </w:p>
        <w:p>
          <w:pPr>
            <w:jc w:val="both"/>
            <w:rPr>
              <w:rFonts w:ascii="Tahoma" w:hAnsi="Tahoma"/>
              <w:sz w:val="22"/>
            </w:rPr>
          </w:pPr>
        </w:p>
      </w:tc>
      <w:tc>
        <w:tcPr>
          <w:tcW w:w="5400" w:type="dxa"/>
        </w:tcPr>
        <w:p>
          <w:pPr>
            <w:jc w:val="center"/>
            <w:rPr>
              <w:rFonts w:ascii="Tahoma" w:hAnsi="Tahoma"/>
              <w:sz w:val="20"/>
            </w:rPr>
          </w:pPr>
          <w:r>
            <w:rPr>
              <w:rFonts w:ascii="Tahoma" w:hAnsi="Tahoma"/>
              <w:sz w:val="20"/>
            </w:rPr>
            <w:t>Директор,</w:t>
          </w:r>
        </w:p>
        <w:p>
          <w:pPr>
            <w:ind w:left="972"/>
            <w:jc w:val="both"/>
            <w:rPr>
              <w:rFonts w:ascii="Tahoma" w:hAnsi="Tahoma"/>
              <w:sz w:val="20"/>
            </w:rPr>
          </w:pPr>
          <w:r>
            <w:rPr>
              <w:rFonts w:ascii="Tahoma" w:hAnsi="Tahoma"/>
              <w:sz w:val="20"/>
            </w:rPr>
            <w:t xml:space="preserve">        др Миладин Ковачевић</w:t>
          </w:r>
        </w:p>
        <w:p>
          <w:pPr>
            <w:jc w:val="both"/>
            <w:rPr>
              <w:rFonts w:ascii="Tahoma" w:hAnsi="Tahoma"/>
              <w:color w:val="808080"/>
              <w:sz w:val="20"/>
            </w:rPr>
          </w:pPr>
        </w:p>
        <w:p>
          <w:pPr>
            <w:jc w:val="both"/>
            <w:rPr>
              <w:rFonts w:ascii="Tahoma" w:hAnsi="Tahoma"/>
              <w:sz w:val="20"/>
            </w:rPr>
          </w:pPr>
        </w:p>
      </w:tc>
    </w:tr>
  </w:tbl>
  <w:p>
    <w:pPr>
      <w:jc w:val="both"/>
    </w:pP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Style w:val="T2"/>
      <w:tblW w:w="0" w:type="auto"/>
      <w:tblLayout w:type="autofit"/>
    </w:tblPr>
    <w:tblGrid/>
    <w:tr>
      <w:tc>
        <w:tcPr>
          <w:tcW w:w="4788" w:type="dxa"/>
        </w:tcPr>
        <w:p>
          <w:pPr>
            <w:jc w:val="both"/>
            <w:rPr>
              <w:rFonts w:ascii="Tahoma" w:hAnsi="Tahoma"/>
              <w:color w:val="333333"/>
              <w:sz w:val="22"/>
            </w:rPr>
          </w:pPr>
        </w:p>
      </w:tc>
      <w:tc>
        <w:tcPr>
          <w:tcW w:w="5400" w:type="dxa"/>
        </w:tcPr>
        <w:p>
          <w:pPr>
            <w:rPr>
              <w:rFonts w:ascii="Tahoma" w:hAnsi="Tahoma"/>
              <w:color w:val="333333"/>
              <w:sz w:val="22"/>
            </w:rPr>
          </w:pPr>
        </w:p>
      </w:tc>
    </w:tr>
    <w:tr>
      <w:tblPrEx>
        <w:tblW w:w="0" w:type="auto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Ex>
      <w:tc>
        <w:tcPr>
          <w:tcW w:w="4788" w:type="dxa"/>
          <w:tcBorders>
            <w:top w:val="none" w:sz="0" w:space="0" w:shadow="0" w:frame="0"/>
            <w:left w:val="none" w:sz="0" w:space="0" w:shadow="0" w:frame="0"/>
            <w:bottom w:val="none" w:sz="0" w:space="0" w:shadow="0" w:frame="0"/>
            <w:right w:val="none" w:sz="0" w:space="0" w:shadow="0" w:frame="0"/>
          </w:tcBorders>
        </w:tcPr>
        <w:p>
          <w:pPr>
            <w:jc w:val="both"/>
            <w:rPr>
              <w:rFonts w:ascii="Tahoma" w:hAnsi="Tahoma"/>
              <w:sz w:val="22"/>
            </w:rPr>
          </w:pPr>
        </w:p>
      </w:tc>
      <w:tc>
        <w:tcPr>
          <w:tcW w:w="5400" w:type="dxa"/>
          <w:tcBorders>
            <w:top w:val="none" w:sz="0" w:space="0" w:shadow="0" w:frame="0"/>
            <w:left w:val="none" w:sz="0" w:space="0" w:shadow="0" w:frame="0"/>
            <w:bottom w:val="none" w:sz="0" w:space="0" w:shadow="0" w:frame="0"/>
            <w:right w:val="none" w:sz="0" w:space="0" w:shadow="0" w:frame="0"/>
          </w:tcBorders>
        </w:tcPr>
        <w:p>
          <w:pPr>
            <w:ind w:left="972"/>
            <w:jc w:val="both"/>
            <w:rPr>
              <w:rFonts w:ascii="Tahoma" w:hAnsi="Tahoma"/>
              <w:sz w:val="20"/>
            </w:rPr>
          </w:pPr>
        </w:p>
      </w:tc>
    </w:tr>
  </w:tbl>
  <w:p>
    <w:pPr>
      <w:pStyle w:val="P3"/>
    </w:pPr>
  </w:p>
</w:ftr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Style w:val="T2"/>
      <w:tblW w:w="0" w:type="auto"/>
      <w:tblBorders>
        <w:top w:val="none" w:sz="0" w:space="0" w:shadow="0" w:frame="0"/>
        <w:left w:val="none" w:sz="0" w:space="0" w:shadow="0" w:frame="0"/>
        <w:bottom w:val="none" w:sz="0" w:space="0" w:shadow="0" w:frame="0"/>
        <w:right w:val="none" w:sz="0" w:space="0" w:shadow="0" w:frame="0"/>
        <w:insideH w:val="single" w:sz="4" w:space="0" w:shadow="0" w:frame="0"/>
        <w:insideV w:val="none" w:sz="0" w:space="0" w:shadow="0" w:frame="0"/>
      </w:tblBorders>
      <w:tblLayout w:type="fixed"/>
    </w:tblPr>
    <w:tblGrid/>
    <w:tr>
      <w:tc>
        <w:tcPr>
          <w:tcW w:w="3708" w:type="dxa"/>
        </w:tcPr>
        <w:p>
          <w:pPr>
            <w:pStyle w:val="P2"/>
            <w:ind w:right="972"/>
            <w:rPr>
              <w:rFonts w:ascii="Tahoma" w:hAnsi="Tahoma"/>
              <w:sz w:val="20"/>
            </w:rPr>
          </w:pPr>
          <w:r>
            <w:drawing>
              <wp:inline xmlns:wp="http://schemas.openxmlformats.org/drawingml/2006/wordprocessingDrawing">
                <wp:extent cx="1564005" cy="709930"/>
                <wp:docPr id="1" name="Picture 1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xmlns:r="http://schemas.openxmlformats.org/officeDocument/2006/relationships" r:embed="Relimage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4005" cy="709930"/>
                        </a:xfrm>
                        <a:prstGeom prst="rect"/>
                        <a:noFill/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/>
              <w:sz w:val="20"/>
            </w:rPr>
            <w:t xml:space="preserve"> Република Србија</w:t>
          </w:r>
        </w:p>
        <w:p>
          <w:pPr>
            <w:pStyle w:val="P2"/>
            <w:rPr>
              <w:rFonts w:ascii="Tahoma" w:hAnsi="Tahoma"/>
              <w:sz w:val="20"/>
            </w:rPr>
          </w:pPr>
          <w:r>
            <w:rPr>
              <w:rFonts w:ascii="Tahoma" w:hAnsi="Tahoma"/>
              <w:sz w:val="20"/>
            </w:rPr>
            <w:t>Републички завод за статистику</w:t>
          </w:r>
        </w:p>
      </w:tc>
      <w:tc>
        <w:tcPr>
          <w:tcW w:w="6588" w:type="dxa"/>
        </w:tcPr>
        <w:p>
          <w:pPr>
            <w:pStyle w:val="P2"/>
            <w:jc w:val="right"/>
            <w:rPr>
              <w:rFonts w:ascii="Tahoma" w:hAnsi="Tahoma"/>
              <w:sz w:val="32"/>
            </w:rPr>
          </w:pPr>
          <w:r>
            <w:rPr>
              <w:rFonts w:ascii="Tahoma" w:hAnsi="Tahoma"/>
              <w:sz w:val="32"/>
            </w:rPr>
            <w:t>Саопштење за јавност</w:t>
          </w:r>
        </w:p>
        <w:p>
          <w:pPr>
            <w:pStyle w:val="P2"/>
            <w:jc w:val="right"/>
            <w:rPr>
              <w:rFonts w:ascii="Tahoma" w:hAnsi="Tahoma"/>
            </w:rPr>
          </w:pPr>
        </w:p>
        <w:p>
          <w:pPr>
            <w:pStyle w:val="P2"/>
            <w:jc w:val="right"/>
            <w:rPr>
              <w:rFonts w:ascii="Tahoma" w:hAnsi="Tahoma"/>
              <w:sz w:val="20"/>
            </w:rPr>
          </w:pPr>
          <w:r>
            <w:rPr>
              <w:rFonts w:ascii="Tahoma" w:hAnsi="Tahoma"/>
              <w:sz w:val="20"/>
            </w:rPr>
            <w:t>Београд, Милана Ракића 5</w:t>
          </w:r>
        </w:p>
        <w:p>
          <w:pPr>
            <w:pStyle w:val="P2"/>
            <w:jc w:val="right"/>
            <w:rPr>
              <w:rFonts w:ascii="Tahoma" w:hAnsi="Tahoma"/>
              <w:sz w:val="20"/>
            </w:rPr>
          </w:pPr>
          <w:r>
            <w:rPr>
              <w:rFonts w:ascii="Tahoma" w:hAnsi="Tahoma"/>
              <w:sz w:val="20"/>
            </w:rPr>
            <w:t>телефон +381 11 2412-922</w:t>
          </w:r>
        </w:p>
        <w:p>
          <w:pPr>
            <w:pStyle w:val="P2"/>
            <w:jc w:val="right"/>
            <w:rPr>
              <w:rFonts w:ascii="Tahoma" w:hAnsi="Tahoma"/>
              <w:sz w:val="20"/>
            </w:rPr>
          </w:pPr>
          <w:r>
            <w:rPr>
              <w:rFonts w:ascii="Tahoma" w:hAnsi="Tahoma"/>
              <w:sz w:val="20"/>
            </w:rPr>
            <w:t>www.stat.gov.rs</w:t>
          </w:r>
        </w:p>
        <w:p>
          <w:pPr>
            <w:pStyle w:val="P2"/>
            <w:jc w:val="right"/>
            <w:rPr>
              <w:rFonts w:ascii="Tahoma" w:hAnsi="Tahoma"/>
              <w:sz w:val="20"/>
            </w:rPr>
          </w:pPr>
          <w:r>
            <w:rPr>
              <w:rFonts w:ascii="Tahoma" w:hAnsi="Tahoma"/>
              <w:sz w:val="20"/>
            </w:rPr>
            <w:t>stat@stat.gov.rs</w:t>
          </w:r>
        </w:p>
      </w:tc>
    </w:tr>
  </w:tbl>
  <w:p>
    <w:pPr>
      <w:pStyle w:val="P2"/>
    </w:pPr>
  </w:p>
</w:hdr>
</file>

<file path=word/numbering.xml><?xml version="1.0" encoding="utf-8"?>
<w:numbering xmlns:w="http://schemas.openxmlformats.org/wordprocessingml/2006/main">
  <w:abstractNum w:abstractNumId="0">
    <w:nsid w:val="0D7C7C46"/>
    <w:multiLevelType w:val="hybridMultilevel"/>
    <w:lvl w:ilvl="0" w:tplc="2540B5A2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1">
    <w:nsid w:val="166B4D0A"/>
    <w:multiLevelType w:val="hybridMultilevel"/>
    <w:lvl w:ilvl="0" w:tplc="3FBBAC21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num w:numId="1">
    <w:abstractNumId w:va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sz w:val="24"/>
    </w:rPr>
  </w:style>
  <w:style w:type="paragraph" w:styleId="P1">
    <w:name w:val="Heading 1"/>
    <w:basedOn w:val="P0"/>
    <w:next w:val="P0"/>
    <w:qFormat/>
    <w:pPr>
      <w:keepNext w:val="1"/>
      <w:outlineLvl w:val="0"/>
    </w:pPr>
    <w:rPr>
      <w:rFonts w:ascii="Arial" w:hAnsi="Arial"/>
      <w:b w:val="1"/>
      <w:sz w:val="20"/>
    </w:rPr>
  </w:style>
  <w:style w:type="paragraph" w:styleId="P2">
    <w:name w:val="Header"/>
    <w:basedOn w:val="P0"/>
    <w:next w:val="P2"/>
    <w:pPr>
      <w:tabs>
        <w:tab w:val="center" w:pos="4320" w:leader="none"/>
        <w:tab w:val="right" w:pos="8640" w:leader="none"/>
      </w:tabs>
    </w:pPr>
    <w:rPr/>
  </w:style>
  <w:style w:type="paragraph" w:styleId="P3">
    <w:name w:val="Footer"/>
    <w:basedOn w:val="P0"/>
    <w:next w:val="P3"/>
    <w:pPr>
      <w:tabs>
        <w:tab w:val="center" w:pos="4320" w:leader="none"/>
        <w:tab w:val="right" w:pos="8640" w:leader="none"/>
      </w:tabs>
    </w:pPr>
    <w:rPr/>
  </w:style>
  <w:style w:type="paragraph" w:styleId="P4">
    <w:name w:val="Body Text"/>
    <w:basedOn w:val="P0"/>
    <w:next w:val="P4"/>
    <w:pPr>
      <w:spacing w:after="120"/>
    </w:pPr>
    <w:rPr/>
  </w:style>
  <w:style w:type="paragraph" w:styleId="P5">
    <w:name w:val="Footnote Text"/>
    <w:basedOn w:val="P0"/>
    <w:next w:val="P5"/>
    <w:pPr/>
    <w:rPr>
      <w:sz w:val="20"/>
    </w:rPr>
  </w:style>
  <w:style w:type="paragraph" w:styleId="P6">
    <w:name w:val="Balloon Text"/>
    <w:basedOn w:val="P0"/>
    <w:next w:val="P6"/>
    <w:pPr/>
    <w:rPr>
      <w:rFonts w:ascii="Tahoma" w:hAnsi="Tahoma"/>
      <w:sz w:val="16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Strong"/>
    <w:qFormat/>
    <w:rPr>
      <w:b w:val="1"/>
    </w:rPr>
  </w:style>
  <w:style w:type="character" w:styleId="C4">
    <w:name w:val="Footnote Reference"/>
    <w:rPr>
      <w:vertAlign w:val="superscript"/>
    </w:rPr>
  </w:style>
  <w:style w:type="character" w:styleId="C5">
    <w:name w:val="Page Number"/>
    <w:basedOn w:val="C0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3">
    <w:name w:val="Table Grid"/>
    <w:basedOn w:val="T2"/>
    <w:tblPr>
      <w:tblBorders>
        <w:top w:val="single" w:sz="4" w:space="0" w:shadow="0" w:frame="0"/>
        <w:left w:val="single" w:sz="4" w:space="0" w:shadow="0" w:frame="0"/>
        <w:bottom w:val="single" w:sz="4" w:space="0" w:shadow="0" w:frame="0"/>
        <w:right w:val="single" w:sz="4" w:space="0" w:shadow="0" w:frame="0"/>
        <w:insideH w:val="single" w:sz="4" w:space="0" w:shadow="0" w:frame="0"/>
        <w:insideV w:val="single" w:sz="4" w:space="0" w:shadow="0" w:frame="0"/>
      </w:tblBorders>
    </w:tblPr>
    <w:trPr/>
    <w:tcPr/>
  </w:style>
</w:styles>
</file>

<file path=word/_rels/document.xml.rels>&#65279;<?xml version="1.0" encoding="utf-8"?><Relationships xmlns="http://schemas.openxmlformats.org/package/2006/relationships"><Relationship Id="RelHdr1" Type="http://schemas.openxmlformats.org/officeDocument/2006/relationships/header" Target="header1.xml" /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_rels/header1.xml.rels>&#65279;<?xml version="1.0" encoding="utf-8"?><Relationships xmlns="http://schemas.openxmlformats.org/package/2006/relationships"><Relationship Id="Relimage1" Type="http://schemas.openxmlformats.org/officeDocument/2006/relationships/image" Target="/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Aleksandra Danilovic</dc:creator>
  <dcterms:created xsi:type="dcterms:W3CDTF">2018-06-12T06:42:00Z</dcterms:created>
  <cp:lastModifiedBy>Nikola Kapetanovic</cp:lastModifiedBy>
  <cp:lastPrinted>2018-05-10T07:06:00Z</cp:lastPrinted>
  <dcterms:modified xsi:type="dcterms:W3CDTF">2020-01-10T11:25:15Z</dcterms:modified>
  <cp:revision>4</cp:revision>
  <dc:title>ДАТУМ</dc:title>
</cp:coreProperties>
</file>